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DDF0C" w14:textId="77777777" w:rsidR="0007538D" w:rsidRPr="003C6EC2" w:rsidRDefault="00287951" w:rsidP="0007538D">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94DE0B9" wp14:editId="394DE0B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698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2" behindDoc="1" locked="0" layoutInCell="1" allowOverlap="1" wp14:anchorId="394DE0BB" wp14:editId="394DE0B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799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Carinity</w:t>
      </w:r>
      <w:proofErr w:type="spellEnd"/>
      <w:r>
        <w:rPr>
          <w:rFonts w:ascii="Arial Black" w:hAnsi="Arial Black"/>
        </w:rPr>
        <w:t xml:space="preserve"> Shalom</w:t>
      </w:r>
      <w:r w:rsidRPr="003C6EC2">
        <w:rPr>
          <w:rFonts w:ascii="Arial Black" w:hAnsi="Arial Black"/>
        </w:rPr>
        <w:t xml:space="preserve"> </w:t>
      </w:r>
    </w:p>
    <w:p w14:paraId="394DDF0D" w14:textId="77777777" w:rsidR="0007538D" w:rsidRPr="003C6EC2" w:rsidRDefault="00287951" w:rsidP="0007538D">
      <w:pPr>
        <w:pStyle w:val="Title"/>
        <w:spacing w:before="360" w:after="480"/>
      </w:pPr>
      <w:r w:rsidRPr="003C6EC2">
        <w:rPr>
          <w:rFonts w:ascii="Arial Black" w:eastAsia="Calibri" w:hAnsi="Arial Black"/>
          <w:sz w:val="56"/>
        </w:rPr>
        <w:t>Performance Report</w:t>
      </w:r>
    </w:p>
    <w:p w14:paraId="394DDF0E" w14:textId="77777777" w:rsidR="0007538D" w:rsidRPr="003C6EC2" w:rsidRDefault="00287951" w:rsidP="0007538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121 Maloney Street </w:t>
      </w:r>
      <w:r w:rsidRPr="003C6EC2">
        <w:rPr>
          <w:color w:val="FFFFFF" w:themeColor="background1"/>
          <w:sz w:val="28"/>
        </w:rPr>
        <w:br/>
        <w:t>NORTH ROCKHAMPTON QLD 4701</w:t>
      </w:r>
      <w:r w:rsidRPr="003C6EC2">
        <w:rPr>
          <w:color w:val="FFFFFF" w:themeColor="background1"/>
          <w:sz w:val="28"/>
        </w:rPr>
        <w:br/>
      </w:r>
      <w:r w:rsidRPr="003C6EC2">
        <w:rPr>
          <w:rFonts w:eastAsia="Calibri"/>
          <w:color w:val="FFFFFF" w:themeColor="background1"/>
          <w:sz w:val="28"/>
          <w:szCs w:val="56"/>
          <w:lang w:eastAsia="en-US"/>
        </w:rPr>
        <w:t>Phone number: 07 4923 9500</w:t>
      </w:r>
    </w:p>
    <w:p w14:paraId="394DDF0F" w14:textId="77777777" w:rsidR="0007538D" w:rsidRDefault="00287951" w:rsidP="0007538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5359 </w:t>
      </w:r>
    </w:p>
    <w:p w14:paraId="394DDF10" w14:textId="77777777" w:rsidR="0007538D" w:rsidRPr="003C6EC2" w:rsidRDefault="00287951" w:rsidP="0007538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Baptist Union of Queensland</w:t>
      </w:r>
    </w:p>
    <w:p w14:paraId="394DDF11" w14:textId="77777777" w:rsidR="0007538D" w:rsidRPr="003C6EC2" w:rsidRDefault="00287951" w:rsidP="0007538D">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September 2020</w:t>
      </w:r>
    </w:p>
    <w:p w14:paraId="394DDF12" w14:textId="5167B463" w:rsidR="0007538D" w:rsidRPr="00E93D41" w:rsidRDefault="00287951" w:rsidP="0007538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442FD8">
        <w:rPr>
          <w:b/>
          <w:color w:val="FFFFFF" w:themeColor="background1"/>
          <w:sz w:val="28"/>
        </w:rPr>
        <w:t xml:space="preserve"> </w:t>
      </w:r>
      <w:r w:rsidR="00442FD8" w:rsidRPr="00FE7A51">
        <w:rPr>
          <w:color w:val="FFFFFF" w:themeColor="background1"/>
          <w:sz w:val="28"/>
        </w:rPr>
        <w:t>10 November 2020</w:t>
      </w:r>
    </w:p>
    <w:bookmarkEnd w:id="0"/>
    <w:p w14:paraId="394DDF13" w14:textId="77777777" w:rsidR="0007538D" w:rsidRPr="003C6EC2" w:rsidRDefault="0007538D" w:rsidP="0007538D">
      <w:pPr>
        <w:tabs>
          <w:tab w:val="left" w:pos="2127"/>
        </w:tabs>
        <w:spacing w:before="120"/>
        <w:rPr>
          <w:rFonts w:eastAsia="Calibri"/>
          <w:b/>
          <w:color w:val="FFFFFF" w:themeColor="background1"/>
          <w:sz w:val="28"/>
          <w:szCs w:val="56"/>
          <w:lang w:eastAsia="en-US"/>
        </w:rPr>
      </w:pPr>
    </w:p>
    <w:p w14:paraId="394DDF14" w14:textId="77777777" w:rsidR="0007538D" w:rsidRDefault="0007538D" w:rsidP="0007538D">
      <w:pPr>
        <w:pStyle w:val="Heading1"/>
        <w:sectPr w:rsidR="0007538D" w:rsidSect="0007538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94DDF15" w14:textId="77777777" w:rsidR="0007538D" w:rsidRDefault="00287951" w:rsidP="0007538D">
      <w:pPr>
        <w:pStyle w:val="Heading1"/>
      </w:pPr>
      <w:bookmarkStart w:id="1" w:name="_Hlk32477662"/>
      <w:r>
        <w:lastRenderedPageBreak/>
        <w:t>Publication of report</w:t>
      </w:r>
    </w:p>
    <w:p w14:paraId="394DDF16" w14:textId="77777777" w:rsidR="0007538D" w:rsidRPr="006B166B" w:rsidRDefault="00287951" w:rsidP="0007538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94DDF17" w14:textId="77777777" w:rsidR="0007538D" w:rsidRPr="0094564F" w:rsidRDefault="00287951" w:rsidP="0007538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04E72" w14:paraId="394DDF44" w14:textId="77777777" w:rsidTr="0007538D">
        <w:trPr>
          <w:trHeight w:val="227"/>
        </w:trPr>
        <w:tc>
          <w:tcPr>
            <w:tcW w:w="3942" w:type="pct"/>
            <w:shd w:val="clear" w:color="auto" w:fill="auto"/>
          </w:tcPr>
          <w:p w14:paraId="394DDF42" w14:textId="77777777" w:rsidR="0007538D" w:rsidRPr="001E6954" w:rsidRDefault="00287951" w:rsidP="0007538D">
            <w:pPr>
              <w:keepNext/>
              <w:spacing w:before="40" w:after="40" w:line="240" w:lineRule="auto"/>
              <w:rPr>
                <w:b/>
              </w:rPr>
            </w:pPr>
            <w:bookmarkStart w:id="2" w:name="_Hlk27119070"/>
            <w:bookmarkStart w:id="3" w:name="_GoBack"/>
            <w:bookmarkEnd w:id="3"/>
            <w:r w:rsidRPr="001E6954">
              <w:rPr>
                <w:b/>
              </w:rPr>
              <w:t>Standard 3 Personal care and clinical care</w:t>
            </w:r>
          </w:p>
        </w:tc>
        <w:tc>
          <w:tcPr>
            <w:tcW w:w="1058" w:type="pct"/>
            <w:shd w:val="clear" w:color="auto" w:fill="auto"/>
          </w:tcPr>
          <w:p w14:paraId="394DDF43" w14:textId="432C17E2" w:rsidR="0007538D" w:rsidRPr="001E6954" w:rsidRDefault="00936568" w:rsidP="0007538D">
            <w:pPr>
              <w:keepNext/>
              <w:spacing w:before="40" w:after="40" w:line="240" w:lineRule="auto"/>
              <w:jc w:val="right"/>
              <w:rPr>
                <w:b/>
                <w:color w:val="0000FF"/>
              </w:rPr>
            </w:pPr>
            <w:r>
              <w:rPr>
                <w:b/>
                <w:bCs/>
                <w:iCs/>
                <w:color w:val="00577D"/>
                <w:szCs w:val="40"/>
              </w:rPr>
              <w:t>Non-</w:t>
            </w:r>
            <w:r w:rsidR="00287951" w:rsidRPr="001E6954">
              <w:rPr>
                <w:b/>
                <w:bCs/>
                <w:iCs/>
                <w:color w:val="00577D"/>
                <w:szCs w:val="40"/>
              </w:rPr>
              <w:t>Compliant</w:t>
            </w:r>
          </w:p>
        </w:tc>
      </w:tr>
      <w:tr w:rsidR="00E04E72" w14:paraId="394DDF47" w14:textId="77777777" w:rsidTr="0007538D">
        <w:trPr>
          <w:trHeight w:val="227"/>
        </w:trPr>
        <w:tc>
          <w:tcPr>
            <w:tcW w:w="3942" w:type="pct"/>
            <w:shd w:val="clear" w:color="auto" w:fill="auto"/>
          </w:tcPr>
          <w:p w14:paraId="394DDF45" w14:textId="77777777" w:rsidR="0007538D" w:rsidRPr="002B4C72" w:rsidRDefault="00287951" w:rsidP="0007538D">
            <w:pPr>
              <w:spacing w:before="40" w:after="40" w:line="240" w:lineRule="auto"/>
              <w:ind w:left="312"/>
            </w:pPr>
            <w:r w:rsidRPr="001E6954">
              <w:t>Requirement 3(3)(a)</w:t>
            </w:r>
          </w:p>
        </w:tc>
        <w:tc>
          <w:tcPr>
            <w:tcW w:w="1058" w:type="pct"/>
            <w:shd w:val="clear" w:color="auto" w:fill="auto"/>
          </w:tcPr>
          <w:p w14:paraId="394DDF46" w14:textId="5D450C98" w:rsidR="0007538D" w:rsidRPr="001E6954" w:rsidRDefault="00287951" w:rsidP="0007538D">
            <w:pPr>
              <w:spacing w:before="40" w:after="40" w:line="240" w:lineRule="auto"/>
              <w:ind w:left="-107"/>
              <w:jc w:val="right"/>
              <w:rPr>
                <w:color w:val="0000FF"/>
              </w:rPr>
            </w:pPr>
            <w:r w:rsidRPr="001E6954">
              <w:rPr>
                <w:bCs/>
                <w:iCs/>
                <w:color w:val="00577D"/>
                <w:szCs w:val="40"/>
              </w:rPr>
              <w:t>Compliant</w:t>
            </w:r>
          </w:p>
        </w:tc>
      </w:tr>
      <w:tr w:rsidR="00C66D8A" w14:paraId="394DDF4A" w14:textId="77777777" w:rsidTr="0007538D">
        <w:trPr>
          <w:trHeight w:val="227"/>
        </w:trPr>
        <w:tc>
          <w:tcPr>
            <w:tcW w:w="3942" w:type="pct"/>
            <w:shd w:val="clear" w:color="auto" w:fill="auto"/>
          </w:tcPr>
          <w:p w14:paraId="394DDF48" w14:textId="77777777" w:rsidR="00C66D8A" w:rsidRPr="001E6954" w:rsidRDefault="00C66D8A" w:rsidP="00C66D8A">
            <w:pPr>
              <w:spacing w:before="40" w:after="40" w:line="240" w:lineRule="auto"/>
              <w:ind w:left="318" w:hanging="7"/>
            </w:pPr>
            <w:r w:rsidRPr="001E6954">
              <w:t>Requirement 3(3)(b)</w:t>
            </w:r>
          </w:p>
        </w:tc>
        <w:tc>
          <w:tcPr>
            <w:tcW w:w="1058" w:type="pct"/>
            <w:shd w:val="clear" w:color="auto" w:fill="auto"/>
          </w:tcPr>
          <w:p w14:paraId="394DDF49" w14:textId="00D88C84" w:rsidR="00C66D8A" w:rsidRPr="001E6954" w:rsidRDefault="00C66D8A" w:rsidP="00C66D8A">
            <w:pPr>
              <w:spacing w:before="40" w:after="40" w:line="240" w:lineRule="auto"/>
              <w:jc w:val="right"/>
              <w:rPr>
                <w:color w:val="0000FF"/>
              </w:rPr>
            </w:pPr>
            <w:r w:rsidRPr="00542014">
              <w:rPr>
                <w:bCs/>
                <w:iCs/>
                <w:color w:val="00577D"/>
                <w:szCs w:val="40"/>
              </w:rPr>
              <w:t>Compliant</w:t>
            </w:r>
          </w:p>
        </w:tc>
      </w:tr>
      <w:tr w:rsidR="00C66D8A" w14:paraId="394DDF4D" w14:textId="77777777" w:rsidTr="0007538D">
        <w:trPr>
          <w:trHeight w:val="227"/>
        </w:trPr>
        <w:tc>
          <w:tcPr>
            <w:tcW w:w="3942" w:type="pct"/>
            <w:shd w:val="clear" w:color="auto" w:fill="auto"/>
          </w:tcPr>
          <w:p w14:paraId="394DDF4B" w14:textId="77777777" w:rsidR="00C66D8A" w:rsidRPr="001E6954" w:rsidRDefault="00C66D8A" w:rsidP="00C66D8A">
            <w:pPr>
              <w:spacing w:before="40" w:after="40" w:line="240" w:lineRule="auto"/>
              <w:ind w:left="318" w:hanging="7"/>
            </w:pPr>
            <w:r w:rsidRPr="001E6954">
              <w:t>Requirement 3(3)(c)</w:t>
            </w:r>
          </w:p>
        </w:tc>
        <w:tc>
          <w:tcPr>
            <w:tcW w:w="1058" w:type="pct"/>
            <w:shd w:val="clear" w:color="auto" w:fill="auto"/>
          </w:tcPr>
          <w:p w14:paraId="394DDF4C" w14:textId="44D5F0E9" w:rsidR="00C66D8A" w:rsidRPr="001E6954" w:rsidRDefault="00C66D8A" w:rsidP="00C66D8A">
            <w:pPr>
              <w:spacing w:before="40" w:after="40" w:line="240" w:lineRule="auto"/>
              <w:jc w:val="right"/>
              <w:rPr>
                <w:color w:val="0000FF"/>
              </w:rPr>
            </w:pPr>
            <w:r w:rsidRPr="00542014">
              <w:rPr>
                <w:bCs/>
                <w:iCs/>
                <w:color w:val="00577D"/>
                <w:szCs w:val="40"/>
              </w:rPr>
              <w:t>Compliant</w:t>
            </w:r>
          </w:p>
        </w:tc>
      </w:tr>
      <w:tr w:rsidR="00C66D8A" w14:paraId="394DDF50" w14:textId="77777777" w:rsidTr="0007538D">
        <w:trPr>
          <w:trHeight w:val="227"/>
        </w:trPr>
        <w:tc>
          <w:tcPr>
            <w:tcW w:w="3942" w:type="pct"/>
            <w:shd w:val="clear" w:color="auto" w:fill="auto"/>
          </w:tcPr>
          <w:p w14:paraId="394DDF4E" w14:textId="77777777" w:rsidR="00C66D8A" w:rsidRPr="001E6954" w:rsidRDefault="00C66D8A" w:rsidP="00C66D8A">
            <w:pPr>
              <w:spacing w:before="40" w:after="40" w:line="240" w:lineRule="auto"/>
              <w:ind w:left="318" w:hanging="7"/>
            </w:pPr>
            <w:r w:rsidRPr="001E6954">
              <w:t>Requirement 3(3)(d)</w:t>
            </w:r>
          </w:p>
        </w:tc>
        <w:tc>
          <w:tcPr>
            <w:tcW w:w="1058" w:type="pct"/>
            <w:shd w:val="clear" w:color="auto" w:fill="auto"/>
          </w:tcPr>
          <w:p w14:paraId="394DDF4F" w14:textId="21AB0FF6" w:rsidR="00C66D8A" w:rsidRPr="001E6954" w:rsidRDefault="00C66D8A" w:rsidP="00C66D8A">
            <w:pPr>
              <w:spacing w:before="40" w:after="40" w:line="240" w:lineRule="auto"/>
              <w:jc w:val="right"/>
              <w:rPr>
                <w:color w:val="0000FF"/>
              </w:rPr>
            </w:pPr>
            <w:r w:rsidRPr="00542014">
              <w:rPr>
                <w:bCs/>
                <w:iCs/>
                <w:color w:val="00577D"/>
                <w:szCs w:val="40"/>
              </w:rPr>
              <w:t>Compliant</w:t>
            </w:r>
          </w:p>
        </w:tc>
      </w:tr>
      <w:tr w:rsidR="00C66D8A" w14:paraId="394DDF53" w14:textId="77777777" w:rsidTr="0007538D">
        <w:trPr>
          <w:trHeight w:val="227"/>
        </w:trPr>
        <w:tc>
          <w:tcPr>
            <w:tcW w:w="3942" w:type="pct"/>
            <w:shd w:val="clear" w:color="auto" w:fill="auto"/>
          </w:tcPr>
          <w:p w14:paraId="394DDF51" w14:textId="77777777" w:rsidR="00C66D8A" w:rsidRPr="001E6954" w:rsidRDefault="00C66D8A" w:rsidP="00C66D8A">
            <w:pPr>
              <w:spacing w:before="40" w:after="40" w:line="240" w:lineRule="auto"/>
              <w:ind w:left="318" w:hanging="7"/>
            </w:pPr>
            <w:r w:rsidRPr="001E6954">
              <w:t>Requirement 3(3)(e)</w:t>
            </w:r>
          </w:p>
        </w:tc>
        <w:tc>
          <w:tcPr>
            <w:tcW w:w="1058" w:type="pct"/>
            <w:shd w:val="clear" w:color="auto" w:fill="auto"/>
          </w:tcPr>
          <w:p w14:paraId="394DDF52" w14:textId="42913FE6" w:rsidR="00C66D8A" w:rsidRPr="001E6954" w:rsidRDefault="00C66D8A" w:rsidP="00C66D8A">
            <w:pPr>
              <w:spacing w:before="40" w:after="40" w:line="240" w:lineRule="auto"/>
              <w:jc w:val="right"/>
              <w:rPr>
                <w:color w:val="0000FF"/>
              </w:rPr>
            </w:pPr>
            <w:r w:rsidRPr="00542014">
              <w:rPr>
                <w:bCs/>
                <w:iCs/>
                <w:color w:val="00577D"/>
                <w:szCs w:val="40"/>
              </w:rPr>
              <w:t>Compliant</w:t>
            </w:r>
          </w:p>
        </w:tc>
      </w:tr>
      <w:tr w:rsidR="00C66D8A" w14:paraId="394DDF56" w14:textId="77777777" w:rsidTr="0007538D">
        <w:trPr>
          <w:trHeight w:val="227"/>
        </w:trPr>
        <w:tc>
          <w:tcPr>
            <w:tcW w:w="3942" w:type="pct"/>
            <w:shd w:val="clear" w:color="auto" w:fill="auto"/>
          </w:tcPr>
          <w:p w14:paraId="394DDF54" w14:textId="77777777" w:rsidR="00C66D8A" w:rsidRPr="001E6954" w:rsidRDefault="00C66D8A" w:rsidP="00C66D8A">
            <w:pPr>
              <w:spacing w:before="40" w:after="40" w:line="240" w:lineRule="auto"/>
              <w:ind w:left="318" w:hanging="7"/>
            </w:pPr>
            <w:r w:rsidRPr="001E6954">
              <w:t>Requirement 3(3)(f)</w:t>
            </w:r>
          </w:p>
        </w:tc>
        <w:tc>
          <w:tcPr>
            <w:tcW w:w="1058" w:type="pct"/>
            <w:shd w:val="clear" w:color="auto" w:fill="auto"/>
          </w:tcPr>
          <w:p w14:paraId="394DDF55" w14:textId="01B79A2E" w:rsidR="00C66D8A" w:rsidRPr="001E6954" w:rsidRDefault="00C66D8A" w:rsidP="00C66D8A">
            <w:pPr>
              <w:spacing w:before="40" w:after="40" w:line="240" w:lineRule="auto"/>
              <w:jc w:val="right"/>
              <w:rPr>
                <w:color w:val="0000FF"/>
              </w:rPr>
            </w:pPr>
            <w:r w:rsidRPr="00542014">
              <w:rPr>
                <w:bCs/>
                <w:iCs/>
                <w:color w:val="00577D"/>
                <w:szCs w:val="40"/>
              </w:rPr>
              <w:t>Compliant</w:t>
            </w:r>
          </w:p>
        </w:tc>
      </w:tr>
      <w:tr w:rsidR="00C66D8A" w14:paraId="394DDF59" w14:textId="77777777" w:rsidTr="0007538D">
        <w:trPr>
          <w:trHeight w:val="227"/>
        </w:trPr>
        <w:tc>
          <w:tcPr>
            <w:tcW w:w="3942" w:type="pct"/>
            <w:shd w:val="clear" w:color="auto" w:fill="auto"/>
          </w:tcPr>
          <w:p w14:paraId="394DDF57" w14:textId="77777777" w:rsidR="00C66D8A" w:rsidRPr="001E6954" w:rsidRDefault="00C66D8A" w:rsidP="00C66D8A">
            <w:pPr>
              <w:spacing w:before="40" w:after="40" w:line="240" w:lineRule="auto"/>
              <w:ind w:left="318" w:hanging="7"/>
            </w:pPr>
            <w:r w:rsidRPr="001E6954">
              <w:t>Requirement 3(3)(g)</w:t>
            </w:r>
          </w:p>
        </w:tc>
        <w:tc>
          <w:tcPr>
            <w:tcW w:w="1058" w:type="pct"/>
            <w:shd w:val="clear" w:color="auto" w:fill="auto"/>
          </w:tcPr>
          <w:p w14:paraId="394DDF58" w14:textId="27EFE17B" w:rsidR="00C66D8A" w:rsidRPr="001E6954" w:rsidRDefault="00936568" w:rsidP="00C66D8A">
            <w:pPr>
              <w:spacing w:before="40" w:after="40" w:line="240" w:lineRule="auto"/>
              <w:jc w:val="right"/>
              <w:rPr>
                <w:color w:val="0000FF"/>
              </w:rPr>
            </w:pPr>
            <w:r>
              <w:rPr>
                <w:bCs/>
                <w:iCs/>
                <w:color w:val="00577D"/>
                <w:szCs w:val="40"/>
              </w:rPr>
              <w:t>Non-</w:t>
            </w:r>
            <w:r w:rsidR="00C66D8A" w:rsidRPr="00542014">
              <w:rPr>
                <w:bCs/>
                <w:iCs/>
                <w:color w:val="00577D"/>
                <w:szCs w:val="40"/>
              </w:rPr>
              <w:t>Compliant</w:t>
            </w:r>
          </w:p>
        </w:tc>
      </w:tr>
      <w:bookmarkEnd w:id="2"/>
    </w:tbl>
    <w:p w14:paraId="394DDFB1" w14:textId="77777777" w:rsidR="0007538D" w:rsidRDefault="0007538D" w:rsidP="0007538D">
      <w:pPr>
        <w:sectPr w:rsidR="0007538D" w:rsidSect="0007538D">
          <w:headerReference w:type="default" r:id="rId16"/>
          <w:headerReference w:type="first" r:id="rId17"/>
          <w:pgSz w:w="11906" w:h="16838"/>
          <w:pgMar w:top="1701" w:right="1418" w:bottom="1418" w:left="1418" w:header="709" w:footer="397" w:gutter="0"/>
          <w:cols w:space="708"/>
          <w:docGrid w:linePitch="360"/>
        </w:sectPr>
      </w:pPr>
    </w:p>
    <w:p w14:paraId="394DDFB2" w14:textId="77777777" w:rsidR="0007538D" w:rsidRPr="00D21DCD" w:rsidRDefault="00287951" w:rsidP="0007538D">
      <w:pPr>
        <w:pStyle w:val="Heading1"/>
      </w:pPr>
      <w:r>
        <w:lastRenderedPageBreak/>
        <w:t>Detailed assessment</w:t>
      </w:r>
    </w:p>
    <w:p w14:paraId="394DDFB3" w14:textId="77777777" w:rsidR="0007538D" w:rsidRPr="00D63989" w:rsidRDefault="00287951" w:rsidP="0007538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94DDFB4" w14:textId="77777777" w:rsidR="0007538D" w:rsidRPr="001E6954" w:rsidRDefault="00287951" w:rsidP="0007538D">
      <w:pPr>
        <w:rPr>
          <w:color w:val="auto"/>
        </w:rPr>
      </w:pPr>
      <w:r w:rsidRPr="00D63989">
        <w:t>The report also specifies areas in which improvements must be made to ensure the Quality Standards are complied with.</w:t>
      </w:r>
    </w:p>
    <w:p w14:paraId="394DDFB5" w14:textId="77777777" w:rsidR="0007538D" w:rsidRPr="00D63989" w:rsidRDefault="00287951" w:rsidP="0007538D">
      <w:r w:rsidRPr="00D63989">
        <w:t xml:space="preserve">The following information has been </w:t>
      </w:r>
      <w:proofErr w:type="gramStart"/>
      <w:r w:rsidRPr="00D63989">
        <w:t>taken into account</w:t>
      </w:r>
      <w:proofErr w:type="gramEnd"/>
      <w:r w:rsidRPr="00D63989">
        <w:t xml:space="preserve"> in developing this performance report:</w:t>
      </w:r>
    </w:p>
    <w:p w14:paraId="394DDFB6" w14:textId="7057BEAD" w:rsidR="0007538D" w:rsidRDefault="00546C16" w:rsidP="0007538D">
      <w:pPr>
        <w:pStyle w:val="ListBullet"/>
      </w:pPr>
      <w:r>
        <w:t>T</w:t>
      </w:r>
      <w:r w:rsidR="00287951" w:rsidRPr="00D63989">
        <w:t xml:space="preserve">he Assessment Team’s report for the </w:t>
      </w:r>
      <w:r w:rsidR="00287951">
        <w:t>Assessment Contact - Site</w:t>
      </w:r>
      <w:r w:rsidR="00287951" w:rsidRPr="00D63989">
        <w:t xml:space="preserve">; the </w:t>
      </w:r>
      <w:r w:rsidR="00287951">
        <w:t xml:space="preserve">Assessment Contact </w:t>
      </w:r>
      <w:r w:rsidR="00287951" w:rsidRPr="00C66D8A">
        <w:t>- Site report was informed by a site assessment, observations at the service, review of documents and interviews with staff, consumers/representatives and others</w:t>
      </w:r>
      <w:r w:rsidR="00C66D8A" w:rsidRPr="00C66D8A">
        <w:t>.</w:t>
      </w:r>
    </w:p>
    <w:p w14:paraId="3E7151AF" w14:textId="7CB0954B" w:rsidR="00C66D8A" w:rsidRPr="00D63989" w:rsidRDefault="00546C16" w:rsidP="00C66D8A">
      <w:pPr>
        <w:pStyle w:val="ListBullet"/>
      </w:pPr>
      <w:r>
        <w:t>T</w:t>
      </w:r>
      <w:r w:rsidR="00C66D8A" w:rsidRPr="00D63989">
        <w:t xml:space="preserve">he Assessment Team’s report for the </w:t>
      </w:r>
      <w:r w:rsidR="00C66D8A">
        <w:t>Infection Control Monitoring Checklist.</w:t>
      </w:r>
    </w:p>
    <w:p w14:paraId="394DDFB7" w14:textId="7D8E9D47" w:rsidR="0007538D" w:rsidRPr="00365DAE" w:rsidRDefault="00546C16" w:rsidP="0007538D">
      <w:pPr>
        <w:pStyle w:val="ListBullet"/>
      </w:pPr>
      <w:r>
        <w:t>T</w:t>
      </w:r>
      <w:r w:rsidR="00287951" w:rsidRPr="00365DAE">
        <w:t xml:space="preserve">he </w:t>
      </w:r>
      <w:r w:rsidR="00762E89">
        <w:t>Approved P</w:t>
      </w:r>
      <w:r w:rsidR="00287951" w:rsidRPr="00365DAE">
        <w:t>rovider</w:t>
      </w:r>
      <w:r w:rsidR="00287951">
        <w:t>’s</w:t>
      </w:r>
      <w:r w:rsidR="00287951" w:rsidRPr="00365DAE">
        <w:t xml:space="preserve"> response</w:t>
      </w:r>
      <w:r w:rsidR="00287951">
        <w:t xml:space="preserve"> to the </w:t>
      </w:r>
      <w:r w:rsidR="00C66D8A">
        <w:t>Infection Control Monitoring Checklist received on 21 October 2020.</w:t>
      </w:r>
    </w:p>
    <w:p w14:paraId="394DDFB9" w14:textId="77777777" w:rsidR="0007538D" w:rsidRDefault="0007538D">
      <w:pPr>
        <w:spacing w:after="160" w:line="259" w:lineRule="auto"/>
        <w:rPr>
          <w:rFonts w:cs="Times New Roman"/>
        </w:rPr>
      </w:pPr>
    </w:p>
    <w:p w14:paraId="394DDFBA" w14:textId="77777777" w:rsidR="0007538D" w:rsidRDefault="0007538D" w:rsidP="0007538D">
      <w:pPr>
        <w:sectPr w:rsidR="0007538D" w:rsidSect="0007538D">
          <w:headerReference w:type="first" r:id="rId18"/>
          <w:pgSz w:w="11906" w:h="16838"/>
          <w:pgMar w:top="1701" w:right="1418" w:bottom="1418" w:left="1418" w:header="709" w:footer="397" w:gutter="0"/>
          <w:cols w:space="708"/>
          <w:docGrid w:linePitch="360"/>
        </w:sectPr>
      </w:pPr>
    </w:p>
    <w:p w14:paraId="394DDFFA" w14:textId="77777777" w:rsidR="0007538D" w:rsidRDefault="0007538D" w:rsidP="0007538D">
      <w:pPr>
        <w:sectPr w:rsidR="0007538D" w:rsidSect="0007538D">
          <w:headerReference w:type="default" r:id="rId19"/>
          <w:type w:val="continuous"/>
          <w:pgSz w:w="11906" w:h="16838"/>
          <w:pgMar w:top="1701" w:right="1418" w:bottom="1418" w:left="1418" w:header="709" w:footer="397" w:gutter="0"/>
          <w:cols w:space="708"/>
          <w:titlePg/>
          <w:docGrid w:linePitch="360"/>
        </w:sectPr>
      </w:pPr>
    </w:p>
    <w:p w14:paraId="394DDFFB" w14:textId="5DD5AD06" w:rsidR="0007538D" w:rsidRDefault="00287951" w:rsidP="0007538D">
      <w:pPr>
        <w:pStyle w:val="Heading1"/>
        <w:tabs>
          <w:tab w:val="right" w:pos="9070"/>
        </w:tabs>
        <w:spacing w:before="560" w:after="640"/>
        <w:rPr>
          <w:color w:val="FFFFFF" w:themeColor="background1"/>
          <w:sz w:val="36"/>
        </w:rPr>
        <w:sectPr w:rsidR="0007538D" w:rsidSect="0007538D">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1" behindDoc="1" locked="0" layoutInCell="1" allowOverlap="1" wp14:anchorId="394DE0C1" wp14:editId="394DE0C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7807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94DDFFC" w14:textId="77777777" w:rsidR="0007538D" w:rsidRPr="00FD1B02" w:rsidRDefault="00287951" w:rsidP="0007538D">
      <w:pPr>
        <w:pStyle w:val="Heading3"/>
        <w:shd w:val="clear" w:color="auto" w:fill="F2F2F2" w:themeFill="background1" w:themeFillShade="F2"/>
      </w:pPr>
      <w:r w:rsidRPr="00FD1B02">
        <w:t>Consumer outcome:</w:t>
      </w:r>
    </w:p>
    <w:p w14:paraId="394DDFFD" w14:textId="77777777" w:rsidR="0007538D" w:rsidRDefault="00287951" w:rsidP="0007538D">
      <w:pPr>
        <w:numPr>
          <w:ilvl w:val="0"/>
          <w:numId w:val="3"/>
        </w:numPr>
        <w:shd w:val="clear" w:color="auto" w:fill="F2F2F2" w:themeFill="background1" w:themeFillShade="F2"/>
      </w:pPr>
      <w:r>
        <w:t>I get personal care, clinical care, or both personal care and clinical care, that is safe and right for me.</w:t>
      </w:r>
    </w:p>
    <w:p w14:paraId="394DDFFE" w14:textId="77777777" w:rsidR="0007538D" w:rsidRDefault="00287951" w:rsidP="0007538D">
      <w:pPr>
        <w:pStyle w:val="Heading3"/>
        <w:shd w:val="clear" w:color="auto" w:fill="F2F2F2" w:themeFill="background1" w:themeFillShade="F2"/>
      </w:pPr>
      <w:r>
        <w:t>Organisation statement:</w:t>
      </w:r>
    </w:p>
    <w:p w14:paraId="394DDFFF" w14:textId="77777777" w:rsidR="0007538D" w:rsidRDefault="00287951" w:rsidP="0007538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94DE000" w14:textId="77777777" w:rsidR="0007538D" w:rsidRDefault="00287951" w:rsidP="0007538D">
      <w:pPr>
        <w:pStyle w:val="Heading2"/>
      </w:pPr>
      <w:r>
        <w:t>Assessment of Standard 3</w:t>
      </w:r>
    </w:p>
    <w:p w14:paraId="5E99245D" w14:textId="008EA4D2" w:rsidR="000A40C3" w:rsidRPr="00F471A9" w:rsidRDefault="00936568" w:rsidP="000A40C3">
      <w:pPr>
        <w:rPr>
          <w:rFonts w:eastAsia="Arial"/>
          <w:color w:val="000000" w:themeColor="text1"/>
        </w:rPr>
      </w:pPr>
      <w:r w:rsidRPr="00F471A9">
        <w:rPr>
          <w:rFonts w:eastAsia="Arial"/>
          <w:color w:val="000000" w:themeColor="text1"/>
        </w:rPr>
        <w:t xml:space="preserve">Consumers advised they </w:t>
      </w:r>
      <w:r w:rsidR="00A9481C" w:rsidRPr="00F471A9">
        <w:rPr>
          <w:rFonts w:eastAsia="Arial"/>
          <w:color w:val="000000" w:themeColor="text1"/>
        </w:rPr>
        <w:t xml:space="preserve">received </w:t>
      </w:r>
      <w:r w:rsidRPr="00F471A9">
        <w:rPr>
          <w:rFonts w:eastAsia="Arial"/>
          <w:color w:val="000000" w:themeColor="text1"/>
        </w:rPr>
        <w:t>the care they need</w:t>
      </w:r>
      <w:r w:rsidR="00A9481C" w:rsidRPr="00F471A9">
        <w:rPr>
          <w:rFonts w:eastAsia="Arial"/>
          <w:color w:val="000000" w:themeColor="text1"/>
        </w:rPr>
        <w:t>ed</w:t>
      </w:r>
      <w:r w:rsidRPr="00F471A9">
        <w:rPr>
          <w:rFonts w:eastAsia="Arial"/>
          <w:color w:val="000000" w:themeColor="text1"/>
        </w:rPr>
        <w:t xml:space="preserve"> and ha</w:t>
      </w:r>
      <w:r w:rsidR="00A9481C" w:rsidRPr="00F471A9">
        <w:rPr>
          <w:rFonts w:eastAsia="Arial"/>
          <w:color w:val="000000" w:themeColor="text1"/>
        </w:rPr>
        <w:t>d</w:t>
      </w:r>
      <w:r w:rsidRPr="00F471A9">
        <w:rPr>
          <w:rFonts w:eastAsia="Arial"/>
          <w:color w:val="000000" w:themeColor="text1"/>
        </w:rPr>
        <w:t xml:space="preserve"> access to a </w:t>
      </w:r>
      <w:r w:rsidR="00991453" w:rsidRPr="00F471A9">
        <w:rPr>
          <w:rFonts w:eastAsia="Arial"/>
          <w:color w:val="000000" w:themeColor="text1"/>
        </w:rPr>
        <w:t>m</w:t>
      </w:r>
      <w:r w:rsidRPr="00F471A9">
        <w:rPr>
          <w:rFonts w:eastAsia="Arial"/>
          <w:color w:val="000000" w:themeColor="text1"/>
        </w:rPr>
        <w:t xml:space="preserve">edical </w:t>
      </w:r>
      <w:r w:rsidR="00991453" w:rsidRPr="00F471A9">
        <w:rPr>
          <w:rFonts w:eastAsia="Arial"/>
          <w:color w:val="000000" w:themeColor="text1"/>
        </w:rPr>
        <w:t>o</w:t>
      </w:r>
      <w:r w:rsidRPr="00F471A9">
        <w:rPr>
          <w:rFonts w:eastAsia="Arial"/>
          <w:color w:val="000000" w:themeColor="text1"/>
        </w:rPr>
        <w:t>fficer</w:t>
      </w:r>
      <w:r w:rsidRPr="00F471A9">
        <w:rPr>
          <w:rFonts w:ascii="Calibri" w:eastAsia="Calibri" w:hAnsi="Calibri" w:cs="Calibri"/>
          <w:color w:val="000000" w:themeColor="text1"/>
        </w:rPr>
        <w:t xml:space="preserve"> </w:t>
      </w:r>
      <w:r w:rsidRPr="00F471A9">
        <w:rPr>
          <w:rFonts w:eastAsia="Arial"/>
          <w:color w:val="000000" w:themeColor="text1"/>
        </w:rPr>
        <w:t>and other health professionals when required.</w:t>
      </w:r>
      <w:r w:rsidR="00F471A9">
        <w:rPr>
          <w:rFonts w:eastAsia="Arial"/>
          <w:color w:val="000000" w:themeColor="text1"/>
        </w:rPr>
        <w:t xml:space="preserve">  </w:t>
      </w:r>
      <w:r w:rsidR="007814E9">
        <w:rPr>
          <w:rFonts w:eastAsia="Arial"/>
          <w:color w:val="000000" w:themeColor="text1"/>
        </w:rPr>
        <w:t>C</w:t>
      </w:r>
      <w:r w:rsidRPr="00F471A9">
        <w:rPr>
          <w:rFonts w:eastAsia="Arial"/>
          <w:color w:val="000000" w:themeColor="text1"/>
        </w:rPr>
        <w:t>onsumers and representatives spoke positively about the staff at the service and said staff underst</w:t>
      </w:r>
      <w:r w:rsidR="00A9481C" w:rsidRPr="00F471A9">
        <w:rPr>
          <w:rFonts w:eastAsia="Arial"/>
          <w:color w:val="000000" w:themeColor="text1"/>
        </w:rPr>
        <w:t>oo</w:t>
      </w:r>
      <w:r w:rsidRPr="00F471A9">
        <w:rPr>
          <w:rFonts w:eastAsia="Arial"/>
          <w:color w:val="000000" w:themeColor="text1"/>
        </w:rPr>
        <w:t>d their needs, goals and preferences</w:t>
      </w:r>
      <w:r w:rsidR="00123EB0">
        <w:rPr>
          <w:rFonts w:eastAsia="Arial"/>
          <w:color w:val="000000" w:themeColor="text1"/>
        </w:rPr>
        <w:t xml:space="preserve">.  They considered </w:t>
      </w:r>
      <w:r w:rsidR="00F471A9" w:rsidRPr="339744D8">
        <w:rPr>
          <w:rFonts w:eastAsia="Arial"/>
          <w:color w:val="000000" w:themeColor="text1"/>
        </w:rPr>
        <w:t xml:space="preserve">information </w:t>
      </w:r>
      <w:r w:rsidR="00123EB0">
        <w:rPr>
          <w:rFonts w:eastAsia="Arial"/>
          <w:color w:val="000000" w:themeColor="text1"/>
        </w:rPr>
        <w:t>about the care and services they required wa</w:t>
      </w:r>
      <w:r w:rsidR="00F471A9" w:rsidRPr="339744D8">
        <w:rPr>
          <w:rFonts w:eastAsia="Arial"/>
          <w:color w:val="000000" w:themeColor="text1"/>
        </w:rPr>
        <w:t>s effectively communicated between staff and others</w:t>
      </w:r>
      <w:r w:rsidR="005D2EB5">
        <w:rPr>
          <w:rFonts w:eastAsia="Arial"/>
          <w:color w:val="000000" w:themeColor="text1"/>
        </w:rPr>
        <w:t xml:space="preserve"> involved in their care</w:t>
      </w:r>
      <w:r w:rsidR="00F471A9" w:rsidRPr="339744D8">
        <w:rPr>
          <w:rFonts w:eastAsia="Arial"/>
          <w:color w:val="000000" w:themeColor="text1"/>
        </w:rPr>
        <w:t>.</w:t>
      </w:r>
      <w:r w:rsidR="000A40C3" w:rsidRPr="000A40C3">
        <w:rPr>
          <w:rFonts w:eastAsia="Arial"/>
          <w:color w:val="000000" w:themeColor="text1"/>
        </w:rPr>
        <w:t xml:space="preserve"> </w:t>
      </w:r>
      <w:r w:rsidR="00123EB0">
        <w:rPr>
          <w:rFonts w:eastAsia="Arial"/>
          <w:color w:val="000000" w:themeColor="text1"/>
        </w:rPr>
        <w:t xml:space="preserve"> For those consumers </w:t>
      </w:r>
      <w:r w:rsidR="000A40C3" w:rsidRPr="00F471A9">
        <w:rPr>
          <w:rFonts w:eastAsia="Arial"/>
          <w:color w:val="000000" w:themeColor="text1"/>
        </w:rPr>
        <w:t>who ha</w:t>
      </w:r>
      <w:r w:rsidR="00123EB0">
        <w:rPr>
          <w:rFonts w:eastAsia="Arial"/>
          <w:color w:val="000000" w:themeColor="text1"/>
        </w:rPr>
        <w:t>d</w:t>
      </w:r>
      <w:r w:rsidR="000A40C3" w:rsidRPr="00F471A9">
        <w:rPr>
          <w:rFonts w:eastAsia="Arial"/>
          <w:color w:val="000000" w:themeColor="text1"/>
        </w:rPr>
        <w:t xml:space="preserve"> experienced a deterioration </w:t>
      </w:r>
      <w:r w:rsidR="00123EB0">
        <w:rPr>
          <w:rFonts w:eastAsia="Arial"/>
          <w:color w:val="000000" w:themeColor="text1"/>
        </w:rPr>
        <w:t xml:space="preserve">in health, they considered </w:t>
      </w:r>
      <w:r w:rsidR="000A40C3" w:rsidRPr="00F471A9">
        <w:rPr>
          <w:rFonts w:eastAsia="Arial"/>
          <w:color w:val="000000" w:themeColor="text1"/>
        </w:rPr>
        <w:t>the service ha</w:t>
      </w:r>
      <w:r w:rsidR="00123EB0">
        <w:rPr>
          <w:rFonts w:eastAsia="Arial"/>
          <w:color w:val="000000" w:themeColor="text1"/>
        </w:rPr>
        <w:t>d</w:t>
      </w:r>
      <w:r w:rsidR="000A40C3" w:rsidRPr="00F471A9">
        <w:rPr>
          <w:rFonts w:eastAsia="Arial"/>
          <w:color w:val="000000" w:themeColor="text1"/>
        </w:rPr>
        <w:t xml:space="preserve"> recognised and responded to the</w:t>
      </w:r>
      <w:r w:rsidR="00123EB0">
        <w:rPr>
          <w:rFonts w:eastAsia="Arial"/>
          <w:color w:val="000000" w:themeColor="text1"/>
        </w:rPr>
        <w:t>ir changing condition</w:t>
      </w:r>
      <w:r w:rsidR="000A40C3" w:rsidRPr="00F471A9">
        <w:rPr>
          <w:rFonts w:eastAsia="Arial"/>
          <w:color w:val="000000" w:themeColor="text1"/>
        </w:rPr>
        <w:t xml:space="preserve"> in a timely manner. </w:t>
      </w:r>
    </w:p>
    <w:p w14:paraId="70BE60CB" w14:textId="361F5488" w:rsidR="000A40C3" w:rsidRPr="00F471A9" w:rsidRDefault="00123EB0" w:rsidP="000A40C3">
      <w:pPr>
        <w:rPr>
          <w:rFonts w:eastAsia="Arial"/>
          <w:color w:val="000000" w:themeColor="text1"/>
        </w:rPr>
      </w:pPr>
      <w:r w:rsidRPr="00F471A9">
        <w:rPr>
          <w:rFonts w:eastAsia="Arial"/>
          <w:color w:val="000000" w:themeColor="text1"/>
        </w:rPr>
        <w:t>The service has</w:t>
      </w:r>
      <w:r w:rsidR="00442FD8">
        <w:rPr>
          <w:rFonts w:eastAsia="Arial"/>
          <w:color w:val="000000" w:themeColor="text1"/>
        </w:rPr>
        <w:t xml:space="preserve"> suite of</w:t>
      </w:r>
      <w:r w:rsidRPr="00F471A9">
        <w:rPr>
          <w:rFonts w:eastAsia="Arial"/>
          <w:color w:val="000000" w:themeColor="text1"/>
        </w:rPr>
        <w:t xml:space="preserve"> policies and procedures </w:t>
      </w:r>
      <w:r w:rsidR="00442FD8">
        <w:rPr>
          <w:rFonts w:eastAsia="Arial"/>
          <w:color w:val="000000" w:themeColor="text1"/>
        </w:rPr>
        <w:t xml:space="preserve">on various topics </w:t>
      </w:r>
      <w:r>
        <w:rPr>
          <w:rFonts w:eastAsia="Arial"/>
          <w:color w:val="000000" w:themeColor="text1"/>
        </w:rPr>
        <w:t>relating to</w:t>
      </w:r>
      <w:r w:rsidRPr="00F471A9">
        <w:rPr>
          <w:rFonts w:eastAsia="Arial"/>
          <w:color w:val="000000" w:themeColor="text1"/>
        </w:rPr>
        <w:t xml:space="preserve"> </w:t>
      </w:r>
      <w:r w:rsidR="00442FD8">
        <w:rPr>
          <w:rFonts w:eastAsia="Arial"/>
          <w:color w:val="000000" w:themeColor="text1"/>
        </w:rPr>
        <w:t xml:space="preserve">personal and clinical care, including </w:t>
      </w:r>
      <w:r w:rsidRPr="00F471A9">
        <w:rPr>
          <w:rFonts w:eastAsia="Arial"/>
          <w:color w:val="000000" w:themeColor="text1"/>
        </w:rPr>
        <w:t>restraint, skin integrity, and pain management</w:t>
      </w:r>
      <w:r>
        <w:rPr>
          <w:rFonts w:eastAsia="Arial"/>
          <w:color w:val="000000" w:themeColor="text1"/>
        </w:rPr>
        <w:t xml:space="preserve">.  </w:t>
      </w:r>
      <w:r w:rsidR="000A40C3" w:rsidRPr="16D4EDC5">
        <w:rPr>
          <w:rFonts w:eastAsia="Arial"/>
        </w:rPr>
        <w:t>Staff have access to clinical pathways</w:t>
      </w:r>
      <w:r w:rsidR="00442FD8">
        <w:rPr>
          <w:rFonts w:eastAsia="Arial"/>
        </w:rPr>
        <w:t xml:space="preserve"> and</w:t>
      </w:r>
      <w:r w:rsidR="000A40C3" w:rsidRPr="16D4EDC5">
        <w:rPr>
          <w:rFonts w:eastAsia="Arial"/>
        </w:rPr>
        <w:t xml:space="preserve"> policies and procedures to</w:t>
      </w:r>
      <w:r w:rsidRPr="00F471A9">
        <w:rPr>
          <w:rFonts w:eastAsia="Arial"/>
          <w:color w:val="000000" w:themeColor="text1"/>
        </w:rPr>
        <w:t xml:space="preserve"> manage advance care planning</w:t>
      </w:r>
      <w:r w:rsidRPr="16D4EDC5">
        <w:rPr>
          <w:rFonts w:eastAsia="Arial"/>
        </w:rPr>
        <w:t xml:space="preserve"> </w:t>
      </w:r>
      <w:r>
        <w:rPr>
          <w:rFonts w:eastAsia="Arial"/>
        </w:rPr>
        <w:t xml:space="preserve">and to </w:t>
      </w:r>
      <w:r w:rsidR="000A40C3" w:rsidRPr="16D4EDC5">
        <w:rPr>
          <w:rFonts w:eastAsia="Arial"/>
        </w:rPr>
        <w:t xml:space="preserve">guide them in </w:t>
      </w:r>
      <w:r w:rsidR="000A40C3" w:rsidRPr="00F471A9">
        <w:rPr>
          <w:rFonts w:eastAsia="Arial"/>
          <w:color w:val="000000" w:themeColor="text1"/>
        </w:rPr>
        <w:t>recognising and responding to a deterioration or change in a consumer’s condition</w:t>
      </w:r>
      <w:r>
        <w:rPr>
          <w:rFonts w:eastAsia="Arial"/>
          <w:color w:val="000000" w:themeColor="text1"/>
        </w:rPr>
        <w:t>,</w:t>
      </w:r>
      <w:r w:rsidR="000A40C3" w:rsidRPr="00F471A9">
        <w:rPr>
          <w:rFonts w:eastAsia="Arial"/>
          <w:color w:val="000000" w:themeColor="text1"/>
        </w:rPr>
        <w:t xml:space="preserve"> including diabetes management, falls, pain, delirium and behaviours</w:t>
      </w:r>
      <w:r w:rsidR="000A40C3">
        <w:rPr>
          <w:rFonts w:eastAsia="Arial"/>
          <w:color w:val="000000" w:themeColor="text1"/>
        </w:rPr>
        <w:t>.</w:t>
      </w:r>
      <w:r>
        <w:rPr>
          <w:rFonts w:eastAsia="Arial"/>
          <w:color w:val="000000" w:themeColor="text1"/>
        </w:rPr>
        <w:t xml:space="preserve">  </w:t>
      </w:r>
      <w:r w:rsidR="000A40C3" w:rsidRPr="16D4EDC5">
        <w:rPr>
          <w:rFonts w:eastAsia="Arial"/>
          <w:color w:val="000000" w:themeColor="text1"/>
        </w:rPr>
        <w:t xml:space="preserve">The service has processes for referral of consumers to external service providers, </w:t>
      </w:r>
      <w:r>
        <w:rPr>
          <w:rFonts w:eastAsia="Arial"/>
          <w:color w:val="000000" w:themeColor="text1"/>
        </w:rPr>
        <w:t>medical officer</w:t>
      </w:r>
      <w:r w:rsidR="005D2EB5">
        <w:rPr>
          <w:rFonts w:eastAsia="Arial"/>
          <w:color w:val="000000" w:themeColor="text1"/>
        </w:rPr>
        <w:t>s</w:t>
      </w:r>
      <w:r w:rsidR="000A40C3" w:rsidRPr="16D4EDC5">
        <w:rPr>
          <w:rFonts w:eastAsia="Arial"/>
          <w:color w:val="000000" w:themeColor="text1"/>
        </w:rPr>
        <w:t xml:space="preserve"> and allied health professionals.</w:t>
      </w:r>
    </w:p>
    <w:p w14:paraId="74F3CB96" w14:textId="2DEB9005" w:rsidR="000A40C3" w:rsidRDefault="00123EB0" w:rsidP="000A40C3">
      <w:pPr>
        <w:rPr>
          <w:rFonts w:eastAsia="Arial"/>
          <w:color w:val="000000" w:themeColor="text1"/>
        </w:rPr>
      </w:pPr>
      <w:r>
        <w:rPr>
          <w:rFonts w:eastAsia="Arial"/>
          <w:color w:val="000000" w:themeColor="text1"/>
        </w:rPr>
        <w:t>C</w:t>
      </w:r>
      <w:r w:rsidR="00936568" w:rsidRPr="00F471A9">
        <w:rPr>
          <w:rFonts w:eastAsia="Arial"/>
          <w:color w:val="000000" w:themeColor="text1"/>
        </w:rPr>
        <w:t>are documentation demonstrate</w:t>
      </w:r>
      <w:r w:rsidR="00DF3437">
        <w:rPr>
          <w:rFonts w:eastAsia="Arial"/>
          <w:color w:val="000000" w:themeColor="text1"/>
        </w:rPr>
        <w:t>d</w:t>
      </w:r>
      <w:r w:rsidR="00936568" w:rsidRPr="00F471A9">
        <w:rPr>
          <w:rFonts w:eastAsia="Arial"/>
          <w:color w:val="000000" w:themeColor="text1"/>
        </w:rPr>
        <w:t xml:space="preserve"> care </w:t>
      </w:r>
      <w:r w:rsidR="00DF3437">
        <w:rPr>
          <w:rFonts w:eastAsia="Arial"/>
          <w:color w:val="000000" w:themeColor="text1"/>
        </w:rPr>
        <w:t>wa</w:t>
      </w:r>
      <w:r w:rsidR="00936568" w:rsidRPr="00F471A9">
        <w:rPr>
          <w:rFonts w:eastAsia="Arial"/>
          <w:color w:val="000000" w:themeColor="text1"/>
        </w:rPr>
        <w:t xml:space="preserve">s safe, effective and tailored to the specific needs of consumers. </w:t>
      </w:r>
      <w:r w:rsidR="00DF3437">
        <w:rPr>
          <w:rFonts w:eastAsia="Arial"/>
          <w:color w:val="000000" w:themeColor="text1"/>
        </w:rPr>
        <w:t xml:space="preserve"> The documentation</w:t>
      </w:r>
      <w:r w:rsidR="00DF3437" w:rsidRPr="00F471A9">
        <w:rPr>
          <w:rFonts w:eastAsia="Arial"/>
          <w:color w:val="000000" w:themeColor="text1"/>
        </w:rPr>
        <w:t xml:space="preserve"> provide</w:t>
      </w:r>
      <w:r w:rsidR="00DF3437">
        <w:rPr>
          <w:rFonts w:eastAsia="Arial"/>
          <w:color w:val="000000" w:themeColor="text1"/>
        </w:rPr>
        <w:t>d</w:t>
      </w:r>
      <w:r w:rsidR="00DF3437" w:rsidRPr="00F471A9">
        <w:rPr>
          <w:rFonts w:eastAsia="Arial"/>
          <w:color w:val="000000" w:themeColor="text1"/>
        </w:rPr>
        <w:t xml:space="preserve"> adequate information to support effective and safe sharing of the consumer’s care</w:t>
      </w:r>
      <w:r w:rsidR="00DF3437">
        <w:rPr>
          <w:rFonts w:eastAsia="Arial"/>
          <w:color w:val="000000" w:themeColor="text1"/>
        </w:rPr>
        <w:t>.</w:t>
      </w:r>
      <w:r w:rsidR="00DF3437" w:rsidRPr="00A9481C">
        <w:rPr>
          <w:rFonts w:eastAsia="Arial"/>
          <w:color w:val="auto"/>
        </w:rPr>
        <w:t xml:space="preserve"> </w:t>
      </w:r>
      <w:r w:rsidR="00DF3437">
        <w:rPr>
          <w:rFonts w:eastAsia="Arial"/>
          <w:color w:val="auto"/>
        </w:rPr>
        <w:t>H</w:t>
      </w:r>
      <w:r w:rsidR="00DF3437" w:rsidRPr="00A9481C">
        <w:rPr>
          <w:rFonts w:eastAsia="Arial"/>
          <w:color w:val="auto"/>
        </w:rPr>
        <w:t xml:space="preserve">igh impact or high prevalence risks </w:t>
      </w:r>
      <w:r w:rsidR="00DF3437">
        <w:rPr>
          <w:rFonts w:eastAsia="Arial"/>
          <w:color w:val="auto"/>
        </w:rPr>
        <w:t>we</w:t>
      </w:r>
      <w:r w:rsidR="00DF3437" w:rsidRPr="00A9481C">
        <w:rPr>
          <w:rFonts w:eastAsia="Arial"/>
          <w:color w:val="auto"/>
        </w:rPr>
        <w:t xml:space="preserve">re identified in care planning </w:t>
      </w:r>
      <w:r w:rsidR="00DF3437" w:rsidRPr="00A9481C">
        <w:rPr>
          <w:rFonts w:eastAsia="Arial"/>
          <w:color w:val="000000" w:themeColor="text1"/>
        </w:rPr>
        <w:t>documentation</w:t>
      </w:r>
      <w:r w:rsidR="005D2EB5">
        <w:rPr>
          <w:rFonts w:eastAsia="Arial"/>
          <w:color w:val="000000" w:themeColor="text1"/>
        </w:rPr>
        <w:t>,</w:t>
      </w:r>
      <w:r w:rsidR="00DF3437">
        <w:rPr>
          <w:rFonts w:eastAsia="Arial"/>
          <w:color w:val="000000" w:themeColor="text1"/>
        </w:rPr>
        <w:t xml:space="preserve"> and </w:t>
      </w:r>
      <w:r w:rsidR="00F471A9" w:rsidRPr="00F471A9">
        <w:rPr>
          <w:rFonts w:eastAsia="Arial"/>
          <w:color w:val="000000" w:themeColor="text1"/>
        </w:rPr>
        <w:t>progress notes reflect</w:t>
      </w:r>
      <w:r w:rsidR="00DF3437">
        <w:rPr>
          <w:rFonts w:eastAsia="Arial"/>
          <w:color w:val="000000" w:themeColor="text1"/>
        </w:rPr>
        <w:t>ed</w:t>
      </w:r>
      <w:r w:rsidR="00F471A9" w:rsidRPr="00F471A9">
        <w:rPr>
          <w:rFonts w:eastAsia="Arial"/>
          <w:color w:val="000000" w:themeColor="text1"/>
        </w:rPr>
        <w:t xml:space="preserve"> the identification of</w:t>
      </w:r>
      <w:r w:rsidR="00DF3437">
        <w:rPr>
          <w:rFonts w:eastAsia="Arial"/>
          <w:color w:val="000000" w:themeColor="text1"/>
        </w:rPr>
        <w:t>,</w:t>
      </w:r>
      <w:r w:rsidR="00F471A9" w:rsidRPr="00F471A9">
        <w:rPr>
          <w:rFonts w:eastAsia="Arial"/>
          <w:color w:val="000000" w:themeColor="text1"/>
        </w:rPr>
        <w:t xml:space="preserve"> and response to, </w:t>
      </w:r>
      <w:r w:rsidR="00DF3437">
        <w:rPr>
          <w:rFonts w:eastAsia="Arial"/>
          <w:color w:val="000000" w:themeColor="text1"/>
        </w:rPr>
        <w:t xml:space="preserve">a </w:t>
      </w:r>
      <w:r w:rsidR="00F471A9" w:rsidRPr="00F471A9">
        <w:rPr>
          <w:rFonts w:eastAsia="Arial"/>
          <w:color w:val="000000" w:themeColor="text1"/>
        </w:rPr>
        <w:t xml:space="preserve">deterioration or </w:t>
      </w:r>
      <w:r w:rsidR="00DF3437">
        <w:rPr>
          <w:rFonts w:eastAsia="Arial"/>
          <w:color w:val="000000" w:themeColor="text1"/>
        </w:rPr>
        <w:t xml:space="preserve">a </w:t>
      </w:r>
      <w:r w:rsidR="00F471A9" w:rsidRPr="00F471A9">
        <w:rPr>
          <w:rFonts w:eastAsia="Arial"/>
          <w:color w:val="000000" w:themeColor="text1"/>
        </w:rPr>
        <w:t xml:space="preserve">change in </w:t>
      </w:r>
      <w:r w:rsidR="00DF3437">
        <w:rPr>
          <w:rFonts w:eastAsia="Arial"/>
          <w:color w:val="000000" w:themeColor="text1"/>
        </w:rPr>
        <w:t>a consumer’s health and well-being</w:t>
      </w:r>
      <w:r w:rsidR="007814E9">
        <w:rPr>
          <w:rFonts w:eastAsia="Arial"/>
          <w:color w:val="auto"/>
        </w:rPr>
        <w:t xml:space="preserve">.  </w:t>
      </w:r>
      <w:r w:rsidR="00DF3437">
        <w:rPr>
          <w:rFonts w:eastAsia="Arial"/>
          <w:color w:val="auto"/>
        </w:rPr>
        <w:t>C</w:t>
      </w:r>
      <w:r w:rsidR="000A40C3" w:rsidRPr="339744D8">
        <w:rPr>
          <w:rFonts w:eastAsia="Arial"/>
        </w:rPr>
        <w:t xml:space="preserve">are documentation </w:t>
      </w:r>
      <w:r w:rsidR="00DF3437">
        <w:rPr>
          <w:rFonts w:eastAsia="Arial"/>
        </w:rPr>
        <w:t>evidenced</w:t>
      </w:r>
      <w:r w:rsidR="000A40C3" w:rsidRPr="339744D8">
        <w:rPr>
          <w:rFonts w:eastAsia="Arial"/>
        </w:rPr>
        <w:t xml:space="preserve"> the input </w:t>
      </w:r>
      <w:r w:rsidR="00DF3437">
        <w:rPr>
          <w:rFonts w:eastAsia="Arial"/>
        </w:rPr>
        <w:t xml:space="preserve">of </w:t>
      </w:r>
      <w:r w:rsidR="00DF3437">
        <w:rPr>
          <w:rFonts w:eastAsia="Arial"/>
        </w:rPr>
        <w:lastRenderedPageBreak/>
        <w:t>medical officers and health professionals</w:t>
      </w:r>
      <w:r w:rsidR="00615E9F">
        <w:rPr>
          <w:rFonts w:eastAsia="Arial"/>
        </w:rPr>
        <w:t>, including</w:t>
      </w:r>
      <w:r w:rsidR="000A40C3" w:rsidRPr="339744D8">
        <w:rPr>
          <w:rFonts w:eastAsia="Arial"/>
        </w:rPr>
        <w:t xml:space="preserve"> podiatry, dietician</w:t>
      </w:r>
      <w:r w:rsidR="00DF3437">
        <w:rPr>
          <w:rFonts w:eastAsia="Arial"/>
        </w:rPr>
        <w:t>s</w:t>
      </w:r>
      <w:r w:rsidR="000A40C3" w:rsidRPr="339744D8">
        <w:rPr>
          <w:rFonts w:eastAsia="Arial"/>
        </w:rPr>
        <w:t>, physiotherapist</w:t>
      </w:r>
      <w:r w:rsidR="00DF3437">
        <w:rPr>
          <w:rFonts w:eastAsia="Arial"/>
        </w:rPr>
        <w:t>s and</w:t>
      </w:r>
      <w:r w:rsidR="000A40C3" w:rsidRPr="339744D8">
        <w:rPr>
          <w:rFonts w:eastAsia="Arial"/>
        </w:rPr>
        <w:t xml:space="preserve"> speech patholog</w:t>
      </w:r>
      <w:r w:rsidR="00DF3437">
        <w:rPr>
          <w:rFonts w:eastAsia="Arial"/>
        </w:rPr>
        <w:t>ists</w:t>
      </w:r>
      <w:r w:rsidR="000A40C3" w:rsidRPr="00F471A9">
        <w:rPr>
          <w:rFonts w:eastAsia="Arial"/>
          <w:color w:val="000000" w:themeColor="text1"/>
        </w:rPr>
        <w:t>.</w:t>
      </w:r>
      <w:r w:rsidR="00DF3437">
        <w:rPr>
          <w:rFonts w:eastAsia="Arial"/>
          <w:color w:val="000000" w:themeColor="text1"/>
        </w:rPr>
        <w:t xml:space="preserve"> </w:t>
      </w:r>
      <w:r w:rsidR="000A40C3" w:rsidRPr="00F471A9">
        <w:rPr>
          <w:rFonts w:eastAsia="Arial"/>
          <w:color w:val="000000" w:themeColor="text1"/>
        </w:rPr>
        <w:t xml:space="preserve"> </w:t>
      </w:r>
      <w:r w:rsidR="00DF3437">
        <w:rPr>
          <w:rFonts w:eastAsia="Arial"/>
          <w:color w:val="000000" w:themeColor="text1"/>
        </w:rPr>
        <w:t>C</w:t>
      </w:r>
      <w:r w:rsidR="000A40C3" w:rsidRPr="00F471A9">
        <w:rPr>
          <w:rFonts w:eastAsia="Arial"/>
          <w:color w:val="000000" w:themeColor="text1"/>
        </w:rPr>
        <w:t>linical</w:t>
      </w:r>
      <w:r w:rsidR="000A40C3" w:rsidRPr="00E61EF6">
        <w:rPr>
          <w:rFonts w:eastAsia="Arial"/>
        </w:rPr>
        <w:t xml:space="preserve"> files demonstrated </w:t>
      </w:r>
      <w:r w:rsidR="00DF3437">
        <w:rPr>
          <w:rFonts w:eastAsia="Arial"/>
        </w:rPr>
        <w:t xml:space="preserve">that registered nurses </w:t>
      </w:r>
      <w:r w:rsidR="000A40C3" w:rsidRPr="00E61EF6">
        <w:rPr>
          <w:rFonts w:eastAsia="Arial"/>
        </w:rPr>
        <w:t>notif</w:t>
      </w:r>
      <w:r w:rsidR="00DF3437">
        <w:rPr>
          <w:rFonts w:eastAsia="Arial"/>
        </w:rPr>
        <w:t xml:space="preserve">ied medical officers and </w:t>
      </w:r>
      <w:r w:rsidR="000A40C3" w:rsidRPr="00E61EF6">
        <w:rPr>
          <w:rFonts w:eastAsia="Arial"/>
        </w:rPr>
        <w:t>consumers</w:t>
      </w:r>
      <w:r w:rsidR="00DF3437">
        <w:rPr>
          <w:rFonts w:eastAsia="Arial"/>
        </w:rPr>
        <w:t>’</w:t>
      </w:r>
      <w:r w:rsidR="000A40C3" w:rsidRPr="00E61EF6">
        <w:rPr>
          <w:rFonts w:eastAsia="Arial"/>
        </w:rPr>
        <w:t xml:space="preserve"> representatives when </w:t>
      </w:r>
      <w:r w:rsidR="00DF3437">
        <w:rPr>
          <w:rFonts w:eastAsia="Arial"/>
        </w:rPr>
        <w:t>a</w:t>
      </w:r>
      <w:r w:rsidR="000A40C3" w:rsidRPr="00E61EF6">
        <w:rPr>
          <w:rFonts w:eastAsia="Arial"/>
        </w:rPr>
        <w:t xml:space="preserve"> consumer experience</w:t>
      </w:r>
      <w:r w:rsidR="00DF3437">
        <w:rPr>
          <w:rFonts w:eastAsia="Arial"/>
        </w:rPr>
        <w:t>d</w:t>
      </w:r>
      <w:r w:rsidR="000A40C3" w:rsidRPr="00E61EF6">
        <w:rPr>
          <w:rFonts w:eastAsia="Arial"/>
        </w:rPr>
        <w:t xml:space="preserve"> a change in condition, experience</w:t>
      </w:r>
      <w:r w:rsidR="00DF3437">
        <w:rPr>
          <w:rFonts w:eastAsia="Arial"/>
        </w:rPr>
        <w:t>d</w:t>
      </w:r>
      <w:r w:rsidR="000A40C3" w:rsidRPr="00E61EF6">
        <w:rPr>
          <w:rFonts w:eastAsia="Arial"/>
        </w:rPr>
        <w:t xml:space="preserve"> a clinical</w:t>
      </w:r>
      <w:r w:rsidR="000A40C3" w:rsidRPr="339744D8">
        <w:rPr>
          <w:rFonts w:eastAsia="Arial"/>
        </w:rPr>
        <w:t xml:space="preserve"> incident, </w:t>
      </w:r>
      <w:r w:rsidR="00DF3437">
        <w:rPr>
          <w:rFonts w:eastAsia="Arial"/>
        </w:rPr>
        <w:t xml:space="preserve">or was </w:t>
      </w:r>
      <w:r w:rsidR="000A40C3" w:rsidRPr="339744D8">
        <w:rPr>
          <w:rFonts w:eastAsia="Arial"/>
        </w:rPr>
        <w:t>transferred to or from hospital.</w:t>
      </w:r>
      <w:r w:rsidR="000A40C3" w:rsidRPr="000A40C3">
        <w:rPr>
          <w:rFonts w:eastAsia="Arial"/>
          <w:color w:val="000000" w:themeColor="text1"/>
        </w:rPr>
        <w:t xml:space="preserve"> </w:t>
      </w:r>
      <w:r w:rsidR="00615E9F" w:rsidRPr="00F471A9">
        <w:rPr>
          <w:rFonts w:eastAsia="Arial"/>
          <w:color w:val="000000" w:themeColor="text1"/>
        </w:rPr>
        <w:t>If a consumer deteriorate</w:t>
      </w:r>
      <w:r w:rsidR="00F3293B">
        <w:rPr>
          <w:rFonts w:eastAsia="Arial"/>
          <w:color w:val="000000" w:themeColor="text1"/>
        </w:rPr>
        <w:t>d</w:t>
      </w:r>
      <w:r w:rsidR="00615E9F" w:rsidRPr="00F471A9">
        <w:rPr>
          <w:rFonts w:eastAsia="Arial"/>
          <w:color w:val="000000" w:themeColor="text1"/>
        </w:rPr>
        <w:t xml:space="preserve"> after business hours, staff c</w:t>
      </w:r>
      <w:r w:rsidR="00F3293B">
        <w:rPr>
          <w:rFonts w:eastAsia="Arial"/>
          <w:color w:val="000000" w:themeColor="text1"/>
        </w:rPr>
        <w:t xml:space="preserve">ould </w:t>
      </w:r>
      <w:r w:rsidR="00615E9F" w:rsidRPr="00F471A9">
        <w:rPr>
          <w:rFonts w:eastAsia="Arial"/>
          <w:color w:val="000000" w:themeColor="text1"/>
        </w:rPr>
        <w:t xml:space="preserve">telephone on-call management for support, an after-hours </w:t>
      </w:r>
      <w:r w:rsidR="00F3293B">
        <w:rPr>
          <w:rFonts w:eastAsia="Arial"/>
          <w:color w:val="000000" w:themeColor="text1"/>
        </w:rPr>
        <w:t>medical officer</w:t>
      </w:r>
      <w:r w:rsidR="00615E9F" w:rsidRPr="00F471A9">
        <w:rPr>
          <w:rFonts w:eastAsia="Arial"/>
          <w:color w:val="000000" w:themeColor="text1"/>
        </w:rPr>
        <w:t xml:space="preserve"> or they transfer the consumer to hospital.</w:t>
      </w:r>
      <w:r w:rsidR="00615E9F">
        <w:rPr>
          <w:rFonts w:eastAsia="Arial"/>
          <w:color w:val="000000" w:themeColor="text1"/>
        </w:rPr>
        <w:t xml:space="preserve"> </w:t>
      </w:r>
      <w:r w:rsidR="000A40C3" w:rsidRPr="00F471A9">
        <w:rPr>
          <w:rFonts w:eastAsia="Arial"/>
          <w:color w:val="000000" w:themeColor="text1"/>
        </w:rPr>
        <w:t>Electronic</w:t>
      </w:r>
      <w:r w:rsidR="000A40C3" w:rsidRPr="339744D8">
        <w:rPr>
          <w:rFonts w:eastAsia="Arial"/>
        </w:rPr>
        <w:t xml:space="preserve"> alerts in the care documentation system notif</w:t>
      </w:r>
      <w:r w:rsidR="00DF3437">
        <w:rPr>
          <w:rFonts w:eastAsia="Arial"/>
        </w:rPr>
        <w:t>ied</w:t>
      </w:r>
      <w:r w:rsidR="000A40C3" w:rsidRPr="339744D8">
        <w:rPr>
          <w:rFonts w:eastAsia="Arial"/>
        </w:rPr>
        <w:t xml:space="preserve"> staff of changes to consumers’ health status, needs and preferences.</w:t>
      </w:r>
    </w:p>
    <w:p w14:paraId="59D0C408" w14:textId="5A5B8BD9" w:rsidR="00615E9F" w:rsidRPr="00615E9F" w:rsidRDefault="00936568" w:rsidP="00F471A9">
      <w:pPr>
        <w:rPr>
          <w:rFonts w:eastAsia="Arial"/>
          <w:color w:val="000000" w:themeColor="text1"/>
        </w:rPr>
      </w:pPr>
      <w:r w:rsidRPr="00817E1A">
        <w:rPr>
          <w:rFonts w:eastAsia="Arial"/>
          <w:color w:val="auto"/>
        </w:rPr>
        <w:t>The service engage</w:t>
      </w:r>
      <w:r w:rsidR="00F3293B">
        <w:rPr>
          <w:rFonts w:eastAsia="Arial"/>
          <w:color w:val="auto"/>
        </w:rPr>
        <w:t>d</w:t>
      </w:r>
      <w:r w:rsidRPr="00817E1A">
        <w:rPr>
          <w:rFonts w:eastAsia="Arial"/>
          <w:color w:val="auto"/>
        </w:rPr>
        <w:t xml:space="preserve"> external health advisory services such as allied health, </w:t>
      </w:r>
      <w:r w:rsidRPr="00F471A9">
        <w:rPr>
          <w:rFonts w:eastAsia="Arial"/>
          <w:color w:val="000000" w:themeColor="text1"/>
        </w:rPr>
        <w:t>wound specialists and hospital support services to provide guidance and directives in management of restraint, skin integrity and pain.</w:t>
      </w:r>
    </w:p>
    <w:p w14:paraId="21A70DC5" w14:textId="09233B5E" w:rsidR="00936568" w:rsidRPr="00A9481C" w:rsidRDefault="00A92594" w:rsidP="00A9481C">
      <w:pPr>
        <w:rPr>
          <w:rFonts w:asciiTheme="minorHAnsi" w:eastAsiaTheme="minorEastAsia" w:hAnsiTheme="minorHAnsi" w:cstheme="minorBidi"/>
          <w:color w:val="auto"/>
        </w:rPr>
      </w:pPr>
      <w:r>
        <w:rPr>
          <w:rFonts w:eastAsia="Arial"/>
          <w:color w:val="auto"/>
        </w:rPr>
        <w:t>C</w:t>
      </w:r>
      <w:r w:rsidRPr="00A9481C">
        <w:rPr>
          <w:rFonts w:eastAsia="Arial"/>
          <w:color w:val="auto"/>
        </w:rPr>
        <w:t xml:space="preserve">onsumers </w:t>
      </w:r>
      <w:r>
        <w:rPr>
          <w:rFonts w:eastAsia="Arial"/>
          <w:color w:val="auto"/>
        </w:rPr>
        <w:t>who we</w:t>
      </w:r>
      <w:r w:rsidRPr="00A9481C">
        <w:rPr>
          <w:rFonts w:eastAsia="Arial"/>
          <w:color w:val="auto"/>
        </w:rPr>
        <w:t xml:space="preserve">re environmentally restrained </w:t>
      </w:r>
      <w:r>
        <w:rPr>
          <w:rFonts w:eastAsia="Arial"/>
          <w:color w:val="auto"/>
        </w:rPr>
        <w:t>had</w:t>
      </w:r>
      <w:r w:rsidRPr="00A9481C">
        <w:rPr>
          <w:rFonts w:eastAsia="Arial"/>
          <w:color w:val="auto"/>
        </w:rPr>
        <w:t xml:space="preserve"> current restraint authorisations</w:t>
      </w:r>
      <w:r w:rsidR="00F3293B">
        <w:rPr>
          <w:rFonts w:eastAsia="Arial"/>
          <w:color w:val="auto"/>
        </w:rPr>
        <w:t xml:space="preserve">. </w:t>
      </w:r>
      <w:r>
        <w:rPr>
          <w:rFonts w:eastAsia="Arial"/>
          <w:color w:val="auto"/>
        </w:rPr>
        <w:t>Managers</w:t>
      </w:r>
      <w:r w:rsidR="00936568" w:rsidRPr="00A9481C">
        <w:rPr>
          <w:rFonts w:eastAsia="Arial"/>
          <w:color w:val="auto"/>
        </w:rPr>
        <w:t xml:space="preserve"> advised </w:t>
      </w:r>
      <w:r w:rsidRPr="00A9481C">
        <w:rPr>
          <w:rFonts w:eastAsia="Arial"/>
          <w:color w:val="auto"/>
        </w:rPr>
        <w:t>representative</w:t>
      </w:r>
      <w:r>
        <w:rPr>
          <w:rFonts w:eastAsia="Arial"/>
          <w:color w:val="auto"/>
        </w:rPr>
        <w:t xml:space="preserve">s were consulted about </w:t>
      </w:r>
      <w:r w:rsidRPr="00A9481C">
        <w:rPr>
          <w:rFonts w:eastAsia="Arial"/>
          <w:color w:val="auto"/>
        </w:rPr>
        <w:t xml:space="preserve">psychotropic medication </w:t>
      </w:r>
      <w:r>
        <w:rPr>
          <w:rFonts w:eastAsia="Arial"/>
          <w:color w:val="auto"/>
        </w:rPr>
        <w:t xml:space="preserve">prescriptions for </w:t>
      </w:r>
      <w:r w:rsidR="00F3293B">
        <w:rPr>
          <w:rFonts w:eastAsia="Arial"/>
          <w:color w:val="auto"/>
        </w:rPr>
        <w:t xml:space="preserve">those </w:t>
      </w:r>
      <w:r w:rsidR="00936568" w:rsidRPr="00A9481C">
        <w:rPr>
          <w:rFonts w:eastAsia="Arial"/>
          <w:color w:val="auto"/>
        </w:rPr>
        <w:t>consumer</w:t>
      </w:r>
      <w:r w:rsidR="00F3293B">
        <w:rPr>
          <w:rFonts w:eastAsia="Arial"/>
          <w:color w:val="auto"/>
        </w:rPr>
        <w:t>s prescribed such medications</w:t>
      </w:r>
      <w:r w:rsidR="00936568" w:rsidRPr="00A9481C">
        <w:rPr>
          <w:rFonts w:eastAsia="Arial"/>
          <w:color w:val="auto"/>
        </w:rPr>
        <w:t>.</w:t>
      </w:r>
    </w:p>
    <w:p w14:paraId="7FFFE541" w14:textId="772504A9" w:rsidR="00936568" w:rsidRPr="00A9481C" w:rsidRDefault="00936568" w:rsidP="00A9481C">
      <w:pPr>
        <w:rPr>
          <w:rFonts w:asciiTheme="minorHAnsi" w:eastAsiaTheme="minorEastAsia" w:hAnsiTheme="minorHAnsi" w:cstheme="minorBidi"/>
          <w:color w:val="auto"/>
        </w:rPr>
      </w:pPr>
      <w:r w:rsidRPr="00A9481C">
        <w:rPr>
          <w:rFonts w:eastAsia="Arial"/>
          <w:color w:val="auto"/>
        </w:rPr>
        <w:t xml:space="preserve">Registered staff </w:t>
      </w:r>
      <w:r w:rsidR="00A92594">
        <w:rPr>
          <w:rFonts w:eastAsia="Arial"/>
          <w:color w:val="auto"/>
        </w:rPr>
        <w:t>manage</w:t>
      </w:r>
      <w:r w:rsidR="00F3293B">
        <w:rPr>
          <w:rFonts w:eastAsia="Arial"/>
          <w:color w:val="auto"/>
        </w:rPr>
        <w:t>d</w:t>
      </w:r>
      <w:r w:rsidR="00A92594">
        <w:rPr>
          <w:rFonts w:eastAsia="Arial"/>
          <w:color w:val="auto"/>
        </w:rPr>
        <w:t xml:space="preserve"> </w:t>
      </w:r>
      <w:r w:rsidRPr="00A9481C">
        <w:rPr>
          <w:rFonts w:eastAsia="Arial"/>
          <w:color w:val="auto"/>
        </w:rPr>
        <w:t xml:space="preserve">wound care </w:t>
      </w:r>
      <w:r w:rsidR="00A92594">
        <w:rPr>
          <w:rFonts w:eastAsia="Arial"/>
          <w:color w:val="auto"/>
        </w:rPr>
        <w:t xml:space="preserve">at the service.  </w:t>
      </w:r>
      <w:r w:rsidRPr="00A9481C">
        <w:rPr>
          <w:rFonts w:eastAsia="Arial"/>
          <w:color w:val="auto"/>
        </w:rPr>
        <w:t xml:space="preserve">Wounds </w:t>
      </w:r>
      <w:r w:rsidR="00A92594">
        <w:rPr>
          <w:rFonts w:eastAsia="Arial"/>
          <w:color w:val="auto"/>
        </w:rPr>
        <w:t>we</w:t>
      </w:r>
      <w:r w:rsidRPr="00A9481C">
        <w:rPr>
          <w:rFonts w:eastAsia="Arial"/>
          <w:color w:val="auto"/>
        </w:rPr>
        <w:t xml:space="preserve">re attended </w:t>
      </w:r>
      <w:r w:rsidR="00F3293B">
        <w:rPr>
          <w:rFonts w:eastAsia="Arial"/>
          <w:color w:val="auto"/>
        </w:rPr>
        <w:t xml:space="preserve">in accordance with </w:t>
      </w:r>
      <w:r w:rsidRPr="00A9481C">
        <w:rPr>
          <w:rFonts w:eastAsia="Arial"/>
          <w:color w:val="auto"/>
        </w:rPr>
        <w:t xml:space="preserve">directives and any concerns </w:t>
      </w:r>
      <w:r w:rsidR="00A92594">
        <w:rPr>
          <w:rFonts w:eastAsia="Arial"/>
          <w:color w:val="auto"/>
        </w:rPr>
        <w:t>we</w:t>
      </w:r>
      <w:r w:rsidRPr="00A9481C">
        <w:rPr>
          <w:rFonts w:eastAsia="Arial"/>
          <w:color w:val="auto"/>
        </w:rPr>
        <w:t xml:space="preserve">re referred to </w:t>
      </w:r>
      <w:r w:rsidR="00A92594">
        <w:rPr>
          <w:rFonts w:eastAsia="Arial"/>
          <w:color w:val="auto"/>
        </w:rPr>
        <w:t>medical officers</w:t>
      </w:r>
      <w:r w:rsidRPr="00A9481C">
        <w:rPr>
          <w:rFonts w:eastAsia="Arial"/>
          <w:color w:val="auto"/>
        </w:rPr>
        <w:t xml:space="preserve"> or specialist</w:t>
      </w:r>
      <w:r w:rsidR="00A92594">
        <w:rPr>
          <w:rFonts w:eastAsia="Arial"/>
          <w:color w:val="auto"/>
        </w:rPr>
        <w:t>s</w:t>
      </w:r>
      <w:r w:rsidRPr="00A9481C">
        <w:rPr>
          <w:rFonts w:eastAsia="Arial"/>
          <w:color w:val="auto"/>
        </w:rPr>
        <w:t xml:space="preserve"> for advice. Registered staff </w:t>
      </w:r>
      <w:r w:rsidR="00A92594">
        <w:rPr>
          <w:rFonts w:eastAsia="Arial"/>
          <w:color w:val="auto"/>
        </w:rPr>
        <w:t xml:space="preserve">said </w:t>
      </w:r>
      <w:r w:rsidRPr="00A9481C">
        <w:rPr>
          <w:rFonts w:eastAsia="Arial"/>
          <w:color w:val="auto"/>
        </w:rPr>
        <w:t xml:space="preserve">they have </w:t>
      </w:r>
      <w:r w:rsidR="00A92594">
        <w:rPr>
          <w:rFonts w:eastAsia="Arial"/>
          <w:color w:val="auto"/>
        </w:rPr>
        <w:t xml:space="preserve">had </w:t>
      </w:r>
      <w:r w:rsidRPr="00A9481C">
        <w:rPr>
          <w:rFonts w:eastAsia="Arial"/>
          <w:color w:val="auto"/>
        </w:rPr>
        <w:t>education on wound care.</w:t>
      </w:r>
    </w:p>
    <w:p w14:paraId="4E9A899C" w14:textId="6AFAB308" w:rsidR="00A9481C" w:rsidRPr="00A9481C" w:rsidRDefault="00936568" w:rsidP="00A9481C">
      <w:pPr>
        <w:rPr>
          <w:rFonts w:eastAsia="Arial"/>
          <w:color w:val="0000FF"/>
          <w:lang w:eastAsia="en-US"/>
        </w:rPr>
      </w:pPr>
      <w:r w:rsidRPr="00A9481C">
        <w:rPr>
          <w:rFonts w:eastAsia="Arial"/>
          <w:color w:val="auto"/>
        </w:rPr>
        <w:t xml:space="preserve">Consumers </w:t>
      </w:r>
      <w:r w:rsidR="00A92594">
        <w:rPr>
          <w:rFonts w:eastAsia="Arial"/>
          <w:color w:val="auto"/>
        </w:rPr>
        <w:t>we</w:t>
      </w:r>
      <w:r w:rsidRPr="00A9481C">
        <w:rPr>
          <w:rFonts w:eastAsia="Arial"/>
          <w:color w:val="auto"/>
        </w:rPr>
        <w:t xml:space="preserve">re risk-assessed for pain by registered staff and a care plan </w:t>
      </w:r>
      <w:r w:rsidR="00A92594">
        <w:rPr>
          <w:rFonts w:eastAsia="Arial"/>
          <w:color w:val="auto"/>
        </w:rPr>
        <w:t>was</w:t>
      </w:r>
      <w:r w:rsidRPr="00A9481C">
        <w:rPr>
          <w:rFonts w:eastAsia="Arial"/>
          <w:color w:val="auto"/>
        </w:rPr>
        <w:t xml:space="preserve"> developed according to the consumers</w:t>
      </w:r>
      <w:r w:rsidR="00F3293B">
        <w:rPr>
          <w:rFonts w:eastAsia="Arial"/>
          <w:color w:val="auto"/>
        </w:rPr>
        <w:t>’</w:t>
      </w:r>
      <w:r w:rsidRPr="00A9481C">
        <w:rPr>
          <w:rFonts w:eastAsia="Arial"/>
          <w:color w:val="auto"/>
        </w:rPr>
        <w:t xml:space="preserve"> needs</w:t>
      </w:r>
      <w:r w:rsidR="00A92594">
        <w:rPr>
          <w:rFonts w:eastAsia="Arial"/>
          <w:color w:val="auto"/>
        </w:rPr>
        <w:t xml:space="preserve"> involving </w:t>
      </w:r>
      <w:r w:rsidR="00A92594" w:rsidRPr="00A9481C">
        <w:rPr>
          <w:rFonts w:eastAsia="Arial"/>
          <w:color w:val="auto"/>
        </w:rPr>
        <w:t xml:space="preserve">pharmacological </w:t>
      </w:r>
      <w:r w:rsidR="00A92594">
        <w:rPr>
          <w:rFonts w:eastAsia="Arial"/>
          <w:color w:val="auto"/>
        </w:rPr>
        <w:t xml:space="preserve">and </w:t>
      </w:r>
      <w:r w:rsidRPr="00A9481C">
        <w:rPr>
          <w:rFonts w:eastAsia="Arial"/>
          <w:color w:val="auto"/>
        </w:rPr>
        <w:t xml:space="preserve">non-pharmacological </w:t>
      </w:r>
      <w:r w:rsidR="00A92594">
        <w:rPr>
          <w:rFonts w:eastAsia="Arial"/>
          <w:color w:val="auto"/>
        </w:rPr>
        <w:t xml:space="preserve">pain </w:t>
      </w:r>
      <w:r w:rsidRPr="00A9481C">
        <w:rPr>
          <w:rFonts w:eastAsia="Arial"/>
          <w:color w:val="auto"/>
        </w:rPr>
        <w:t>management strategies.</w:t>
      </w:r>
      <w:r w:rsidR="00A92594">
        <w:rPr>
          <w:rFonts w:eastAsia="Arial"/>
          <w:color w:val="auto"/>
        </w:rPr>
        <w:t xml:space="preserve"> </w:t>
      </w:r>
    </w:p>
    <w:p w14:paraId="67FE01D7" w14:textId="76289D82" w:rsidR="00936568" w:rsidRPr="00F471A9" w:rsidRDefault="00936568" w:rsidP="00F471A9">
      <w:pPr>
        <w:rPr>
          <w:rFonts w:eastAsia="Arial"/>
          <w:color w:val="000000" w:themeColor="text1"/>
        </w:rPr>
      </w:pPr>
      <w:r w:rsidRPr="61CBE529">
        <w:rPr>
          <w:rFonts w:eastAsia="Arial"/>
        </w:rPr>
        <w:t>The organisation has a risk management framework that guide</w:t>
      </w:r>
      <w:r w:rsidR="00F3293B">
        <w:rPr>
          <w:rFonts w:eastAsia="Arial"/>
        </w:rPr>
        <w:t>d</w:t>
      </w:r>
      <w:r w:rsidRPr="61CBE529">
        <w:rPr>
          <w:rFonts w:eastAsia="Arial"/>
        </w:rPr>
        <w:t xml:space="preserve"> how risk </w:t>
      </w:r>
      <w:r w:rsidR="00F3293B">
        <w:rPr>
          <w:rFonts w:eastAsia="Arial"/>
        </w:rPr>
        <w:t>wa</w:t>
      </w:r>
      <w:r w:rsidRPr="61CBE529">
        <w:rPr>
          <w:rFonts w:eastAsia="Arial"/>
        </w:rPr>
        <w:t xml:space="preserve">s identified, </w:t>
      </w:r>
      <w:r w:rsidRPr="00F471A9">
        <w:rPr>
          <w:rFonts w:eastAsia="Arial"/>
          <w:color w:val="000000" w:themeColor="text1"/>
        </w:rPr>
        <w:t xml:space="preserve">managed and recorded. Clinical incidents </w:t>
      </w:r>
      <w:r w:rsidR="00DC1423">
        <w:rPr>
          <w:rFonts w:eastAsia="Arial"/>
          <w:color w:val="000000" w:themeColor="text1"/>
        </w:rPr>
        <w:t>we</w:t>
      </w:r>
      <w:r w:rsidRPr="00F471A9">
        <w:rPr>
          <w:rFonts w:eastAsia="Arial"/>
          <w:color w:val="000000" w:themeColor="text1"/>
        </w:rPr>
        <w:t xml:space="preserve">re recorded on the electronic care management system and </w:t>
      </w:r>
      <w:r w:rsidR="00DC1423">
        <w:rPr>
          <w:rFonts w:eastAsia="Arial"/>
          <w:color w:val="000000" w:themeColor="text1"/>
        </w:rPr>
        <w:t xml:space="preserve">were included in </w:t>
      </w:r>
      <w:r w:rsidRPr="00F471A9">
        <w:rPr>
          <w:rFonts w:eastAsia="Arial"/>
          <w:color w:val="000000" w:themeColor="text1"/>
        </w:rPr>
        <w:t>monthly clinical indicator</w:t>
      </w:r>
      <w:r w:rsidR="00DC1423">
        <w:rPr>
          <w:rFonts w:eastAsia="Arial"/>
          <w:color w:val="000000" w:themeColor="text1"/>
        </w:rPr>
        <w:t xml:space="preserve"> reports</w:t>
      </w:r>
      <w:r w:rsidRPr="00F471A9">
        <w:rPr>
          <w:rFonts w:eastAsia="Arial"/>
          <w:color w:val="000000" w:themeColor="text1"/>
        </w:rPr>
        <w:t xml:space="preserve">. </w:t>
      </w:r>
    </w:p>
    <w:p w14:paraId="169993BD" w14:textId="28F8EFC0" w:rsidR="00936568" w:rsidRDefault="00936568" w:rsidP="00F471A9">
      <w:pPr>
        <w:rPr>
          <w:rFonts w:eastAsia="Arial"/>
          <w:color w:val="000000" w:themeColor="text1"/>
        </w:rPr>
      </w:pPr>
      <w:r w:rsidRPr="00F471A9">
        <w:rPr>
          <w:rFonts w:eastAsia="Arial"/>
          <w:color w:val="000000" w:themeColor="text1"/>
        </w:rPr>
        <w:t>Education records indicate</w:t>
      </w:r>
      <w:r w:rsidR="00F3293B">
        <w:rPr>
          <w:rFonts w:eastAsia="Arial"/>
          <w:color w:val="000000" w:themeColor="text1"/>
        </w:rPr>
        <w:t>d</w:t>
      </w:r>
      <w:r w:rsidRPr="00F471A9">
        <w:rPr>
          <w:rFonts w:eastAsia="Arial"/>
          <w:color w:val="000000" w:themeColor="text1"/>
        </w:rPr>
        <w:t xml:space="preserve"> the service provide</w:t>
      </w:r>
      <w:r w:rsidR="00F3293B">
        <w:rPr>
          <w:rFonts w:eastAsia="Arial"/>
          <w:color w:val="000000" w:themeColor="text1"/>
        </w:rPr>
        <w:t>d</w:t>
      </w:r>
      <w:r w:rsidRPr="00F471A9">
        <w:rPr>
          <w:rFonts w:eastAsia="Arial"/>
          <w:color w:val="000000" w:themeColor="text1"/>
        </w:rPr>
        <w:t xml:space="preserve"> targeted education to support clinical care in line with best practice processes, including pressure injury management and falls prevention.</w:t>
      </w:r>
    </w:p>
    <w:p w14:paraId="5BF66D9A" w14:textId="5297C411" w:rsidR="00DC1423" w:rsidRDefault="00442FD8" w:rsidP="00F471A9">
      <w:r>
        <w:rPr>
          <w:rFonts w:eastAsia="Arial"/>
          <w:color w:val="000000" w:themeColor="text1"/>
        </w:rPr>
        <w:t>However, t</w:t>
      </w:r>
      <w:r w:rsidR="00DC1423">
        <w:rPr>
          <w:rFonts w:eastAsia="Arial"/>
          <w:color w:val="000000" w:themeColor="text1"/>
        </w:rPr>
        <w:t>he</w:t>
      </w:r>
      <w:r>
        <w:rPr>
          <w:rFonts w:eastAsia="Arial"/>
          <w:color w:val="000000" w:themeColor="text1"/>
        </w:rPr>
        <w:t xml:space="preserve"> Assessment Team </w:t>
      </w:r>
      <w:r>
        <w:t xml:space="preserve">found </w:t>
      </w:r>
      <w:r w:rsidR="00DC1423">
        <w:t>the service did not have effective strategies to minimise the risk of infectio</w:t>
      </w:r>
      <w:r w:rsidR="008B3B36">
        <w:t xml:space="preserve">n, </w:t>
      </w:r>
      <w:r w:rsidR="00FC7313">
        <w:t>specifically</w:t>
      </w:r>
      <w:r w:rsidR="008B3B36">
        <w:t xml:space="preserve"> in relation to COVID-19. </w:t>
      </w:r>
    </w:p>
    <w:p w14:paraId="394DE002" w14:textId="4947036F" w:rsidR="0007538D" w:rsidRPr="00936568" w:rsidRDefault="00287951" w:rsidP="0007538D">
      <w:pPr>
        <w:rPr>
          <w:rFonts w:eastAsia="Calibri"/>
          <w:color w:val="auto"/>
          <w:lang w:eastAsia="en-US"/>
        </w:rPr>
      </w:pPr>
      <w:r w:rsidRPr="00154403">
        <w:rPr>
          <w:rFonts w:eastAsiaTheme="minorHAnsi"/>
        </w:rPr>
        <w:t xml:space="preserve">The Quality </w:t>
      </w:r>
      <w:r w:rsidRPr="00936568">
        <w:rPr>
          <w:rFonts w:eastAsiaTheme="minorHAnsi"/>
          <w:color w:val="auto"/>
        </w:rPr>
        <w:t xml:space="preserve">Standard is assessed as Non-compliant as </w:t>
      </w:r>
      <w:r w:rsidR="00936568" w:rsidRPr="00936568">
        <w:rPr>
          <w:rFonts w:eastAsiaTheme="minorHAnsi"/>
          <w:color w:val="auto"/>
        </w:rPr>
        <w:t>one</w:t>
      </w:r>
      <w:r w:rsidRPr="00936568">
        <w:rPr>
          <w:rFonts w:eastAsiaTheme="minorHAnsi"/>
          <w:color w:val="auto"/>
        </w:rPr>
        <w:t xml:space="preserve"> of the seven specific requirements ha</w:t>
      </w:r>
      <w:r w:rsidR="00936568" w:rsidRPr="00936568">
        <w:rPr>
          <w:rFonts w:eastAsiaTheme="minorHAnsi"/>
          <w:color w:val="auto"/>
        </w:rPr>
        <w:t>s</w:t>
      </w:r>
      <w:r w:rsidRPr="00936568">
        <w:rPr>
          <w:rFonts w:eastAsiaTheme="minorHAnsi"/>
          <w:color w:val="auto"/>
        </w:rPr>
        <w:t xml:space="preserve"> been assessed as Non-compliant.</w:t>
      </w:r>
    </w:p>
    <w:p w14:paraId="394DE003" w14:textId="5A3A1A9B" w:rsidR="0007538D" w:rsidRDefault="00287951" w:rsidP="0007538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94DE004" w14:textId="3614E24B" w:rsidR="0007538D" w:rsidRPr="00853601" w:rsidRDefault="00287951" w:rsidP="0007538D">
      <w:pPr>
        <w:pStyle w:val="Heading3"/>
      </w:pPr>
      <w:r w:rsidRPr="00853601">
        <w:t>Requirement 3(3)(a)</w:t>
      </w:r>
      <w:r>
        <w:tab/>
        <w:t>Compliant</w:t>
      </w:r>
    </w:p>
    <w:p w14:paraId="394DE005" w14:textId="77777777" w:rsidR="0007538D" w:rsidRPr="004A3816" w:rsidRDefault="00287951" w:rsidP="0007538D">
      <w:pPr>
        <w:rPr>
          <w:i/>
        </w:rPr>
      </w:pPr>
      <w:r w:rsidRPr="004A3816">
        <w:rPr>
          <w:i/>
        </w:rPr>
        <w:t>Each consumer gets safe and effective personal care, clinical care, or both personal care and clinical care, that:</w:t>
      </w:r>
    </w:p>
    <w:p w14:paraId="394DE006" w14:textId="77777777" w:rsidR="0007538D" w:rsidRPr="004A3816" w:rsidRDefault="00287951" w:rsidP="00AA71B0">
      <w:pPr>
        <w:numPr>
          <w:ilvl w:val="0"/>
          <w:numId w:val="4"/>
        </w:numPr>
        <w:tabs>
          <w:tab w:val="right" w:pos="9026"/>
        </w:tabs>
        <w:spacing w:before="0" w:after="0"/>
        <w:ind w:left="567" w:hanging="425"/>
        <w:outlineLvl w:val="4"/>
        <w:rPr>
          <w:i/>
        </w:rPr>
      </w:pPr>
      <w:r w:rsidRPr="004A3816">
        <w:rPr>
          <w:i/>
        </w:rPr>
        <w:lastRenderedPageBreak/>
        <w:t>is best practice; and</w:t>
      </w:r>
    </w:p>
    <w:p w14:paraId="394DE007" w14:textId="77777777" w:rsidR="0007538D" w:rsidRPr="004A3816" w:rsidRDefault="00287951" w:rsidP="00AA71B0">
      <w:pPr>
        <w:numPr>
          <w:ilvl w:val="0"/>
          <w:numId w:val="4"/>
        </w:numPr>
        <w:tabs>
          <w:tab w:val="right" w:pos="9026"/>
        </w:tabs>
        <w:spacing w:before="0" w:after="0"/>
        <w:ind w:left="567" w:hanging="425"/>
        <w:outlineLvl w:val="4"/>
        <w:rPr>
          <w:i/>
        </w:rPr>
      </w:pPr>
      <w:r w:rsidRPr="004A3816">
        <w:rPr>
          <w:i/>
        </w:rPr>
        <w:t>is tailored to their needs; and</w:t>
      </w:r>
    </w:p>
    <w:p w14:paraId="394DE00A" w14:textId="3E3E5624" w:rsidR="0007538D" w:rsidRPr="001A0F7A" w:rsidRDefault="00287951" w:rsidP="00AA71B0">
      <w:pPr>
        <w:numPr>
          <w:ilvl w:val="0"/>
          <w:numId w:val="4"/>
        </w:numPr>
        <w:tabs>
          <w:tab w:val="right" w:pos="9026"/>
        </w:tabs>
        <w:spacing w:before="0" w:after="0"/>
        <w:ind w:left="567" w:hanging="425"/>
        <w:outlineLvl w:val="4"/>
        <w:rPr>
          <w:i/>
        </w:rPr>
      </w:pPr>
      <w:r w:rsidRPr="004A3816">
        <w:rPr>
          <w:i/>
        </w:rPr>
        <w:t>optimises their health and well-being.</w:t>
      </w:r>
    </w:p>
    <w:p w14:paraId="394DE00B" w14:textId="6E7AD85E" w:rsidR="0007538D" w:rsidRPr="00853601" w:rsidRDefault="00287951" w:rsidP="0007538D">
      <w:pPr>
        <w:pStyle w:val="Heading3"/>
      </w:pPr>
      <w:r w:rsidRPr="00853601">
        <w:t>Requirement 3(3)(b)</w:t>
      </w:r>
      <w:r>
        <w:tab/>
        <w:t>Compliant</w:t>
      </w:r>
    </w:p>
    <w:p w14:paraId="394DE00C" w14:textId="77777777" w:rsidR="0007538D" w:rsidRPr="004A3816" w:rsidRDefault="00287951" w:rsidP="0007538D">
      <w:pPr>
        <w:rPr>
          <w:i/>
        </w:rPr>
      </w:pPr>
      <w:r w:rsidRPr="004A3816">
        <w:rPr>
          <w:i/>
          <w:szCs w:val="22"/>
        </w:rPr>
        <w:t>Effective management of high impact or high prevalence risks associated with the care of each consumer.</w:t>
      </w:r>
    </w:p>
    <w:p w14:paraId="394DE00E" w14:textId="3E0B2A93" w:rsidR="0007538D" w:rsidRPr="00D435F8" w:rsidRDefault="00287951" w:rsidP="0007538D">
      <w:pPr>
        <w:pStyle w:val="Heading3"/>
      </w:pPr>
      <w:r w:rsidRPr="00D435F8">
        <w:t>Requirement 3(3)(c)</w:t>
      </w:r>
      <w:r>
        <w:tab/>
        <w:t>Compliant</w:t>
      </w:r>
    </w:p>
    <w:p w14:paraId="394DE00F" w14:textId="77777777" w:rsidR="0007538D" w:rsidRPr="004A3816" w:rsidRDefault="00287951" w:rsidP="0007538D">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394DE011" w14:textId="391819B8" w:rsidR="0007538D" w:rsidRPr="00D435F8" w:rsidRDefault="00287951" w:rsidP="0007538D">
      <w:pPr>
        <w:pStyle w:val="Heading3"/>
      </w:pPr>
      <w:r w:rsidRPr="00D435F8">
        <w:t>Requirement 3(3)(d)</w:t>
      </w:r>
      <w:r>
        <w:tab/>
        <w:t>Compliant</w:t>
      </w:r>
    </w:p>
    <w:p w14:paraId="394DE012" w14:textId="77777777" w:rsidR="0007538D" w:rsidRPr="004A3816" w:rsidRDefault="00287951" w:rsidP="0007538D">
      <w:pPr>
        <w:rPr>
          <w:i/>
        </w:rPr>
      </w:pPr>
      <w:r w:rsidRPr="004A3816">
        <w:rPr>
          <w:i/>
          <w:szCs w:val="22"/>
        </w:rPr>
        <w:t>Deterioration or change of a consumer’s mental health, cognitive or physical function, capacity or condition is recognised and responded to in a timely manner.</w:t>
      </w:r>
    </w:p>
    <w:p w14:paraId="394DE014" w14:textId="5B97D8E8" w:rsidR="0007538D" w:rsidRPr="00D435F8" w:rsidRDefault="00287951" w:rsidP="0007538D">
      <w:pPr>
        <w:pStyle w:val="Heading3"/>
      </w:pPr>
      <w:r w:rsidRPr="00D435F8">
        <w:t>Requirement 3(3)(e)</w:t>
      </w:r>
      <w:r>
        <w:tab/>
        <w:t>Compliant</w:t>
      </w:r>
    </w:p>
    <w:p w14:paraId="394DE015" w14:textId="77777777" w:rsidR="0007538D" w:rsidRPr="004A3816" w:rsidRDefault="00287951" w:rsidP="0007538D">
      <w:pPr>
        <w:rPr>
          <w:i/>
        </w:rPr>
      </w:pPr>
      <w:r w:rsidRPr="004A3816">
        <w:rPr>
          <w:i/>
          <w:szCs w:val="22"/>
        </w:rPr>
        <w:t>Information about the consumer’s condition, needs and preferences is documented and communicated within the organisation, and with others where responsibility for care is shared.</w:t>
      </w:r>
    </w:p>
    <w:p w14:paraId="394DE017" w14:textId="72198447" w:rsidR="0007538D" w:rsidRPr="00D435F8" w:rsidRDefault="00287951" w:rsidP="0007538D">
      <w:pPr>
        <w:pStyle w:val="Heading3"/>
      </w:pPr>
      <w:r w:rsidRPr="00D435F8">
        <w:t>Requirement 3(3)(f)</w:t>
      </w:r>
      <w:r>
        <w:tab/>
        <w:t>Compliant</w:t>
      </w:r>
    </w:p>
    <w:p w14:paraId="394DE018" w14:textId="77777777" w:rsidR="0007538D" w:rsidRPr="004A3816" w:rsidRDefault="00287951" w:rsidP="0007538D">
      <w:pPr>
        <w:rPr>
          <w:i/>
        </w:rPr>
      </w:pPr>
      <w:r w:rsidRPr="004A3816">
        <w:rPr>
          <w:i/>
          <w:szCs w:val="22"/>
        </w:rPr>
        <w:t>Timely and appropriate referrals to individuals, other organisations and providers of other care and services.</w:t>
      </w:r>
    </w:p>
    <w:p w14:paraId="394DE01A" w14:textId="7EA47FAB" w:rsidR="0007538D" w:rsidRPr="00D435F8" w:rsidRDefault="00287951" w:rsidP="0007538D">
      <w:pPr>
        <w:pStyle w:val="Heading3"/>
      </w:pPr>
      <w:r w:rsidRPr="00D435F8">
        <w:t>Requirement 3(3)(g)</w:t>
      </w:r>
      <w:r>
        <w:tab/>
        <w:t>Non-compliant</w:t>
      </w:r>
    </w:p>
    <w:p w14:paraId="394DE01B" w14:textId="77777777" w:rsidR="0007538D" w:rsidRPr="004A3816" w:rsidRDefault="00287951" w:rsidP="0007538D">
      <w:pPr>
        <w:tabs>
          <w:tab w:val="right" w:pos="9026"/>
        </w:tabs>
        <w:spacing w:before="0" w:after="0"/>
        <w:outlineLvl w:val="4"/>
        <w:rPr>
          <w:i/>
          <w:szCs w:val="22"/>
        </w:rPr>
      </w:pPr>
      <w:r w:rsidRPr="004A3816">
        <w:rPr>
          <w:i/>
          <w:szCs w:val="22"/>
        </w:rPr>
        <w:t>Minimisation of infection related risks through implementing:</w:t>
      </w:r>
    </w:p>
    <w:p w14:paraId="394DE01C" w14:textId="77777777" w:rsidR="0007538D" w:rsidRPr="004A3816" w:rsidRDefault="00287951" w:rsidP="00AA71B0">
      <w:pPr>
        <w:numPr>
          <w:ilvl w:val="0"/>
          <w:numId w:val="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94DE01D" w14:textId="77777777" w:rsidR="008473D5" w:rsidRPr="00FC6F3D" w:rsidRDefault="00287951" w:rsidP="00CF6479">
      <w:pPr>
        <w:numPr>
          <w:ilvl w:val="0"/>
          <w:numId w:val="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61778BF" w14:textId="41BC8A09" w:rsidR="008473D5" w:rsidRDefault="008473D5" w:rsidP="008473D5">
      <w:pPr>
        <w:rPr>
          <w:rFonts w:eastAsia="Calibri"/>
          <w:color w:val="auto"/>
          <w:lang w:eastAsia="en-US"/>
        </w:rPr>
      </w:pPr>
      <w:r>
        <w:rPr>
          <w:rFonts w:eastAsia="Calibri"/>
          <w:color w:val="auto"/>
          <w:lang w:eastAsia="en-US"/>
        </w:rPr>
        <w:t>The Assessment Team found the service was not minimising infection related risks</w:t>
      </w:r>
      <w:r w:rsidR="00546C16">
        <w:rPr>
          <w:rFonts w:eastAsia="Calibri"/>
          <w:color w:val="auto"/>
          <w:lang w:eastAsia="en-US"/>
        </w:rPr>
        <w:t xml:space="preserve">, specifically related to </w:t>
      </w:r>
      <w:r>
        <w:rPr>
          <w:rFonts w:eastAsia="Calibri"/>
          <w:color w:val="auto"/>
          <w:lang w:eastAsia="en-US"/>
        </w:rPr>
        <w:t>COVID-19.</w:t>
      </w:r>
    </w:p>
    <w:p w14:paraId="2D8032F2" w14:textId="1E352CF1" w:rsidR="008473D5" w:rsidRDefault="008473D5" w:rsidP="008473D5">
      <w:pPr>
        <w:rPr>
          <w:rFonts w:eastAsia="Calibri"/>
          <w:color w:val="auto"/>
          <w:lang w:eastAsia="en-US"/>
        </w:rPr>
      </w:pPr>
      <w:r>
        <w:rPr>
          <w:rFonts w:eastAsia="Calibri"/>
          <w:color w:val="auto"/>
          <w:lang w:eastAsia="en-US"/>
        </w:rPr>
        <w:t>The Assessment Team completed an Infection Control Monitoring checklist and identified a range of deficiencies in relation to the service’s preparedness for a COVID-19 outbreak, including in relation to the service’s outbreak management plan, staff hygiene</w:t>
      </w:r>
      <w:r w:rsidR="00546C16">
        <w:rPr>
          <w:rFonts w:eastAsia="Calibri"/>
          <w:color w:val="auto"/>
          <w:lang w:eastAsia="en-US"/>
        </w:rPr>
        <w:t xml:space="preserve"> practices and cleaning of equipment and high touch surfaces</w:t>
      </w:r>
      <w:r>
        <w:rPr>
          <w:rFonts w:eastAsia="Calibri"/>
          <w:color w:val="auto"/>
          <w:lang w:eastAsia="en-US"/>
        </w:rPr>
        <w:t>.  For example:</w:t>
      </w:r>
    </w:p>
    <w:p w14:paraId="1F85FF35" w14:textId="685C9A65" w:rsidR="0010423A" w:rsidRDefault="00546C16" w:rsidP="0007538D">
      <w:pPr>
        <w:pStyle w:val="ListParagraph"/>
        <w:numPr>
          <w:ilvl w:val="0"/>
          <w:numId w:val="12"/>
        </w:numPr>
      </w:pPr>
      <w:r>
        <w:lastRenderedPageBreak/>
        <w:t>T</w:t>
      </w:r>
      <w:r w:rsidR="008B22CA">
        <w:t xml:space="preserve">he service’s </w:t>
      </w:r>
      <w:r w:rsidR="008B22CA" w:rsidRPr="00333EB6">
        <w:t>outbreak management plan d</w:t>
      </w:r>
      <w:r w:rsidR="008B22CA">
        <w:t>id</w:t>
      </w:r>
      <w:r w:rsidR="008B22CA" w:rsidRPr="00333EB6">
        <w:t xml:space="preserve"> not </w:t>
      </w:r>
      <w:r w:rsidR="0010423A">
        <w:t>contain:</w:t>
      </w:r>
    </w:p>
    <w:p w14:paraId="37A2DC52" w14:textId="759CD467" w:rsidR="0010423A" w:rsidRDefault="0010423A" w:rsidP="0010423A">
      <w:pPr>
        <w:pStyle w:val="ListParagraph"/>
        <w:numPr>
          <w:ilvl w:val="1"/>
          <w:numId w:val="12"/>
        </w:numPr>
      </w:pPr>
      <w:r>
        <w:t>consolidated information about clinical staff contact details</w:t>
      </w:r>
      <w:r w:rsidR="00546C16">
        <w:t xml:space="preserve">, </w:t>
      </w:r>
      <w:proofErr w:type="gramStart"/>
      <w:r>
        <w:t>staff</w:t>
      </w:r>
      <w:r w:rsidR="00546C16">
        <w:t>s</w:t>
      </w:r>
      <w:proofErr w:type="gramEnd"/>
      <w:r>
        <w:t xml:space="preserve"> roster</w:t>
      </w:r>
      <w:r w:rsidR="00546C16">
        <w:t>s</w:t>
      </w:r>
      <w:r>
        <w:t xml:space="preserve">, </w:t>
      </w:r>
      <w:r w:rsidR="00C144E7">
        <w:t xml:space="preserve">and </w:t>
      </w:r>
      <w:r w:rsidR="008B22CA">
        <w:t>consumer emergency informat</w:t>
      </w:r>
      <w:r w:rsidR="00C144E7">
        <w:t>ion</w:t>
      </w:r>
      <w:r w:rsidR="008B22CA">
        <w:t xml:space="preserve">. </w:t>
      </w:r>
      <w:r>
        <w:t>While some of this information was held elsewhere, it was not consolidated in the outbreak management plan</w:t>
      </w:r>
      <w:r w:rsidR="00C144E7">
        <w:t>;</w:t>
      </w:r>
    </w:p>
    <w:p w14:paraId="253C6ED2" w14:textId="104E15B3" w:rsidR="00753314" w:rsidRDefault="008B22CA" w:rsidP="0010423A">
      <w:pPr>
        <w:pStyle w:val="ListParagraph"/>
        <w:numPr>
          <w:ilvl w:val="1"/>
          <w:numId w:val="12"/>
        </w:numPr>
      </w:pPr>
      <w:r>
        <w:t>a floor plan</w:t>
      </w:r>
      <w:r w:rsidR="00C144E7">
        <w:t>;</w:t>
      </w:r>
      <w:r w:rsidR="00546C16">
        <w:t xml:space="preserve"> and</w:t>
      </w:r>
    </w:p>
    <w:p w14:paraId="4F6F5BDE" w14:textId="33CB3043" w:rsidR="00CF6479" w:rsidRDefault="00546C16" w:rsidP="0010423A">
      <w:pPr>
        <w:pStyle w:val="ListParagraph"/>
        <w:numPr>
          <w:ilvl w:val="1"/>
          <w:numId w:val="12"/>
        </w:numPr>
      </w:pPr>
      <w:r>
        <w:t xml:space="preserve">service </w:t>
      </w:r>
      <w:r w:rsidR="008B22CA">
        <w:t>specific detail</w:t>
      </w:r>
      <w:r>
        <w:t>s</w:t>
      </w:r>
      <w:r w:rsidR="008B22CA">
        <w:t xml:space="preserve"> </w:t>
      </w:r>
      <w:r w:rsidR="00C144E7">
        <w:t xml:space="preserve">regarding processes such as lockdown, clinical handover, transfer of COVID-19 positive consumers to hospital and access to electronic records. </w:t>
      </w:r>
    </w:p>
    <w:p w14:paraId="4B7F607E" w14:textId="728B53B7" w:rsidR="00CF6479" w:rsidRDefault="008B22CA" w:rsidP="0007538D">
      <w:pPr>
        <w:pStyle w:val="ListParagraph"/>
        <w:numPr>
          <w:ilvl w:val="0"/>
          <w:numId w:val="12"/>
        </w:numPr>
      </w:pPr>
      <w:r>
        <w:t>N</w:t>
      </w:r>
      <w:r w:rsidR="001A484F" w:rsidRPr="00490E2B">
        <w:t>ot all communal</w:t>
      </w:r>
      <w:r w:rsidR="001A484F" w:rsidRPr="00467891">
        <w:t xml:space="preserve"> staff wor</w:t>
      </w:r>
      <w:r w:rsidR="00546C16">
        <w:t>k-</w:t>
      </w:r>
      <w:r w:rsidR="001A484F" w:rsidRPr="00467891">
        <w:t xml:space="preserve">stations had disinfectant wipes </w:t>
      </w:r>
      <w:r w:rsidR="001A484F">
        <w:t xml:space="preserve">near them or signage to encourage staff to wipe down these stations between use. </w:t>
      </w:r>
      <w:r w:rsidR="0010423A">
        <w:t>Shared equipment and high touch items were not</w:t>
      </w:r>
      <w:r w:rsidR="00546C16">
        <w:t xml:space="preserve"> always</w:t>
      </w:r>
      <w:r w:rsidR="0010423A">
        <w:t xml:space="preserve"> cleaned with disinfectant wipes after use. </w:t>
      </w:r>
    </w:p>
    <w:p w14:paraId="46D589D5" w14:textId="62F18939" w:rsidR="00CF6479" w:rsidRDefault="001A484F" w:rsidP="0007538D">
      <w:pPr>
        <w:pStyle w:val="ListParagraph"/>
        <w:numPr>
          <w:ilvl w:val="0"/>
          <w:numId w:val="12"/>
        </w:numPr>
      </w:pPr>
      <w:r>
        <w:t xml:space="preserve">The </w:t>
      </w:r>
      <w:r w:rsidR="00F3293B">
        <w:t>A</w:t>
      </w:r>
      <w:r>
        <w:t>ssessment Team observed staff displaying poor infection control practices</w:t>
      </w:r>
      <w:r w:rsidR="0010423A">
        <w:t xml:space="preserve"> and lack of hand hygiene</w:t>
      </w:r>
      <w:r w:rsidR="008B22CA">
        <w:t xml:space="preserve"> whilst providing care to consumers.</w:t>
      </w:r>
    </w:p>
    <w:p w14:paraId="14BAC939" w14:textId="5B969CD0" w:rsidR="008473D5" w:rsidRDefault="008473D5" w:rsidP="008473D5">
      <w:pPr>
        <w:rPr>
          <w:color w:val="auto"/>
        </w:rPr>
      </w:pPr>
      <w:r>
        <w:rPr>
          <w:color w:val="auto"/>
        </w:rPr>
        <w:t>The Approved Provider’s response received on 21 October 2020</w:t>
      </w:r>
      <w:r w:rsidR="00C144E7">
        <w:rPr>
          <w:color w:val="auto"/>
        </w:rPr>
        <w:t xml:space="preserve"> provided both additional clarifying information and </w:t>
      </w:r>
      <w:r>
        <w:rPr>
          <w:color w:val="auto"/>
        </w:rPr>
        <w:t>a range of actions implemented to address the deficiencies identified by the Assessment Team in relation to the service’s preparedness for a COVID-19 outbreak, including (but not limited to):</w:t>
      </w:r>
    </w:p>
    <w:p w14:paraId="042D0C99" w14:textId="14A8FE2C" w:rsidR="00C144E7" w:rsidRPr="00D6536C" w:rsidRDefault="00C144E7" w:rsidP="0007538D">
      <w:pPr>
        <w:pStyle w:val="ListParagraph"/>
        <w:numPr>
          <w:ilvl w:val="0"/>
          <w:numId w:val="14"/>
        </w:numPr>
        <w:rPr>
          <w:color w:val="auto"/>
        </w:rPr>
      </w:pPr>
      <w:r w:rsidRPr="00D6536C">
        <w:rPr>
          <w:color w:val="auto"/>
        </w:rPr>
        <w:t>The service’s</w:t>
      </w:r>
      <w:r w:rsidR="00D6536C">
        <w:rPr>
          <w:color w:val="auto"/>
        </w:rPr>
        <w:t xml:space="preserve"> Outbreak Management Plan and associated folders ha</w:t>
      </w:r>
      <w:r w:rsidR="00546C16">
        <w:rPr>
          <w:color w:val="auto"/>
        </w:rPr>
        <w:t>ve</w:t>
      </w:r>
      <w:r w:rsidR="00D6536C">
        <w:rPr>
          <w:color w:val="auto"/>
        </w:rPr>
        <w:t xml:space="preserve"> been or </w:t>
      </w:r>
      <w:r w:rsidR="00D6536C" w:rsidRPr="00D6536C">
        <w:rPr>
          <w:color w:val="auto"/>
        </w:rPr>
        <w:t>will</w:t>
      </w:r>
      <w:r w:rsidR="00D6536C">
        <w:rPr>
          <w:color w:val="auto"/>
        </w:rPr>
        <w:t xml:space="preserve"> be updated to</w:t>
      </w:r>
      <w:r w:rsidR="00D6536C" w:rsidRPr="00D6536C">
        <w:rPr>
          <w:color w:val="auto"/>
        </w:rPr>
        <w:t xml:space="preserve"> include </w:t>
      </w:r>
      <w:r w:rsidR="00546C16">
        <w:rPr>
          <w:color w:val="auto"/>
        </w:rPr>
        <w:t xml:space="preserve">consolidated </w:t>
      </w:r>
      <w:r w:rsidR="00D6536C" w:rsidRPr="00D6536C">
        <w:rPr>
          <w:color w:val="auto"/>
        </w:rPr>
        <w:t>paper copies of information</w:t>
      </w:r>
      <w:r w:rsidR="00D6536C">
        <w:rPr>
          <w:color w:val="auto"/>
        </w:rPr>
        <w:t xml:space="preserve"> </w:t>
      </w:r>
      <w:r w:rsidR="00546C16">
        <w:rPr>
          <w:color w:val="auto"/>
        </w:rPr>
        <w:t>such as</w:t>
      </w:r>
      <w:r w:rsidRPr="00D6536C">
        <w:rPr>
          <w:color w:val="auto"/>
        </w:rPr>
        <w:t xml:space="preserve"> rosters</w:t>
      </w:r>
      <w:r w:rsidR="00D6536C">
        <w:rPr>
          <w:color w:val="auto"/>
        </w:rPr>
        <w:t xml:space="preserve">, </w:t>
      </w:r>
      <w:r w:rsidRPr="00D6536C">
        <w:rPr>
          <w:color w:val="auto"/>
        </w:rPr>
        <w:t>staff contact details</w:t>
      </w:r>
      <w:r w:rsidR="00D6536C">
        <w:rPr>
          <w:color w:val="auto"/>
        </w:rPr>
        <w:t xml:space="preserve">, consumer details, updated floor plans </w:t>
      </w:r>
      <w:r w:rsidR="00546C16">
        <w:rPr>
          <w:color w:val="auto"/>
        </w:rPr>
        <w:t xml:space="preserve">and </w:t>
      </w:r>
      <w:r w:rsidR="00D6536C">
        <w:rPr>
          <w:color w:val="auto"/>
        </w:rPr>
        <w:t>processes for clinical handover</w:t>
      </w:r>
      <w:r w:rsidR="00546C16">
        <w:rPr>
          <w:color w:val="auto"/>
        </w:rPr>
        <w:t>.</w:t>
      </w:r>
    </w:p>
    <w:p w14:paraId="7B140870" w14:textId="521C53F4" w:rsidR="008473D5" w:rsidRPr="00D6536C" w:rsidRDefault="00546C16" w:rsidP="008473D5">
      <w:pPr>
        <w:pStyle w:val="ListParagraph"/>
        <w:numPr>
          <w:ilvl w:val="0"/>
          <w:numId w:val="14"/>
        </w:numPr>
        <w:rPr>
          <w:color w:val="auto"/>
        </w:rPr>
      </w:pPr>
      <w:r>
        <w:rPr>
          <w:color w:val="auto"/>
        </w:rPr>
        <w:t>P</w:t>
      </w:r>
      <w:r w:rsidR="00D6536C" w:rsidRPr="00D6536C">
        <w:rPr>
          <w:color w:val="auto"/>
        </w:rPr>
        <w:t>repared additional</w:t>
      </w:r>
      <w:r w:rsidR="008473D5" w:rsidRPr="00D6536C">
        <w:rPr>
          <w:color w:val="auto"/>
        </w:rPr>
        <w:t xml:space="preserve"> signage </w:t>
      </w:r>
      <w:r w:rsidR="00D6536C" w:rsidRPr="00D6536C">
        <w:rPr>
          <w:color w:val="auto"/>
        </w:rPr>
        <w:t>in relation to lockdow</w:t>
      </w:r>
      <w:r w:rsidR="00D5719B">
        <w:rPr>
          <w:color w:val="auto"/>
        </w:rPr>
        <w:t xml:space="preserve">n and </w:t>
      </w:r>
      <w:r w:rsidR="00D6536C" w:rsidRPr="00D6536C">
        <w:rPr>
          <w:color w:val="auto"/>
        </w:rPr>
        <w:t>donning/doffing</w:t>
      </w:r>
      <w:r w:rsidR="008473D5" w:rsidRPr="00D6536C">
        <w:rPr>
          <w:color w:val="auto"/>
        </w:rPr>
        <w:t xml:space="preserve"> relevant to COVID-19</w:t>
      </w:r>
    </w:p>
    <w:p w14:paraId="0881C59F" w14:textId="68761615" w:rsidR="00D5719B" w:rsidRPr="00EE3D7C" w:rsidRDefault="00D5719B" w:rsidP="00D5719B">
      <w:pPr>
        <w:pStyle w:val="ListParagraph"/>
        <w:numPr>
          <w:ilvl w:val="0"/>
          <w:numId w:val="14"/>
        </w:numPr>
      </w:pPr>
      <w:r>
        <w:t>Signage and staff communication have been provided about cleaning workstations and equipment</w:t>
      </w:r>
      <w:r w:rsidR="00546C16">
        <w:t>, as well as social distancing requirements</w:t>
      </w:r>
      <w:r>
        <w:t xml:space="preserve">. </w:t>
      </w:r>
      <w:r w:rsidR="00546C16" w:rsidRPr="00EE3D7C">
        <w:t>Disinfectant wipes are now located at all communal work</w:t>
      </w:r>
      <w:r w:rsidR="00546C16">
        <w:t>-</w:t>
      </w:r>
      <w:r w:rsidR="00546C16" w:rsidRPr="00EE3D7C">
        <w:t>stations</w:t>
      </w:r>
      <w:r w:rsidR="00546C16">
        <w:t>.</w:t>
      </w:r>
    </w:p>
    <w:p w14:paraId="1765B94D" w14:textId="2E3988EC" w:rsidR="00D6536C" w:rsidRPr="00D6536C" w:rsidRDefault="00546C16" w:rsidP="008473D5">
      <w:pPr>
        <w:pStyle w:val="ListParagraph"/>
        <w:numPr>
          <w:ilvl w:val="0"/>
          <w:numId w:val="14"/>
        </w:numPr>
        <w:rPr>
          <w:color w:val="auto"/>
        </w:rPr>
      </w:pPr>
      <w:r>
        <w:rPr>
          <w:color w:val="auto"/>
        </w:rPr>
        <w:t>A</w:t>
      </w:r>
      <w:r w:rsidR="00D6536C">
        <w:rPr>
          <w:color w:val="auto"/>
        </w:rPr>
        <w:t xml:space="preserve">dditional staff training/education/information </w:t>
      </w:r>
      <w:r>
        <w:rPr>
          <w:color w:val="auto"/>
        </w:rPr>
        <w:t xml:space="preserve">will be provided </w:t>
      </w:r>
      <w:r w:rsidR="00D6536C">
        <w:rPr>
          <w:color w:val="auto"/>
        </w:rPr>
        <w:t xml:space="preserve">regarding </w:t>
      </w:r>
      <w:r>
        <w:rPr>
          <w:color w:val="auto"/>
        </w:rPr>
        <w:t xml:space="preserve">the </w:t>
      </w:r>
      <w:r w:rsidR="00D6536C">
        <w:rPr>
          <w:color w:val="auto"/>
        </w:rPr>
        <w:t>use of</w:t>
      </w:r>
      <w:r w:rsidRPr="00546C16">
        <w:rPr>
          <w:color w:val="auto"/>
        </w:rPr>
        <w:t xml:space="preserve"> </w:t>
      </w:r>
      <w:r w:rsidRPr="00D6536C">
        <w:rPr>
          <w:color w:val="auto"/>
        </w:rPr>
        <w:t>personal protective equipment</w:t>
      </w:r>
      <w:r w:rsidR="00D6536C">
        <w:rPr>
          <w:color w:val="auto"/>
        </w:rPr>
        <w:t xml:space="preserve"> and</w:t>
      </w:r>
      <w:r>
        <w:rPr>
          <w:color w:val="auto"/>
        </w:rPr>
        <w:t xml:space="preserve"> hand</w:t>
      </w:r>
      <w:r w:rsidR="00D6536C">
        <w:rPr>
          <w:color w:val="auto"/>
        </w:rPr>
        <w:t xml:space="preserve"> hygiene practices</w:t>
      </w:r>
      <w:r>
        <w:rPr>
          <w:color w:val="auto"/>
        </w:rPr>
        <w:t xml:space="preserve"> and the service has implemented processes to monitor staff compliance with these. </w:t>
      </w:r>
    </w:p>
    <w:p w14:paraId="4A6A7E31" w14:textId="77777777" w:rsidR="008473D5" w:rsidRDefault="008473D5" w:rsidP="008473D5">
      <w:pPr>
        <w:rPr>
          <w:color w:val="auto"/>
        </w:rPr>
      </w:pPr>
      <w:r>
        <w:rPr>
          <w:rFonts w:eastAsia="Arial"/>
          <w:color w:val="auto"/>
        </w:rPr>
        <w:t xml:space="preserve">Whilst I acknowledge the Approved Provider’s submission and the information relating to the service’s updated COVID-19 outbreak management plan and additional infection control measures recently implemented, these were not adequately in place during the Assessment Contact visit. Therefore, this requirement is Non-Compliant. </w:t>
      </w:r>
    </w:p>
    <w:p w14:paraId="7277F637" w14:textId="77777777" w:rsidR="008473D5" w:rsidRDefault="008473D5" w:rsidP="008473D5">
      <w:pPr>
        <w:spacing w:before="0" w:after="0"/>
        <w:sectPr w:rsidR="008473D5" w:rsidSect="008473D5">
          <w:type w:val="continuous"/>
          <w:pgSz w:w="11906" w:h="16838"/>
          <w:pgMar w:top="1701" w:right="1418" w:bottom="1418" w:left="1418" w:header="709" w:footer="397" w:gutter="0"/>
          <w:cols w:space="720"/>
        </w:sectPr>
      </w:pPr>
    </w:p>
    <w:p w14:paraId="394DE0AF" w14:textId="1CCAEDB4" w:rsidR="006644DE" w:rsidRDefault="006644DE" w:rsidP="0007538D">
      <w:pPr>
        <w:tabs>
          <w:tab w:val="right" w:pos="9026"/>
        </w:tabs>
        <w:sectPr w:rsidR="006644DE" w:rsidSect="0007538D">
          <w:headerReference w:type="default" r:id="rId22"/>
          <w:type w:val="continuous"/>
          <w:pgSz w:w="11906" w:h="16838"/>
          <w:pgMar w:top="1701" w:right="1418" w:bottom="1418" w:left="1418" w:header="709" w:footer="397" w:gutter="0"/>
          <w:cols w:space="708"/>
          <w:docGrid w:linePitch="360"/>
        </w:sectPr>
      </w:pPr>
    </w:p>
    <w:p w14:paraId="394DE0B0" w14:textId="77777777" w:rsidR="0007538D" w:rsidRDefault="00287951" w:rsidP="0007538D">
      <w:pPr>
        <w:pStyle w:val="Heading1"/>
      </w:pPr>
      <w:r>
        <w:lastRenderedPageBreak/>
        <w:t>Areas for improvement</w:t>
      </w:r>
    </w:p>
    <w:p w14:paraId="394DE0B4" w14:textId="77777777" w:rsidR="0007538D" w:rsidRPr="00E830C7" w:rsidRDefault="00287951" w:rsidP="0007538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94DE0B8" w14:textId="7B319D34" w:rsidR="0007538D" w:rsidRPr="005D2EB5" w:rsidRDefault="006644DE" w:rsidP="005D2EB5">
      <w:pPr>
        <w:pStyle w:val="ListParagraph"/>
        <w:numPr>
          <w:ilvl w:val="0"/>
          <w:numId w:val="11"/>
        </w:numPr>
        <w:tabs>
          <w:tab w:val="right" w:pos="9026"/>
        </w:tabs>
        <w:spacing w:before="0" w:after="0"/>
        <w:outlineLvl w:val="4"/>
        <w:rPr>
          <w:color w:val="auto"/>
        </w:rPr>
      </w:pPr>
      <w:r w:rsidRPr="005D2EB5">
        <w:rPr>
          <w:color w:val="auto"/>
        </w:rPr>
        <w:t xml:space="preserve">Requirement 3(3)(g) – Ensure that </w:t>
      </w:r>
      <w:r w:rsidRPr="005D2EB5">
        <w:rPr>
          <w:color w:val="auto"/>
          <w:szCs w:val="22"/>
        </w:rPr>
        <w:t xml:space="preserve">infection-related risks are minimised through implementing </w:t>
      </w:r>
      <w:r w:rsidRPr="005D2EB5">
        <w:rPr>
          <w:color w:val="auto"/>
        </w:rPr>
        <w:t xml:space="preserve">standard and </w:t>
      </w:r>
      <w:proofErr w:type="gramStart"/>
      <w:r w:rsidRPr="005D2EB5">
        <w:rPr>
          <w:color w:val="auto"/>
        </w:rPr>
        <w:t>transmission based</w:t>
      </w:r>
      <w:proofErr w:type="gramEnd"/>
      <w:r w:rsidRPr="005D2EB5">
        <w:rPr>
          <w:color w:val="auto"/>
        </w:rPr>
        <w:t xml:space="preserve"> precautions to prevent and control infection</w:t>
      </w:r>
      <w:r w:rsidR="005D2EB5" w:rsidRPr="005D2EB5">
        <w:rPr>
          <w:color w:val="auto"/>
        </w:rPr>
        <w:t xml:space="preserve">, </w:t>
      </w:r>
      <w:r w:rsidR="005D2EB5">
        <w:rPr>
          <w:color w:val="auto"/>
        </w:rPr>
        <w:t>particularly in relation to COVID-19 outbreak management and more generally, in relation to staff practice with the use of personal protective equipment and in providing care.</w:t>
      </w:r>
    </w:p>
    <w:sectPr w:rsidR="0007538D" w:rsidRPr="005D2EB5" w:rsidSect="0007538D">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F8AE0" w14:textId="77777777" w:rsidR="0007538D" w:rsidRDefault="0007538D">
      <w:pPr>
        <w:spacing w:before="0" w:after="0" w:line="240" w:lineRule="auto"/>
      </w:pPr>
      <w:r>
        <w:separator/>
      </w:r>
    </w:p>
  </w:endnote>
  <w:endnote w:type="continuationSeparator" w:id="0">
    <w:p w14:paraId="00D3F4BE" w14:textId="77777777" w:rsidR="0007538D" w:rsidRDefault="0007538D">
      <w:pPr>
        <w:spacing w:before="0" w:after="0" w:line="240" w:lineRule="auto"/>
      </w:pPr>
      <w:r>
        <w:continuationSeparator/>
      </w:r>
    </w:p>
  </w:endnote>
  <w:endnote w:type="continuationNotice" w:id="1">
    <w:p w14:paraId="55D2F55B" w14:textId="77777777" w:rsidR="005F3FFA" w:rsidRDefault="005F3FF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DE0CE" w14:textId="77777777" w:rsidR="0007538D" w:rsidRPr="009A1F1B" w:rsidRDefault="0007538D" w:rsidP="0007538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4DE0CF" w14:textId="77777777" w:rsidR="0007538D" w:rsidRPr="00C72FFB" w:rsidRDefault="0007538D" w:rsidP="0007538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Carinity</w:t>
    </w:r>
    <w:proofErr w:type="spellEnd"/>
    <w:r w:rsidRPr="00C72FFB">
      <w:rPr>
        <w:rFonts w:eastAsia="Calibri" w:cs="Times New Roman"/>
        <w:color w:val="auto"/>
        <w:sz w:val="16"/>
        <w:szCs w:val="22"/>
        <w:lang w:eastAsia="en-US"/>
      </w:rPr>
      <w:t xml:space="preserve"> Shalom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94DE0D0" w14:textId="77777777" w:rsidR="0007538D" w:rsidRPr="00C72FFB" w:rsidRDefault="0007538D" w:rsidP="0007538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DE0D1" w14:textId="77777777" w:rsidR="0007538D" w:rsidRPr="009A1F1B" w:rsidRDefault="0007538D" w:rsidP="0007538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4DE0D2" w14:textId="77777777" w:rsidR="0007538D" w:rsidRPr="00C72FFB" w:rsidRDefault="0007538D" w:rsidP="0007538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Carinity</w:t>
    </w:r>
    <w:proofErr w:type="spellEnd"/>
    <w:r w:rsidRPr="00C72FFB">
      <w:rPr>
        <w:rFonts w:eastAsia="Calibri" w:cs="Times New Roman"/>
        <w:color w:val="auto"/>
        <w:sz w:val="16"/>
        <w:szCs w:val="22"/>
        <w:lang w:eastAsia="en-US"/>
      </w:rPr>
      <w:t xml:space="preserve"> Shalom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94DE0D3" w14:textId="77777777" w:rsidR="0007538D" w:rsidRPr="00A3716D" w:rsidRDefault="0007538D" w:rsidP="0007538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C048A" w14:textId="77777777" w:rsidR="0007538D" w:rsidRDefault="0007538D">
      <w:pPr>
        <w:spacing w:before="0" w:after="0" w:line="240" w:lineRule="auto"/>
      </w:pPr>
      <w:r>
        <w:separator/>
      </w:r>
    </w:p>
  </w:footnote>
  <w:footnote w:type="continuationSeparator" w:id="0">
    <w:p w14:paraId="6263CDB6" w14:textId="77777777" w:rsidR="0007538D" w:rsidRDefault="0007538D">
      <w:pPr>
        <w:spacing w:before="0" w:after="0" w:line="240" w:lineRule="auto"/>
      </w:pPr>
      <w:r>
        <w:continuationSeparator/>
      </w:r>
    </w:p>
  </w:footnote>
  <w:footnote w:type="continuationNotice" w:id="1">
    <w:p w14:paraId="5D9B6F13" w14:textId="77777777" w:rsidR="005F3FFA" w:rsidRDefault="005F3FF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DE0CD" w14:textId="77777777" w:rsidR="0007538D" w:rsidRDefault="0007538D" w:rsidP="0007538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94DE0F1" wp14:editId="394DE0F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05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DE0F0" w14:textId="77777777" w:rsidR="0007538D" w:rsidRDefault="0007538D" w:rsidP="0007538D">
    <w:pPr>
      <w:tabs>
        <w:tab w:val="left" w:pos="3624"/>
      </w:tabs>
    </w:pPr>
    <w:r>
      <w:rPr>
        <w:noProof/>
        <w:color w:val="auto"/>
        <w:sz w:val="20"/>
      </w:rPr>
      <w:drawing>
        <wp:anchor distT="0" distB="0" distL="114300" distR="114300" simplePos="0" relativeHeight="251658243" behindDoc="1" locked="0" layoutInCell="1" allowOverlap="1" wp14:anchorId="394DE12B" wp14:editId="394DE12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70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DE0D4" w14:textId="77777777" w:rsidR="0007538D" w:rsidRDefault="0007538D" w:rsidP="0007538D">
    <w:pPr>
      <w:pStyle w:val="Header"/>
      <w:tabs>
        <w:tab w:val="clear" w:pos="4513"/>
        <w:tab w:val="clear" w:pos="9026"/>
        <w:tab w:val="center" w:pos="4535"/>
      </w:tabs>
    </w:pPr>
    <w:r>
      <w:rPr>
        <w:noProof/>
        <w:color w:val="auto"/>
        <w:sz w:val="20"/>
      </w:rPr>
      <w:drawing>
        <wp:anchor distT="0" distB="0" distL="114300" distR="114300" simplePos="0" relativeHeight="251658249" behindDoc="1" locked="0" layoutInCell="1" allowOverlap="1" wp14:anchorId="394DE0F3" wp14:editId="394DE0F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985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DE0D5" w14:textId="77777777" w:rsidR="0007538D" w:rsidRDefault="0007538D">
    <w:pPr>
      <w:pStyle w:val="Header"/>
    </w:pPr>
    <w:r w:rsidRPr="003C6EC2">
      <w:rPr>
        <w:rFonts w:eastAsia="Calibri"/>
        <w:noProof/>
      </w:rPr>
      <w:drawing>
        <wp:anchor distT="0" distB="0" distL="114300" distR="114300" simplePos="0" relativeHeight="251658244" behindDoc="1" locked="0" layoutInCell="1" allowOverlap="1" wp14:anchorId="394DE0F5" wp14:editId="394DE0F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95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DE0D6" w14:textId="77777777" w:rsidR="0007538D" w:rsidRDefault="0007538D" w:rsidP="0007538D">
    <w:r>
      <w:rPr>
        <w:noProof/>
        <w:color w:val="auto"/>
        <w:sz w:val="20"/>
      </w:rPr>
      <w:drawing>
        <wp:anchor distT="0" distB="0" distL="114300" distR="114300" simplePos="0" relativeHeight="251658241" behindDoc="1" locked="0" layoutInCell="1" allowOverlap="1" wp14:anchorId="394DE0F7" wp14:editId="394DE0F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928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DE0DC" w14:textId="77777777" w:rsidR="0007538D" w:rsidRPr="00703E80" w:rsidRDefault="0007538D" w:rsidP="0007538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6" behindDoc="1" locked="0" layoutInCell="1" allowOverlap="1" wp14:anchorId="394DE103" wp14:editId="394DE10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1142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DE0DD" w14:textId="77777777" w:rsidR="0007538D" w:rsidRPr="00FB0086" w:rsidRDefault="0007538D" w:rsidP="0007538D">
    <w:pPr>
      <w:pStyle w:val="Header"/>
    </w:pPr>
    <w:r>
      <w:rPr>
        <w:noProof/>
        <w:color w:val="auto"/>
        <w:sz w:val="20"/>
      </w:rPr>
      <w:drawing>
        <wp:anchor distT="0" distB="0" distL="114300" distR="114300" simplePos="0" relativeHeight="251658247" behindDoc="1" locked="0" layoutInCell="1" allowOverlap="1" wp14:anchorId="394DE105" wp14:editId="394DE10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84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DE0DE" w14:textId="77777777" w:rsidR="0007538D" w:rsidRDefault="0007538D" w:rsidP="0007538D">
    <w:r>
      <w:rPr>
        <w:noProof/>
        <w:color w:val="auto"/>
        <w:sz w:val="20"/>
      </w:rPr>
      <w:drawing>
        <wp:anchor distT="0" distB="0" distL="114300" distR="114300" simplePos="0" relativeHeight="251658242" behindDoc="1" locked="0" layoutInCell="1" allowOverlap="1" wp14:anchorId="394DE107" wp14:editId="394DE10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079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DE0EE" w14:textId="77C684C5" w:rsidR="0007538D" w:rsidRPr="00703E80" w:rsidRDefault="0007538D" w:rsidP="0007538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8" behindDoc="1" locked="0" layoutInCell="1" allowOverlap="1" wp14:anchorId="394DE127" wp14:editId="394DE12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9760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274D63">
      <w:rPr>
        <w:rFonts w:ascii="Arial Black" w:hAnsi="Arial Black"/>
        <w:color w:val="FFFFFF" w:themeColor="background1"/>
        <w:sz w:val="36"/>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DE0EF" w14:textId="77777777" w:rsidR="0007538D" w:rsidRPr="008F32C8" w:rsidRDefault="0007538D" w:rsidP="0007538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45" behindDoc="1" locked="0" layoutInCell="1" allowOverlap="1" wp14:anchorId="394DE129" wp14:editId="394DE12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00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971D2"/>
    <w:multiLevelType w:val="hybridMultilevel"/>
    <w:tmpl w:val="B5D65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2F2EDE"/>
    <w:multiLevelType w:val="hybridMultilevel"/>
    <w:tmpl w:val="797E5F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B0BC9DC8">
      <w:start w:val="1"/>
      <w:numFmt w:val="bullet"/>
      <w:pStyle w:val="ListParagraph"/>
      <w:lvlText w:val=""/>
      <w:lvlJc w:val="left"/>
      <w:pPr>
        <w:ind w:left="1440" w:hanging="360"/>
      </w:pPr>
      <w:rPr>
        <w:rFonts w:ascii="Symbol" w:hAnsi="Symbol" w:hint="default"/>
        <w:color w:val="auto"/>
      </w:rPr>
    </w:lvl>
    <w:lvl w:ilvl="1" w:tplc="72FEE25A" w:tentative="1">
      <w:start w:val="1"/>
      <w:numFmt w:val="bullet"/>
      <w:lvlText w:val="o"/>
      <w:lvlJc w:val="left"/>
      <w:pPr>
        <w:ind w:left="2160" w:hanging="360"/>
      </w:pPr>
      <w:rPr>
        <w:rFonts w:ascii="Courier New" w:hAnsi="Courier New" w:cs="Courier New" w:hint="default"/>
      </w:rPr>
    </w:lvl>
    <w:lvl w:ilvl="2" w:tplc="227EAAE0" w:tentative="1">
      <w:start w:val="1"/>
      <w:numFmt w:val="bullet"/>
      <w:lvlText w:val=""/>
      <w:lvlJc w:val="left"/>
      <w:pPr>
        <w:ind w:left="2880" w:hanging="360"/>
      </w:pPr>
      <w:rPr>
        <w:rFonts w:ascii="Wingdings" w:hAnsi="Wingdings" w:hint="default"/>
      </w:rPr>
    </w:lvl>
    <w:lvl w:ilvl="3" w:tplc="C400D824" w:tentative="1">
      <w:start w:val="1"/>
      <w:numFmt w:val="bullet"/>
      <w:lvlText w:val=""/>
      <w:lvlJc w:val="left"/>
      <w:pPr>
        <w:ind w:left="3600" w:hanging="360"/>
      </w:pPr>
      <w:rPr>
        <w:rFonts w:ascii="Symbol" w:hAnsi="Symbol" w:hint="default"/>
      </w:rPr>
    </w:lvl>
    <w:lvl w:ilvl="4" w:tplc="7952E1E6" w:tentative="1">
      <w:start w:val="1"/>
      <w:numFmt w:val="bullet"/>
      <w:lvlText w:val="o"/>
      <w:lvlJc w:val="left"/>
      <w:pPr>
        <w:ind w:left="4320" w:hanging="360"/>
      </w:pPr>
      <w:rPr>
        <w:rFonts w:ascii="Courier New" w:hAnsi="Courier New" w:cs="Courier New" w:hint="default"/>
      </w:rPr>
    </w:lvl>
    <w:lvl w:ilvl="5" w:tplc="FA54F08E" w:tentative="1">
      <w:start w:val="1"/>
      <w:numFmt w:val="bullet"/>
      <w:lvlText w:val=""/>
      <w:lvlJc w:val="left"/>
      <w:pPr>
        <w:ind w:left="5040" w:hanging="360"/>
      </w:pPr>
      <w:rPr>
        <w:rFonts w:ascii="Wingdings" w:hAnsi="Wingdings" w:hint="default"/>
      </w:rPr>
    </w:lvl>
    <w:lvl w:ilvl="6" w:tplc="3AF09B18" w:tentative="1">
      <w:start w:val="1"/>
      <w:numFmt w:val="bullet"/>
      <w:lvlText w:val=""/>
      <w:lvlJc w:val="left"/>
      <w:pPr>
        <w:ind w:left="5760" w:hanging="360"/>
      </w:pPr>
      <w:rPr>
        <w:rFonts w:ascii="Symbol" w:hAnsi="Symbol" w:hint="default"/>
      </w:rPr>
    </w:lvl>
    <w:lvl w:ilvl="7" w:tplc="6E923D1E" w:tentative="1">
      <w:start w:val="1"/>
      <w:numFmt w:val="bullet"/>
      <w:lvlText w:val="o"/>
      <w:lvlJc w:val="left"/>
      <w:pPr>
        <w:ind w:left="6480" w:hanging="360"/>
      </w:pPr>
      <w:rPr>
        <w:rFonts w:ascii="Courier New" w:hAnsi="Courier New" w:cs="Courier New" w:hint="default"/>
      </w:rPr>
    </w:lvl>
    <w:lvl w:ilvl="8" w:tplc="F2C89048" w:tentative="1">
      <w:start w:val="1"/>
      <w:numFmt w:val="bullet"/>
      <w:lvlText w:val=""/>
      <w:lvlJc w:val="left"/>
      <w:pPr>
        <w:ind w:left="7200" w:hanging="360"/>
      </w:pPr>
      <w:rPr>
        <w:rFonts w:ascii="Wingdings" w:hAnsi="Wingdings" w:hint="default"/>
      </w:rPr>
    </w:lvl>
  </w:abstractNum>
  <w:abstractNum w:abstractNumId="3" w15:restartNumberingAfterBreak="0">
    <w:nsid w:val="2D8046AD"/>
    <w:multiLevelType w:val="hybridMultilevel"/>
    <w:tmpl w:val="1A2EC1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EFF2E6E"/>
    <w:multiLevelType w:val="hybridMultilevel"/>
    <w:tmpl w:val="B6BE4D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393753"/>
    <w:multiLevelType w:val="hybridMultilevel"/>
    <w:tmpl w:val="35DA6B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722511A"/>
    <w:multiLevelType w:val="hybridMultilevel"/>
    <w:tmpl w:val="5504F770"/>
    <w:lvl w:ilvl="0" w:tplc="5622AFE2">
      <w:start w:val="1"/>
      <w:numFmt w:val="lowerRoman"/>
      <w:lvlText w:val="(%1)"/>
      <w:lvlJc w:val="left"/>
      <w:pPr>
        <w:ind w:left="1080" w:hanging="720"/>
      </w:pPr>
      <w:rPr>
        <w:rFonts w:hint="default"/>
      </w:rPr>
    </w:lvl>
    <w:lvl w:ilvl="1" w:tplc="0AD27574" w:tentative="1">
      <w:start w:val="1"/>
      <w:numFmt w:val="lowerLetter"/>
      <w:lvlText w:val="%2."/>
      <w:lvlJc w:val="left"/>
      <w:pPr>
        <w:ind w:left="1440" w:hanging="360"/>
      </w:pPr>
    </w:lvl>
    <w:lvl w:ilvl="2" w:tplc="51D82574" w:tentative="1">
      <w:start w:val="1"/>
      <w:numFmt w:val="lowerRoman"/>
      <w:lvlText w:val="%3."/>
      <w:lvlJc w:val="right"/>
      <w:pPr>
        <w:ind w:left="2160" w:hanging="180"/>
      </w:pPr>
    </w:lvl>
    <w:lvl w:ilvl="3" w:tplc="4A087D8C" w:tentative="1">
      <w:start w:val="1"/>
      <w:numFmt w:val="decimal"/>
      <w:lvlText w:val="%4."/>
      <w:lvlJc w:val="left"/>
      <w:pPr>
        <w:ind w:left="2880" w:hanging="360"/>
      </w:pPr>
    </w:lvl>
    <w:lvl w:ilvl="4" w:tplc="07081630" w:tentative="1">
      <w:start w:val="1"/>
      <w:numFmt w:val="lowerLetter"/>
      <w:lvlText w:val="%5."/>
      <w:lvlJc w:val="left"/>
      <w:pPr>
        <w:ind w:left="3600" w:hanging="360"/>
      </w:pPr>
    </w:lvl>
    <w:lvl w:ilvl="5" w:tplc="9370A70E" w:tentative="1">
      <w:start w:val="1"/>
      <w:numFmt w:val="lowerRoman"/>
      <w:lvlText w:val="%6."/>
      <w:lvlJc w:val="right"/>
      <w:pPr>
        <w:ind w:left="4320" w:hanging="180"/>
      </w:pPr>
    </w:lvl>
    <w:lvl w:ilvl="6" w:tplc="4A8433BE" w:tentative="1">
      <w:start w:val="1"/>
      <w:numFmt w:val="decimal"/>
      <w:lvlText w:val="%7."/>
      <w:lvlJc w:val="left"/>
      <w:pPr>
        <w:ind w:left="5040" w:hanging="360"/>
      </w:pPr>
    </w:lvl>
    <w:lvl w:ilvl="7" w:tplc="7CCE7A00" w:tentative="1">
      <w:start w:val="1"/>
      <w:numFmt w:val="lowerLetter"/>
      <w:lvlText w:val="%8."/>
      <w:lvlJc w:val="left"/>
      <w:pPr>
        <w:ind w:left="5760" w:hanging="360"/>
      </w:pPr>
    </w:lvl>
    <w:lvl w:ilvl="8" w:tplc="E0AEF7D4"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080C20D6">
      <w:start w:val="1"/>
      <w:numFmt w:val="bullet"/>
      <w:pStyle w:val="ListBullet"/>
      <w:lvlText w:val=""/>
      <w:lvlJc w:val="left"/>
      <w:pPr>
        <w:ind w:left="720" w:hanging="360"/>
      </w:pPr>
      <w:rPr>
        <w:rFonts w:ascii="Symbol" w:hAnsi="Symbol" w:hint="default"/>
      </w:rPr>
    </w:lvl>
    <w:lvl w:ilvl="1" w:tplc="298E85C2">
      <w:start w:val="1"/>
      <w:numFmt w:val="bullet"/>
      <w:pStyle w:val="ListBullet2"/>
      <w:lvlText w:val="o"/>
      <w:lvlJc w:val="left"/>
      <w:pPr>
        <w:ind w:left="1440" w:hanging="360"/>
      </w:pPr>
      <w:rPr>
        <w:rFonts w:ascii="Courier New" w:hAnsi="Courier New" w:cs="Courier New" w:hint="default"/>
      </w:rPr>
    </w:lvl>
    <w:lvl w:ilvl="2" w:tplc="0152F2D6">
      <w:start w:val="1"/>
      <w:numFmt w:val="bullet"/>
      <w:lvlText w:val=""/>
      <w:lvlJc w:val="left"/>
      <w:pPr>
        <w:ind w:left="2160" w:hanging="360"/>
      </w:pPr>
      <w:rPr>
        <w:rFonts w:ascii="Wingdings" w:hAnsi="Wingdings" w:hint="default"/>
      </w:rPr>
    </w:lvl>
    <w:lvl w:ilvl="3" w:tplc="91EA37AE">
      <w:start w:val="1"/>
      <w:numFmt w:val="bullet"/>
      <w:lvlText w:val=""/>
      <w:lvlJc w:val="left"/>
      <w:pPr>
        <w:ind w:left="2880" w:hanging="360"/>
      </w:pPr>
      <w:rPr>
        <w:rFonts w:ascii="Symbol" w:hAnsi="Symbol" w:hint="default"/>
      </w:rPr>
    </w:lvl>
    <w:lvl w:ilvl="4" w:tplc="8D127574">
      <w:start w:val="1"/>
      <w:numFmt w:val="bullet"/>
      <w:lvlText w:val="o"/>
      <w:lvlJc w:val="left"/>
      <w:pPr>
        <w:ind w:left="3600" w:hanging="360"/>
      </w:pPr>
      <w:rPr>
        <w:rFonts w:ascii="Courier New" w:hAnsi="Courier New" w:cs="Courier New" w:hint="default"/>
      </w:rPr>
    </w:lvl>
    <w:lvl w:ilvl="5" w:tplc="8542A12C">
      <w:start w:val="1"/>
      <w:numFmt w:val="bullet"/>
      <w:pStyle w:val="ListBullet3"/>
      <w:lvlText w:val=""/>
      <w:lvlJc w:val="left"/>
      <w:pPr>
        <w:ind w:left="4320" w:hanging="360"/>
      </w:pPr>
      <w:rPr>
        <w:rFonts w:ascii="Wingdings" w:hAnsi="Wingdings" w:hint="default"/>
      </w:rPr>
    </w:lvl>
    <w:lvl w:ilvl="6" w:tplc="B73AB984">
      <w:start w:val="1"/>
      <w:numFmt w:val="bullet"/>
      <w:lvlText w:val=""/>
      <w:lvlJc w:val="left"/>
      <w:pPr>
        <w:ind w:left="5040" w:hanging="360"/>
      </w:pPr>
      <w:rPr>
        <w:rFonts w:ascii="Symbol" w:hAnsi="Symbol" w:hint="default"/>
      </w:rPr>
    </w:lvl>
    <w:lvl w:ilvl="7" w:tplc="701A20D8">
      <w:start w:val="1"/>
      <w:numFmt w:val="bullet"/>
      <w:lvlText w:val="o"/>
      <w:lvlJc w:val="left"/>
      <w:pPr>
        <w:ind w:left="5760" w:hanging="360"/>
      </w:pPr>
      <w:rPr>
        <w:rFonts w:ascii="Courier New" w:hAnsi="Courier New" w:cs="Courier New" w:hint="default"/>
      </w:rPr>
    </w:lvl>
    <w:lvl w:ilvl="8" w:tplc="78F83DCC">
      <w:start w:val="1"/>
      <w:numFmt w:val="bullet"/>
      <w:lvlText w:val=""/>
      <w:lvlJc w:val="left"/>
      <w:pPr>
        <w:ind w:left="6480" w:hanging="360"/>
      </w:pPr>
      <w:rPr>
        <w:rFonts w:ascii="Wingdings" w:hAnsi="Wingdings" w:hint="default"/>
      </w:rPr>
    </w:lvl>
  </w:abstractNum>
  <w:abstractNum w:abstractNumId="8" w15:restartNumberingAfterBreak="0">
    <w:nsid w:val="399F49D7"/>
    <w:multiLevelType w:val="hybridMultilevel"/>
    <w:tmpl w:val="1DA6B4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4180560A">
      <w:start w:val="1"/>
      <w:numFmt w:val="lowerRoman"/>
      <w:lvlText w:val="(%1)"/>
      <w:lvlJc w:val="left"/>
      <w:pPr>
        <w:ind w:left="1080" w:hanging="720"/>
      </w:pPr>
      <w:rPr>
        <w:rFonts w:hint="default"/>
      </w:rPr>
    </w:lvl>
    <w:lvl w:ilvl="1" w:tplc="222C6272" w:tentative="1">
      <w:start w:val="1"/>
      <w:numFmt w:val="lowerLetter"/>
      <w:lvlText w:val="%2."/>
      <w:lvlJc w:val="left"/>
      <w:pPr>
        <w:ind w:left="1440" w:hanging="360"/>
      </w:pPr>
    </w:lvl>
    <w:lvl w:ilvl="2" w:tplc="4DC26E4A" w:tentative="1">
      <w:start w:val="1"/>
      <w:numFmt w:val="lowerRoman"/>
      <w:lvlText w:val="%3."/>
      <w:lvlJc w:val="right"/>
      <w:pPr>
        <w:ind w:left="2160" w:hanging="180"/>
      </w:pPr>
    </w:lvl>
    <w:lvl w:ilvl="3" w:tplc="7E8E75AC" w:tentative="1">
      <w:start w:val="1"/>
      <w:numFmt w:val="decimal"/>
      <w:lvlText w:val="%4."/>
      <w:lvlJc w:val="left"/>
      <w:pPr>
        <w:ind w:left="2880" w:hanging="360"/>
      </w:pPr>
    </w:lvl>
    <w:lvl w:ilvl="4" w:tplc="AF60A4C8" w:tentative="1">
      <w:start w:val="1"/>
      <w:numFmt w:val="lowerLetter"/>
      <w:lvlText w:val="%5."/>
      <w:lvlJc w:val="left"/>
      <w:pPr>
        <w:ind w:left="3600" w:hanging="360"/>
      </w:pPr>
    </w:lvl>
    <w:lvl w:ilvl="5" w:tplc="FC7470E8" w:tentative="1">
      <w:start w:val="1"/>
      <w:numFmt w:val="lowerRoman"/>
      <w:lvlText w:val="%6."/>
      <w:lvlJc w:val="right"/>
      <w:pPr>
        <w:ind w:left="4320" w:hanging="180"/>
      </w:pPr>
    </w:lvl>
    <w:lvl w:ilvl="6" w:tplc="E6D06776" w:tentative="1">
      <w:start w:val="1"/>
      <w:numFmt w:val="decimal"/>
      <w:lvlText w:val="%7."/>
      <w:lvlJc w:val="left"/>
      <w:pPr>
        <w:ind w:left="5040" w:hanging="360"/>
      </w:pPr>
    </w:lvl>
    <w:lvl w:ilvl="7" w:tplc="B71423F4" w:tentative="1">
      <w:start w:val="1"/>
      <w:numFmt w:val="lowerLetter"/>
      <w:lvlText w:val="%8."/>
      <w:lvlJc w:val="left"/>
      <w:pPr>
        <w:ind w:left="5760" w:hanging="360"/>
      </w:pPr>
    </w:lvl>
    <w:lvl w:ilvl="8" w:tplc="BD24A112" w:tentative="1">
      <w:start w:val="1"/>
      <w:numFmt w:val="lowerRoman"/>
      <w:lvlText w:val="%9."/>
      <w:lvlJc w:val="right"/>
      <w:pPr>
        <w:ind w:left="6480" w:hanging="180"/>
      </w:pPr>
    </w:lvl>
  </w:abstractNum>
  <w:abstractNum w:abstractNumId="10" w15:restartNumberingAfterBreak="0">
    <w:nsid w:val="6A463F67"/>
    <w:multiLevelType w:val="hybridMultilevel"/>
    <w:tmpl w:val="1040C7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7BCE5F25"/>
    <w:multiLevelType w:val="hybridMultilevel"/>
    <w:tmpl w:val="49A21BE0"/>
    <w:lvl w:ilvl="0" w:tplc="77D83278">
      <w:start w:val="1"/>
      <w:numFmt w:val="decimal"/>
      <w:lvlText w:val="%1."/>
      <w:lvlJc w:val="left"/>
      <w:pPr>
        <w:ind w:left="360" w:hanging="360"/>
      </w:pPr>
      <w:rPr>
        <w:rFonts w:hint="default"/>
      </w:rPr>
    </w:lvl>
    <w:lvl w:ilvl="1" w:tplc="7F64A6C0" w:tentative="1">
      <w:start w:val="1"/>
      <w:numFmt w:val="lowerLetter"/>
      <w:lvlText w:val="%2."/>
      <w:lvlJc w:val="left"/>
      <w:pPr>
        <w:ind w:left="1080" w:hanging="360"/>
      </w:pPr>
    </w:lvl>
    <w:lvl w:ilvl="2" w:tplc="B9EAF570" w:tentative="1">
      <w:start w:val="1"/>
      <w:numFmt w:val="lowerRoman"/>
      <w:lvlText w:val="%3."/>
      <w:lvlJc w:val="right"/>
      <w:pPr>
        <w:ind w:left="1800" w:hanging="180"/>
      </w:pPr>
    </w:lvl>
    <w:lvl w:ilvl="3" w:tplc="82B6097C" w:tentative="1">
      <w:start w:val="1"/>
      <w:numFmt w:val="decimal"/>
      <w:lvlText w:val="%4."/>
      <w:lvlJc w:val="left"/>
      <w:pPr>
        <w:ind w:left="2520" w:hanging="360"/>
      </w:pPr>
    </w:lvl>
    <w:lvl w:ilvl="4" w:tplc="4A7E17F8" w:tentative="1">
      <w:start w:val="1"/>
      <w:numFmt w:val="lowerLetter"/>
      <w:lvlText w:val="%5."/>
      <w:lvlJc w:val="left"/>
      <w:pPr>
        <w:ind w:left="3240" w:hanging="360"/>
      </w:pPr>
    </w:lvl>
    <w:lvl w:ilvl="5" w:tplc="E7846268" w:tentative="1">
      <w:start w:val="1"/>
      <w:numFmt w:val="lowerRoman"/>
      <w:lvlText w:val="%6."/>
      <w:lvlJc w:val="right"/>
      <w:pPr>
        <w:ind w:left="3960" w:hanging="180"/>
      </w:pPr>
    </w:lvl>
    <w:lvl w:ilvl="6" w:tplc="875EB530" w:tentative="1">
      <w:start w:val="1"/>
      <w:numFmt w:val="decimal"/>
      <w:lvlText w:val="%7."/>
      <w:lvlJc w:val="left"/>
      <w:pPr>
        <w:ind w:left="4680" w:hanging="360"/>
      </w:pPr>
    </w:lvl>
    <w:lvl w:ilvl="7" w:tplc="A5DEA92E" w:tentative="1">
      <w:start w:val="1"/>
      <w:numFmt w:val="lowerLetter"/>
      <w:lvlText w:val="%8."/>
      <w:lvlJc w:val="left"/>
      <w:pPr>
        <w:ind w:left="5400" w:hanging="360"/>
      </w:pPr>
    </w:lvl>
    <w:lvl w:ilvl="8" w:tplc="E49E01D6" w:tentative="1">
      <w:start w:val="1"/>
      <w:numFmt w:val="lowerRoman"/>
      <w:lvlText w:val="%9."/>
      <w:lvlJc w:val="right"/>
      <w:pPr>
        <w:ind w:left="6120" w:hanging="180"/>
      </w:pPr>
    </w:lvl>
  </w:abstractNum>
  <w:abstractNum w:abstractNumId="12" w15:restartNumberingAfterBreak="0">
    <w:nsid w:val="7DFD2A79"/>
    <w:multiLevelType w:val="hybridMultilevel"/>
    <w:tmpl w:val="3CD65B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1"/>
  </w:num>
  <w:num w:numId="4">
    <w:abstractNumId w:val="9"/>
  </w:num>
  <w:num w:numId="5">
    <w:abstractNumId w:val="6"/>
  </w:num>
  <w:num w:numId="6">
    <w:abstractNumId w:val="1"/>
  </w:num>
  <w:num w:numId="7">
    <w:abstractNumId w:val="3"/>
  </w:num>
  <w:num w:numId="8">
    <w:abstractNumId w:val="5"/>
  </w:num>
  <w:num w:numId="9">
    <w:abstractNumId w:val="12"/>
  </w:num>
  <w:num w:numId="10">
    <w:abstractNumId w:val="8"/>
  </w:num>
  <w:num w:numId="11">
    <w:abstractNumId w:val="0"/>
  </w:num>
  <w:num w:numId="12">
    <w:abstractNumId w:val="4"/>
  </w:num>
  <w:num w:numId="13">
    <w:abstractNumId w:val="2"/>
  </w:num>
  <w:num w:numId="1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E72"/>
    <w:rsid w:val="0007538D"/>
    <w:rsid w:val="000A40C3"/>
    <w:rsid w:val="000D127C"/>
    <w:rsid w:val="000D4CA9"/>
    <w:rsid w:val="0010423A"/>
    <w:rsid w:val="00123EB0"/>
    <w:rsid w:val="001A0F7A"/>
    <w:rsid w:val="001A484F"/>
    <w:rsid w:val="001E4544"/>
    <w:rsid w:val="00274D63"/>
    <w:rsid w:val="00287951"/>
    <w:rsid w:val="002C0EAB"/>
    <w:rsid w:val="00345F4E"/>
    <w:rsid w:val="003B461C"/>
    <w:rsid w:val="003B4DE2"/>
    <w:rsid w:val="00437DEA"/>
    <w:rsid w:val="00442FD8"/>
    <w:rsid w:val="004F7DAB"/>
    <w:rsid w:val="00546C16"/>
    <w:rsid w:val="005C1563"/>
    <w:rsid w:val="005D2EB5"/>
    <w:rsid w:val="005F3FFA"/>
    <w:rsid w:val="00615E9F"/>
    <w:rsid w:val="006644DE"/>
    <w:rsid w:val="00753314"/>
    <w:rsid w:val="00762E89"/>
    <w:rsid w:val="007814E9"/>
    <w:rsid w:val="008327CC"/>
    <w:rsid w:val="008473D5"/>
    <w:rsid w:val="00857EEC"/>
    <w:rsid w:val="008B22CA"/>
    <w:rsid w:val="008B3B36"/>
    <w:rsid w:val="00905364"/>
    <w:rsid w:val="00936568"/>
    <w:rsid w:val="00991453"/>
    <w:rsid w:val="009D2405"/>
    <w:rsid w:val="00A830E3"/>
    <w:rsid w:val="00A92594"/>
    <w:rsid w:val="00A9481C"/>
    <w:rsid w:val="00AA71B0"/>
    <w:rsid w:val="00AD344B"/>
    <w:rsid w:val="00C144E7"/>
    <w:rsid w:val="00C66D8A"/>
    <w:rsid w:val="00CC0C8C"/>
    <w:rsid w:val="00CE7691"/>
    <w:rsid w:val="00CF6479"/>
    <w:rsid w:val="00D41163"/>
    <w:rsid w:val="00D5719B"/>
    <w:rsid w:val="00D6536C"/>
    <w:rsid w:val="00D97D49"/>
    <w:rsid w:val="00DC1423"/>
    <w:rsid w:val="00DF3437"/>
    <w:rsid w:val="00DF4EAE"/>
    <w:rsid w:val="00E04E72"/>
    <w:rsid w:val="00E84E3A"/>
    <w:rsid w:val="00EE3D7C"/>
    <w:rsid w:val="00F3293B"/>
    <w:rsid w:val="00F471A9"/>
    <w:rsid w:val="00FC6F3D"/>
    <w:rsid w:val="00FC7313"/>
    <w:rsid w:val="00FE7A51"/>
    <w:rsid w:val="00FF2E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DDF0C"/>
  <w15:docId w15:val="{C1C00312-1FC9-48AD-9F73-FF3BB9C2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Style1">
    <w:name w:val="Style1"/>
    <w:basedOn w:val="DefaultParagraphFont"/>
    <w:uiPriority w:val="1"/>
    <w:rsid w:val="00437DE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16392">
      <w:bodyDiv w:val="1"/>
      <w:marLeft w:val="0"/>
      <w:marRight w:val="0"/>
      <w:marTop w:val="0"/>
      <w:marBottom w:val="0"/>
      <w:divBdr>
        <w:top w:val="none" w:sz="0" w:space="0" w:color="auto"/>
        <w:left w:val="none" w:sz="0" w:space="0" w:color="auto"/>
        <w:bottom w:val="none" w:sz="0" w:space="0" w:color="auto"/>
        <w:right w:val="none" w:sz="0" w:space="0" w:color="auto"/>
      </w:divBdr>
    </w:div>
    <w:div w:id="209532525">
      <w:bodyDiv w:val="1"/>
      <w:marLeft w:val="0"/>
      <w:marRight w:val="0"/>
      <w:marTop w:val="0"/>
      <w:marBottom w:val="0"/>
      <w:divBdr>
        <w:top w:val="none" w:sz="0" w:space="0" w:color="auto"/>
        <w:left w:val="none" w:sz="0" w:space="0" w:color="auto"/>
        <w:bottom w:val="none" w:sz="0" w:space="0" w:color="auto"/>
        <w:right w:val="none" w:sz="0" w:space="0" w:color="auto"/>
      </w:divBdr>
    </w:div>
    <w:div w:id="88683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5359</RACS_x0020_ID>
    <Approved_x0020_Provider xmlns="a8338b6e-77a6-4851-82b6-98166143ffdd">The Baptist Union of Queensland</Approved_x0020_Provider>
    <Management_x0020_Company_x0020_ID xmlns="a8338b6e-77a6-4851-82b6-98166143ffdd" xsi:nil="true"/>
    <Home xmlns="a8338b6e-77a6-4851-82b6-98166143ffdd">Carinity Shalom</Home>
    <Signed xmlns="a8338b6e-77a6-4851-82b6-98166143ffdd" xsi:nil="true"/>
    <Uploaded xmlns="a8338b6e-77a6-4851-82b6-98166143ffdd">False</Uploaded>
    <Management_x0020_Company xmlns="a8338b6e-77a6-4851-82b6-98166143ffdd" xsi:nil="true"/>
    <Doc_x0020_Date xmlns="a8338b6e-77a6-4851-82b6-98166143ffdd">2020-10-07T03:18:00+00:00</Doc_x0020_Date>
    <CSI_x0020_ID xmlns="a8338b6e-77a6-4851-82b6-98166143ffdd" xsi:nil="true"/>
    <Case_x0020_ID xmlns="a8338b6e-77a6-4851-82b6-98166143ffdd" xsi:nil="true"/>
    <Approved_x0020_Provider_x0020_ID xmlns="a8338b6e-77a6-4851-82b6-98166143ffdd">51D2153F-77F4-DC11-AD41-005056922186</Approved_x0020_Provider_x0020_ID>
    <Location xmlns="a8338b6e-77a6-4851-82b6-98166143ffdd" xsi:nil="true"/>
    <Home_x0020_ID xmlns="a8338b6e-77a6-4851-82b6-98166143ffdd">76D04F4B-7CF4-DC11-AD41-005056922186</Home_x0020_ID>
    <State xmlns="a8338b6e-77a6-4851-82b6-98166143ffdd">QLD</State>
    <Doc_x0020_Sent_Received_x0020_Date xmlns="a8338b6e-77a6-4851-82b6-98166143ffdd">2020-10-07T00:00:00+00:00</Doc_x0020_Sent_Received_x0020_Date>
    <Activity_x0020_ID xmlns="a8338b6e-77a6-4851-82b6-98166143ffdd">E8BD4951-B134-E911-8F0C-005056922186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9A05848-65E6-49E7-A69F-C87D9B2BF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A0F3655-15E6-48AC-B7EF-5CFE12D8D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1621</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2020-11-10T22:11:00Z</dcterms:created>
  <dcterms:modified xsi:type="dcterms:W3CDTF">2020-11-10T22:12:00Z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