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D085" w14:textId="77777777" w:rsidR="00865DC5" w:rsidRPr="00DD044E" w:rsidRDefault="00865DC5" w:rsidP="00865DC5">
      <w:pPr>
        <w:keepNext/>
        <w:keepLines/>
        <w:pBdr>
          <w:bottom w:val="single" w:sz="4" w:space="1" w:color="auto"/>
        </w:pBdr>
        <w:spacing w:before="240" w:after="0"/>
        <w:outlineLvl w:val="0"/>
        <w:rPr>
          <w:rFonts w:ascii="Arial" w:eastAsiaTheme="majorEastAsia" w:hAnsi="Arial" w:cs="Arial"/>
          <w:b/>
          <w:sz w:val="40"/>
          <w:szCs w:val="32"/>
          <w:lang w:eastAsia="en-AU"/>
        </w:rPr>
      </w:pPr>
      <w:r w:rsidRPr="00DD044E">
        <w:rPr>
          <w:rFonts w:ascii="Arial" w:eastAsiaTheme="majorEastAsia" w:hAnsi="Arial" w:cs="Arial"/>
          <w:b/>
          <w:sz w:val="40"/>
          <w:szCs w:val="32"/>
          <w:lang w:eastAsia="en-AU"/>
        </w:rPr>
        <w:t xml:space="preserve">CONSENT TO ACCESS PREMISES </w:t>
      </w:r>
    </w:p>
    <w:p w14:paraId="4CBD59F4" w14:textId="77777777" w:rsidR="00865DC5" w:rsidRPr="00DD044E" w:rsidRDefault="00865DC5" w:rsidP="00865DC5">
      <w:pPr>
        <w:keepNext/>
        <w:keepLines/>
        <w:pBdr>
          <w:bottom w:val="single" w:sz="4" w:space="1" w:color="auto"/>
        </w:pBdr>
        <w:spacing w:after="0"/>
        <w:outlineLvl w:val="0"/>
        <w:rPr>
          <w:rFonts w:ascii="Arial" w:eastAsiaTheme="majorEastAsia" w:hAnsi="Arial" w:cs="Arial"/>
          <w:b/>
          <w:sz w:val="40"/>
          <w:szCs w:val="32"/>
          <w:lang w:eastAsia="en-AU"/>
        </w:rPr>
      </w:pPr>
      <w:r w:rsidRPr="00DD044E">
        <w:rPr>
          <w:rFonts w:ascii="Arial" w:eastAsiaTheme="majorEastAsia" w:hAnsi="Arial" w:cs="Arial"/>
          <w:b/>
          <w:sz w:val="40"/>
          <w:szCs w:val="32"/>
          <w:lang w:eastAsia="en-AU"/>
        </w:rPr>
        <w:t>FACT SHEET</w:t>
      </w:r>
    </w:p>
    <w:p w14:paraId="1730C51A" w14:textId="77777777" w:rsidR="00865DC5" w:rsidRPr="00FC714D" w:rsidRDefault="00865DC5" w:rsidP="00865DC5">
      <w:pPr>
        <w:keepNext/>
        <w:keepLines/>
        <w:pBdr>
          <w:bottom w:val="single" w:sz="4" w:space="1" w:color="auto"/>
        </w:pBdr>
        <w:spacing w:after="0"/>
        <w:outlineLvl w:val="0"/>
        <w:rPr>
          <w:rFonts w:ascii="Arial" w:eastAsia="Times New Roman" w:hAnsi="Arial" w:cs="Arial"/>
          <w:b/>
          <w:sz w:val="40"/>
          <w:szCs w:val="32"/>
          <w:lang w:eastAsia="en-AU"/>
        </w:rPr>
      </w:pPr>
      <w:r w:rsidRPr="00DD044E">
        <w:rPr>
          <w:rFonts w:ascii="Arial" w:eastAsiaTheme="majorEastAsia" w:hAnsi="Arial" w:cs="Arial"/>
          <w:b/>
          <w:sz w:val="40"/>
          <w:szCs w:val="32"/>
          <w:lang w:eastAsia="en-AU"/>
        </w:rPr>
        <w:t xml:space="preserve">Key changes under the </w:t>
      </w:r>
      <w:r w:rsidR="00CA3359" w:rsidRPr="00FC714D">
        <w:rPr>
          <w:rFonts w:ascii="Arial" w:eastAsiaTheme="majorEastAsia" w:hAnsi="Arial" w:cs="Arial"/>
          <w:b/>
          <w:sz w:val="40"/>
          <w:szCs w:val="32"/>
          <w:lang w:eastAsia="en-AU"/>
        </w:rPr>
        <w:t>Aged Care Quality and Safety Rules 2018 (</w:t>
      </w:r>
      <w:r w:rsidRPr="00FC714D">
        <w:rPr>
          <w:rFonts w:ascii="Arial" w:eastAsiaTheme="majorEastAsia" w:hAnsi="Arial" w:cs="Arial"/>
          <w:b/>
          <w:sz w:val="40"/>
          <w:szCs w:val="32"/>
          <w:lang w:eastAsia="en-AU"/>
        </w:rPr>
        <w:t>Rules</w:t>
      </w:r>
      <w:r w:rsidR="00CA3359" w:rsidRPr="00FC714D">
        <w:rPr>
          <w:rFonts w:ascii="Arial" w:eastAsiaTheme="majorEastAsia" w:hAnsi="Arial" w:cs="Arial"/>
          <w:b/>
          <w:sz w:val="40"/>
          <w:szCs w:val="32"/>
          <w:lang w:eastAsia="en-AU"/>
        </w:rPr>
        <w:t>)</w:t>
      </w:r>
      <w:r w:rsidRPr="00FC714D">
        <w:rPr>
          <w:rFonts w:ascii="Arial" w:eastAsiaTheme="majorEastAsia" w:hAnsi="Arial" w:cs="Arial"/>
          <w:b/>
          <w:sz w:val="40"/>
          <w:szCs w:val="32"/>
          <w:lang w:eastAsia="en-AU"/>
        </w:rPr>
        <w:t xml:space="preserve"> </w:t>
      </w:r>
    </w:p>
    <w:p w14:paraId="450639A8" w14:textId="77777777" w:rsidR="00865DC5" w:rsidRPr="00DD044E" w:rsidRDefault="00865DC5" w:rsidP="00865DC5">
      <w:pPr>
        <w:rPr>
          <w:rFonts w:ascii="Arial" w:hAnsi="Arial" w:cs="Arial"/>
          <w:b/>
          <w:color w:val="0070C0"/>
          <w:sz w:val="24"/>
          <w:szCs w:val="24"/>
          <w:u w:val="single"/>
        </w:rPr>
      </w:pPr>
    </w:p>
    <w:p w14:paraId="1ADEB940" w14:textId="77777777" w:rsidR="0086416C" w:rsidRPr="00DD044E" w:rsidRDefault="0086416C" w:rsidP="0086416C">
      <w:pPr>
        <w:rPr>
          <w:rFonts w:ascii="Arial" w:hAnsi="Arial" w:cs="Arial"/>
          <w:sz w:val="24"/>
          <w:szCs w:val="24"/>
        </w:rPr>
      </w:pPr>
      <w:r w:rsidRPr="00DD044E">
        <w:rPr>
          <w:rFonts w:ascii="Arial" w:hAnsi="Arial" w:cs="Arial"/>
          <w:sz w:val="24"/>
          <w:szCs w:val="24"/>
        </w:rPr>
        <w:t>The changes surrounding consent to access apply to every form of a visit to the premises of a service, whether for the purposes of re-accreditation, a quality review, a review audit or an assessment contact.</w:t>
      </w:r>
    </w:p>
    <w:p w14:paraId="6D759035" w14:textId="77777777" w:rsidR="0086416C" w:rsidRPr="00DD044E" w:rsidRDefault="0086416C" w:rsidP="0086416C">
      <w:pPr>
        <w:rPr>
          <w:rFonts w:ascii="Arial" w:hAnsi="Arial" w:cs="Arial"/>
          <w:sz w:val="24"/>
          <w:szCs w:val="24"/>
        </w:rPr>
      </w:pPr>
      <w:r w:rsidRPr="00DD044E">
        <w:rPr>
          <w:rFonts w:ascii="Arial" w:hAnsi="Arial" w:cs="Arial"/>
          <w:sz w:val="24"/>
          <w:szCs w:val="24"/>
        </w:rPr>
        <w:t xml:space="preserve">The power to ‘enter and search’ derives from the </w:t>
      </w:r>
      <w:r w:rsidRPr="002E65A2">
        <w:rPr>
          <w:rFonts w:ascii="Arial" w:hAnsi="Arial" w:cs="Arial"/>
          <w:i/>
          <w:sz w:val="24"/>
          <w:szCs w:val="24"/>
        </w:rPr>
        <w:t>Aged Care Quality and Safety Commission Act 2018</w:t>
      </w:r>
      <w:r w:rsidRPr="00DD044E">
        <w:rPr>
          <w:rFonts w:ascii="Arial" w:hAnsi="Arial" w:cs="Arial"/>
          <w:sz w:val="24"/>
          <w:szCs w:val="24"/>
        </w:rPr>
        <w:t xml:space="preserve"> (</w:t>
      </w:r>
      <w:r w:rsidR="00CA3359">
        <w:rPr>
          <w:rFonts w:ascii="Arial" w:hAnsi="Arial" w:cs="Arial"/>
          <w:sz w:val="24"/>
          <w:szCs w:val="24"/>
        </w:rPr>
        <w:t>Commission</w:t>
      </w:r>
      <w:r w:rsidRPr="00DD044E">
        <w:rPr>
          <w:rFonts w:ascii="Arial" w:hAnsi="Arial" w:cs="Arial"/>
          <w:sz w:val="24"/>
          <w:szCs w:val="24"/>
        </w:rPr>
        <w:t xml:space="preserve"> Act) and not the Rules. Under the </w:t>
      </w:r>
      <w:r w:rsidR="00CA3359">
        <w:rPr>
          <w:rFonts w:ascii="Arial" w:hAnsi="Arial" w:cs="Arial"/>
          <w:sz w:val="24"/>
          <w:szCs w:val="24"/>
        </w:rPr>
        <w:t xml:space="preserve">Commission </w:t>
      </w:r>
      <w:r w:rsidRPr="00DD044E">
        <w:rPr>
          <w:rFonts w:ascii="Arial" w:hAnsi="Arial" w:cs="Arial"/>
          <w:sz w:val="24"/>
          <w:szCs w:val="24"/>
        </w:rPr>
        <w:t>Act, a quality assessor is not authorised to enter premises unless the occupier of the premises has consented to the entry. Consent to access is given when the assessment team arrives at the premises.</w:t>
      </w:r>
    </w:p>
    <w:p w14:paraId="522A37CA" w14:textId="77777777" w:rsidR="0086416C" w:rsidRPr="00DD044E" w:rsidRDefault="0086416C" w:rsidP="0086416C">
      <w:pPr>
        <w:rPr>
          <w:rFonts w:ascii="Arial" w:hAnsi="Arial" w:cs="Arial"/>
          <w:sz w:val="24"/>
          <w:szCs w:val="24"/>
        </w:rPr>
      </w:pPr>
      <w:r w:rsidRPr="00DD044E">
        <w:rPr>
          <w:rFonts w:ascii="Arial" w:hAnsi="Arial" w:cs="Arial"/>
          <w:sz w:val="24"/>
          <w:szCs w:val="24"/>
        </w:rPr>
        <w:t xml:space="preserve">The quality assessor must show their identification when requesting consent to enter and inform the occupier of the premises that they may refuse to give </w:t>
      </w:r>
      <w:proofErr w:type="gramStart"/>
      <w:r w:rsidRPr="00DD044E">
        <w:rPr>
          <w:rFonts w:ascii="Arial" w:hAnsi="Arial" w:cs="Arial"/>
          <w:sz w:val="24"/>
          <w:szCs w:val="24"/>
        </w:rPr>
        <w:t>consent</w:t>
      </w:r>
      <w:proofErr w:type="gramEnd"/>
      <w:r w:rsidRPr="00DD044E">
        <w:rPr>
          <w:rFonts w:ascii="Arial" w:hAnsi="Arial" w:cs="Arial"/>
          <w:sz w:val="24"/>
          <w:szCs w:val="24"/>
        </w:rPr>
        <w:t xml:space="preserve"> or they may withdraw consent. The assessment team will remind approved providers of their responsibility to cooperate under the Aged Care Act 1997.</w:t>
      </w:r>
    </w:p>
    <w:p w14:paraId="38AB2802" w14:textId="77777777" w:rsidR="0086416C" w:rsidRPr="00DD044E" w:rsidRDefault="0086416C" w:rsidP="0086416C">
      <w:pPr>
        <w:rPr>
          <w:rFonts w:ascii="Arial" w:hAnsi="Arial" w:cs="Arial"/>
          <w:sz w:val="24"/>
          <w:szCs w:val="24"/>
        </w:rPr>
      </w:pPr>
      <w:r w:rsidRPr="00DD044E">
        <w:rPr>
          <w:rFonts w:ascii="Arial" w:hAnsi="Arial" w:cs="Arial"/>
          <w:sz w:val="24"/>
          <w:szCs w:val="24"/>
        </w:rPr>
        <w:t xml:space="preserve">If a quality assessor enters premises with </w:t>
      </w:r>
      <w:proofErr w:type="gramStart"/>
      <w:r w:rsidRPr="00DD044E">
        <w:rPr>
          <w:rFonts w:ascii="Arial" w:hAnsi="Arial" w:cs="Arial"/>
          <w:sz w:val="24"/>
          <w:szCs w:val="24"/>
        </w:rPr>
        <w:t>consent</w:t>
      </w:r>
      <w:proofErr w:type="gramEnd"/>
      <w:r w:rsidRPr="00DD044E">
        <w:rPr>
          <w:rFonts w:ascii="Arial" w:hAnsi="Arial" w:cs="Arial"/>
          <w:sz w:val="24"/>
          <w:szCs w:val="24"/>
        </w:rPr>
        <w:t xml:space="preserve"> they may request a person at the premises:</w:t>
      </w:r>
    </w:p>
    <w:p w14:paraId="192AB696" w14:textId="77777777" w:rsidR="0086416C" w:rsidRPr="00DD044E" w:rsidRDefault="0086416C" w:rsidP="0086416C">
      <w:pPr>
        <w:numPr>
          <w:ilvl w:val="0"/>
          <w:numId w:val="1"/>
        </w:numPr>
        <w:rPr>
          <w:rFonts w:ascii="Arial" w:hAnsi="Arial" w:cs="Arial"/>
          <w:sz w:val="24"/>
          <w:szCs w:val="24"/>
        </w:rPr>
      </w:pPr>
      <w:r w:rsidRPr="00DD044E">
        <w:rPr>
          <w:rFonts w:ascii="Arial" w:hAnsi="Arial" w:cs="Arial"/>
          <w:sz w:val="24"/>
          <w:szCs w:val="24"/>
        </w:rPr>
        <w:t xml:space="preserve">to answer any questions by the quality assessor </w:t>
      </w:r>
    </w:p>
    <w:p w14:paraId="16AB5483" w14:textId="77777777" w:rsidR="0086416C" w:rsidRPr="00DD044E" w:rsidRDefault="0086416C" w:rsidP="0086416C">
      <w:pPr>
        <w:numPr>
          <w:ilvl w:val="0"/>
          <w:numId w:val="1"/>
        </w:numPr>
        <w:rPr>
          <w:rFonts w:ascii="Arial" w:hAnsi="Arial" w:cs="Arial"/>
          <w:sz w:val="24"/>
          <w:szCs w:val="24"/>
        </w:rPr>
      </w:pPr>
      <w:r w:rsidRPr="00DD044E">
        <w:rPr>
          <w:rFonts w:ascii="Arial" w:hAnsi="Arial" w:cs="Arial"/>
          <w:sz w:val="24"/>
          <w:szCs w:val="24"/>
        </w:rPr>
        <w:t>to produce any documents or records requested by the quality assessor</w:t>
      </w:r>
    </w:p>
    <w:p w14:paraId="45D5EC06" w14:textId="77777777" w:rsidR="0086416C" w:rsidRPr="00DD044E" w:rsidRDefault="0086416C" w:rsidP="0086416C">
      <w:pPr>
        <w:rPr>
          <w:rFonts w:ascii="Arial" w:hAnsi="Arial" w:cs="Arial"/>
          <w:sz w:val="24"/>
          <w:szCs w:val="24"/>
        </w:rPr>
      </w:pPr>
      <w:r w:rsidRPr="00DD044E">
        <w:rPr>
          <w:rFonts w:ascii="Arial" w:hAnsi="Arial" w:cs="Arial"/>
          <w:sz w:val="24"/>
          <w:szCs w:val="24"/>
        </w:rPr>
        <w:t>Approved providers will also be reminded of their responsibility to cooperate under the Aged Care Act 1997 in relation to these requests.</w:t>
      </w:r>
    </w:p>
    <w:p w14:paraId="3ACC7221" w14:textId="77777777" w:rsidR="0086416C" w:rsidRPr="00DD044E" w:rsidRDefault="0086416C" w:rsidP="0086416C">
      <w:pPr>
        <w:rPr>
          <w:rFonts w:ascii="Arial" w:hAnsi="Arial" w:cs="Arial"/>
          <w:sz w:val="24"/>
          <w:szCs w:val="24"/>
        </w:rPr>
      </w:pPr>
      <w:r w:rsidRPr="00DD044E">
        <w:rPr>
          <w:rFonts w:ascii="Arial" w:hAnsi="Arial" w:cs="Arial"/>
          <w:sz w:val="24"/>
          <w:szCs w:val="24"/>
        </w:rPr>
        <w:t xml:space="preserve">The assessment team </w:t>
      </w:r>
      <w:proofErr w:type="gramStart"/>
      <w:r w:rsidRPr="00DD044E">
        <w:rPr>
          <w:rFonts w:ascii="Arial" w:hAnsi="Arial" w:cs="Arial"/>
          <w:sz w:val="24"/>
          <w:szCs w:val="24"/>
        </w:rPr>
        <w:t>are able to</w:t>
      </w:r>
      <w:proofErr w:type="gramEnd"/>
      <w:r w:rsidRPr="00DD044E">
        <w:rPr>
          <w:rFonts w:ascii="Arial" w:hAnsi="Arial" w:cs="Arial"/>
          <w:sz w:val="24"/>
          <w:szCs w:val="24"/>
        </w:rPr>
        <w:t xml:space="preserve"> do any of the following for as long as the consent remains in place:</w:t>
      </w:r>
    </w:p>
    <w:p w14:paraId="50432E8F" w14:textId="77777777" w:rsidR="0086416C" w:rsidRPr="003C7788" w:rsidRDefault="0086416C" w:rsidP="0086416C">
      <w:pPr>
        <w:numPr>
          <w:ilvl w:val="0"/>
          <w:numId w:val="2"/>
        </w:numPr>
        <w:rPr>
          <w:rFonts w:ascii="Arial" w:hAnsi="Arial" w:cs="Arial"/>
          <w:sz w:val="24"/>
          <w:szCs w:val="24"/>
        </w:rPr>
      </w:pPr>
      <w:r w:rsidRPr="003C7788">
        <w:rPr>
          <w:rFonts w:ascii="Arial" w:hAnsi="Arial" w:cs="Arial"/>
          <w:sz w:val="24"/>
          <w:szCs w:val="24"/>
        </w:rPr>
        <w:t>search the premises and anything on the premises</w:t>
      </w:r>
    </w:p>
    <w:p w14:paraId="3C5E043C" w14:textId="77777777" w:rsidR="0086416C" w:rsidRDefault="0086416C" w:rsidP="0086416C">
      <w:pPr>
        <w:numPr>
          <w:ilvl w:val="0"/>
          <w:numId w:val="2"/>
        </w:numPr>
        <w:rPr>
          <w:rFonts w:ascii="Arial" w:hAnsi="Arial" w:cs="Arial"/>
          <w:sz w:val="24"/>
          <w:szCs w:val="24"/>
        </w:rPr>
      </w:pPr>
      <w:r w:rsidRPr="0033155B">
        <w:rPr>
          <w:rFonts w:ascii="Arial" w:hAnsi="Arial" w:cs="Arial"/>
          <w:sz w:val="24"/>
          <w:szCs w:val="24"/>
        </w:rPr>
        <w:t xml:space="preserve">examine or observe any activity </w:t>
      </w:r>
      <w:r>
        <w:rPr>
          <w:rFonts w:ascii="Arial" w:hAnsi="Arial" w:cs="Arial"/>
          <w:sz w:val="24"/>
          <w:szCs w:val="24"/>
        </w:rPr>
        <w:t>conducted on the premises</w:t>
      </w:r>
    </w:p>
    <w:p w14:paraId="7DD534EE" w14:textId="77777777" w:rsidR="0086416C" w:rsidRDefault="0086416C" w:rsidP="0086416C">
      <w:pPr>
        <w:numPr>
          <w:ilvl w:val="0"/>
          <w:numId w:val="2"/>
        </w:numPr>
        <w:rPr>
          <w:rFonts w:ascii="Arial" w:hAnsi="Arial" w:cs="Arial"/>
          <w:sz w:val="24"/>
          <w:szCs w:val="24"/>
        </w:rPr>
      </w:pPr>
      <w:r>
        <w:rPr>
          <w:rFonts w:ascii="Arial" w:hAnsi="Arial" w:cs="Arial"/>
          <w:sz w:val="24"/>
          <w:szCs w:val="24"/>
        </w:rPr>
        <w:t xml:space="preserve">take photographs or </w:t>
      </w:r>
      <w:r w:rsidRPr="0012610F">
        <w:rPr>
          <w:rFonts w:ascii="Arial" w:hAnsi="Arial" w:cs="Arial"/>
          <w:sz w:val="24"/>
          <w:szCs w:val="24"/>
        </w:rPr>
        <w:t>make any recording of the premis</w:t>
      </w:r>
      <w:r>
        <w:rPr>
          <w:rFonts w:ascii="Arial" w:hAnsi="Arial" w:cs="Arial"/>
          <w:sz w:val="24"/>
          <w:szCs w:val="24"/>
        </w:rPr>
        <w:t>es or anything on the premises</w:t>
      </w:r>
    </w:p>
    <w:p w14:paraId="775C8512" w14:textId="77777777" w:rsidR="0086416C" w:rsidRDefault="0086416C" w:rsidP="0086416C">
      <w:pPr>
        <w:numPr>
          <w:ilvl w:val="0"/>
          <w:numId w:val="2"/>
        </w:numPr>
        <w:rPr>
          <w:rFonts w:ascii="Arial" w:hAnsi="Arial" w:cs="Arial"/>
          <w:sz w:val="24"/>
          <w:szCs w:val="24"/>
        </w:rPr>
      </w:pPr>
      <w:r w:rsidRPr="0012610F">
        <w:rPr>
          <w:rFonts w:ascii="Arial" w:hAnsi="Arial" w:cs="Arial"/>
          <w:sz w:val="24"/>
          <w:szCs w:val="24"/>
        </w:rPr>
        <w:t>inspect, examine, take measurements of</w:t>
      </w:r>
      <w:r>
        <w:rPr>
          <w:rFonts w:ascii="Arial" w:hAnsi="Arial" w:cs="Arial"/>
          <w:sz w:val="24"/>
          <w:szCs w:val="24"/>
        </w:rPr>
        <w:t>,</w:t>
      </w:r>
      <w:r w:rsidRPr="0012610F">
        <w:rPr>
          <w:rFonts w:ascii="Arial" w:hAnsi="Arial" w:cs="Arial"/>
          <w:sz w:val="24"/>
          <w:szCs w:val="24"/>
        </w:rPr>
        <w:t xml:space="preserve"> or conduct tests on</w:t>
      </w:r>
      <w:r>
        <w:rPr>
          <w:rFonts w:ascii="Arial" w:hAnsi="Arial" w:cs="Arial"/>
          <w:sz w:val="24"/>
          <w:szCs w:val="24"/>
        </w:rPr>
        <w:t>,</w:t>
      </w:r>
      <w:r w:rsidRPr="0012610F">
        <w:rPr>
          <w:rFonts w:ascii="Arial" w:hAnsi="Arial" w:cs="Arial"/>
          <w:sz w:val="24"/>
          <w:szCs w:val="24"/>
        </w:rPr>
        <w:t xml:space="preserve"> anything on the premises</w:t>
      </w:r>
    </w:p>
    <w:p w14:paraId="3369F20F" w14:textId="77777777" w:rsidR="0086416C" w:rsidRDefault="0086416C" w:rsidP="0086416C">
      <w:pPr>
        <w:numPr>
          <w:ilvl w:val="0"/>
          <w:numId w:val="2"/>
        </w:numPr>
        <w:rPr>
          <w:rFonts w:ascii="Arial" w:hAnsi="Arial" w:cs="Arial"/>
          <w:sz w:val="24"/>
          <w:szCs w:val="24"/>
        </w:rPr>
      </w:pPr>
      <w:r w:rsidRPr="0012610F">
        <w:rPr>
          <w:rFonts w:ascii="Arial" w:hAnsi="Arial" w:cs="Arial"/>
          <w:sz w:val="24"/>
          <w:szCs w:val="24"/>
        </w:rPr>
        <w:lastRenderedPageBreak/>
        <w:t>inspe</w:t>
      </w:r>
      <w:r>
        <w:rPr>
          <w:rFonts w:ascii="Arial" w:hAnsi="Arial" w:cs="Arial"/>
          <w:sz w:val="24"/>
          <w:szCs w:val="24"/>
        </w:rPr>
        <w:t>ct any document on the premises</w:t>
      </w:r>
    </w:p>
    <w:p w14:paraId="0278004C" w14:textId="77777777" w:rsidR="0086416C" w:rsidRDefault="0086416C" w:rsidP="0086416C">
      <w:pPr>
        <w:numPr>
          <w:ilvl w:val="0"/>
          <w:numId w:val="2"/>
        </w:numPr>
        <w:rPr>
          <w:rFonts w:ascii="Arial" w:hAnsi="Arial" w:cs="Arial"/>
          <w:sz w:val="24"/>
          <w:szCs w:val="24"/>
        </w:rPr>
      </w:pPr>
      <w:r>
        <w:rPr>
          <w:rFonts w:ascii="Arial" w:hAnsi="Arial" w:cs="Arial"/>
          <w:sz w:val="24"/>
          <w:szCs w:val="24"/>
        </w:rPr>
        <w:t>t</w:t>
      </w:r>
      <w:r w:rsidRPr="0012610F">
        <w:rPr>
          <w:rFonts w:ascii="Arial" w:hAnsi="Arial" w:cs="Arial"/>
          <w:sz w:val="24"/>
          <w:szCs w:val="24"/>
        </w:rPr>
        <w:t>ake extracts from, or ma</w:t>
      </w:r>
      <w:r>
        <w:rPr>
          <w:rFonts w:ascii="Arial" w:hAnsi="Arial" w:cs="Arial"/>
          <w:sz w:val="24"/>
          <w:szCs w:val="24"/>
        </w:rPr>
        <w:t>ke copies of, any such document.</w:t>
      </w:r>
    </w:p>
    <w:p w14:paraId="50B004BA" w14:textId="77777777" w:rsidR="0086416C" w:rsidRDefault="0086416C" w:rsidP="0086416C">
      <w:pPr>
        <w:rPr>
          <w:rFonts w:ascii="Arial" w:hAnsi="Arial" w:cs="Arial"/>
          <w:sz w:val="24"/>
          <w:szCs w:val="24"/>
        </w:rPr>
      </w:pPr>
      <w:r w:rsidRPr="0012610F">
        <w:rPr>
          <w:rFonts w:ascii="Arial" w:hAnsi="Arial" w:cs="Arial"/>
          <w:sz w:val="24"/>
          <w:szCs w:val="24"/>
        </w:rPr>
        <w:t xml:space="preserve">The assessment team may also operate electronic equipment on the premises, including any storage device used with the equipment. </w:t>
      </w:r>
      <w:r>
        <w:rPr>
          <w:rFonts w:ascii="Arial" w:hAnsi="Arial" w:cs="Arial"/>
          <w:sz w:val="24"/>
          <w:szCs w:val="24"/>
        </w:rPr>
        <w:t>They can</w:t>
      </w:r>
      <w:r w:rsidRPr="0012610F">
        <w:rPr>
          <w:rFonts w:ascii="Arial" w:hAnsi="Arial" w:cs="Arial"/>
          <w:sz w:val="24"/>
          <w:szCs w:val="24"/>
        </w:rPr>
        <w:t xml:space="preserve"> use electronic equipment to put relevant data into documentary form and remove copies of the document on a storage device brought onto the premises for that purpose</w:t>
      </w:r>
      <w:r>
        <w:rPr>
          <w:rFonts w:ascii="Arial" w:hAnsi="Arial" w:cs="Arial"/>
          <w:sz w:val="24"/>
          <w:szCs w:val="24"/>
        </w:rPr>
        <w:t>,</w:t>
      </w:r>
      <w:r w:rsidRPr="0012610F">
        <w:rPr>
          <w:rFonts w:ascii="Arial" w:hAnsi="Arial" w:cs="Arial"/>
          <w:sz w:val="24"/>
          <w:szCs w:val="24"/>
        </w:rPr>
        <w:t xml:space="preserve"> or in hard copy.</w:t>
      </w:r>
    </w:p>
    <w:p w14:paraId="0BB2385B" w14:textId="77777777" w:rsidR="0086416C" w:rsidRPr="00DD044E" w:rsidRDefault="0086416C" w:rsidP="0086416C">
      <w:pPr>
        <w:rPr>
          <w:rFonts w:ascii="Arial" w:hAnsi="Arial" w:cs="Arial"/>
          <w:sz w:val="24"/>
          <w:szCs w:val="24"/>
        </w:rPr>
      </w:pPr>
      <w:r w:rsidRPr="00DD044E">
        <w:rPr>
          <w:rFonts w:ascii="Arial" w:hAnsi="Arial" w:cs="Arial"/>
          <w:sz w:val="24"/>
          <w:szCs w:val="24"/>
        </w:rPr>
        <w:t>Further guidance on how these powers may be used by quality assessors will be developed for quality assessors and providers.</w:t>
      </w:r>
    </w:p>
    <w:p w14:paraId="4F28AAF0" w14:textId="77777777" w:rsidR="00865DC5" w:rsidRPr="00DD044E" w:rsidRDefault="00865DC5" w:rsidP="00865DC5">
      <w:pPr>
        <w:outlineLvl w:val="1"/>
        <w:rPr>
          <w:rFonts w:ascii="Arial" w:hAnsi="Arial" w:cs="Arial"/>
          <w:b/>
          <w:color w:val="00577D"/>
          <w:sz w:val="28"/>
          <w:szCs w:val="24"/>
        </w:rPr>
      </w:pPr>
      <w:r w:rsidRPr="00DD044E">
        <w:rPr>
          <w:rFonts w:ascii="Arial" w:hAnsi="Arial" w:cs="Arial"/>
          <w:b/>
          <w:color w:val="00577D"/>
          <w:sz w:val="28"/>
          <w:szCs w:val="24"/>
        </w:rPr>
        <w:t>Regulatory Policy Helpdesk</w:t>
      </w:r>
    </w:p>
    <w:p w14:paraId="663295A6" w14:textId="77777777" w:rsidR="00865DC5" w:rsidRPr="00865DC5" w:rsidRDefault="00865DC5" w:rsidP="00865DC5">
      <w:pPr>
        <w:spacing w:before="240"/>
        <w:contextualSpacing/>
        <w:rPr>
          <w:rFonts w:ascii="Arial" w:hAnsi="Arial" w:cs="Arial"/>
          <w:sz w:val="24"/>
          <w:szCs w:val="24"/>
        </w:rPr>
      </w:pPr>
      <w:r w:rsidRPr="00DD044E">
        <w:rPr>
          <w:rFonts w:ascii="Arial" w:hAnsi="Arial" w:cs="Arial"/>
          <w:sz w:val="24"/>
          <w:szCs w:val="24"/>
        </w:rPr>
        <w:t xml:space="preserve">For support in understanding the Rules and their operational implications, please contact the Regulatory Policy team at </w:t>
      </w:r>
      <w:hyperlink r:id="rId7" w:history="1">
        <w:r w:rsidRPr="00DD044E">
          <w:rPr>
            <w:rFonts w:ascii="Arial" w:hAnsi="Arial" w:cs="Arial"/>
            <w:color w:val="0000FF" w:themeColor="hyperlink"/>
            <w:sz w:val="24"/>
            <w:szCs w:val="24"/>
            <w:u w:val="single"/>
          </w:rPr>
          <w:t>regulatorypolicy@agedcarequality.gov.au</w:t>
        </w:r>
      </w:hyperlink>
      <w:r w:rsidRPr="00DD044E">
        <w:rPr>
          <w:rFonts w:ascii="Arial" w:hAnsi="Arial" w:cs="Arial"/>
          <w:sz w:val="24"/>
          <w:szCs w:val="24"/>
        </w:rPr>
        <w:t xml:space="preserve"> or speak with your local </w:t>
      </w:r>
      <w:hyperlink r:id="rId8" w:history="1">
        <w:r w:rsidRPr="00812310">
          <w:rPr>
            <w:rStyle w:val="Hyperlink"/>
            <w:rFonts w:ascii="Arial" w:hAnsi="Arial" w:cs="Arial"/>
            <w:sz w:val="24"/>
            <w:szCs w:val="24"/>
          </w:rPr>
          <w:t>Regional office</w:t>
        </w:r>
      </w:hyperlink>
      <w:r w:rsidRPr="00DD044E">
        <w:rPr>
          <w:rFonts w:ascii="Arial" w:hAnsi="Arial" w:cs="Arial"/>
          <w:sz w:val="24"/>
          <w:szCs w:val="24"/>
        </w:rPr>
        <w:t>.</w:t>
      </w:r>
      <w:r w:rsidRPr="00865DC5">
        <w:rPr>
          <w:rFonts w:ascii="Arial" w:hAnsi="Arial" w:cs="Arial"/>
          <w:sz w:val="24"/>
          <w:szCs w:val="24"/>
        </w:rPr>
        <w:t xml:space="preserve"> </w:t>
      </w:r>
    </w:p>
    <w:p w14:paraId="3DA3E0B0" w14:textId="77777777" w:rsidR="00865DC5" w:rsidRPr="00865DC5" w:rsidRDefault="00865DC5" w:rsidP="00865DC5">
      <w:pPr>
        <w:rPr>
          <w:rFonts w:ascii="Arial" w:hAnsi="Arial" w:cs="Arial"/>
          <w:sz w:val="24"/>
          <w:szCs w:val="24"/>
        </w:rPr>
      </w:pPr>
    </w:p>
    <w:p w14:paraId="52EFA28B" w14:textId="77777777" w:rsidR="002E65A2" w:rsidRDefault="002E65A2"/>
    <w:p w14:paraId="4E3B89D5" w14:textId="77777777" w:rsidR="002E65A2" w:rsidRPr="002E65A2" w:rsidRDefault="002E65A2" w:rsidP="002E65A2"/>
    <w:p w14:paraId="5D239A53" w14:textId="77777777" w:rsidR="002E65A2" w:rsidRPr="002E65A2" w:rsidRDefault="002E65A2" w:rsidP="002E65A2"/>
    <w:p w14:paraId="39E45C36" w14:textId="77777777" w:rsidR="002E65A2" w:rsidRPr="002E65A2" w:rsidRDefault="002E65A2" w:rsidP="002E65A2"/>
    <w:p w14:paraId="08B25957" w14:textId="77777777" w:rsidR="002E65A2" w:rsidRPr="002E65A2" w:rsidRDefault="002E65A2" w:rsidP="002E65A2"/>
    <w:p w14:paraId="3D1A0A4A" w14:textId="77777777" w:rsidR="002E65A2" w:rsidRPr="002E65A2" w:rsidRDefault="002E65A2" w:rsidP="002E65A2"/>
    <w:p w14:paraId="2B098EC1" w14:textId="77777777" w:rsidR="002E65A2" w:rsidRPr="002E65A2" w:rsidRDefault="002E65A2" w:rsidP="002E65A2"/>
    <w:p w14:paraId="28B63BBC" w14:textId="77777777" w:rsidR="002E65A2" w:rsidRPr="002E65A2" w:rsidRDefault="002E65A2" w:rsidP="002E65A2"/>
    <w:p w14:paraId="721E68EB" w14:textId="77777777" w:rsidR="002E65A2" w:rsidRPr="002E65A2" w:rsidRDefault="002E65A2" w:rsidP="002E65A2"/>
    <w:p w14:paraId="13AC0678" w14:textId="77777777" w:rsidR="002E65A2" w:rsidRDefault="002E65A2" w:rsidP="002E65A2"/>
    <w:p w14:paraId="4980F040" w14:textId="77777777" w:rsidR="007F4412" w:rsidRPr="002E65A2" w:rsidRDefault="002E65A2" w:rsidP="002E65A2">
      <w:pPr>
        <w:tabs>
          <w:tab w:val="left" w:pos="6889"/>
        </w:tabs>
      </w:pPr>
      <w:r>
        <w:tab/>
      </w:r>
    </w:p>
    <w:sectPr w:rsidR="007F4412" w:rsidRPr="002E65A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0C1A" w14:textId="77777777" w:rsidR="00FE6659" w:rsidRDefault="00FE6659" w:rsidP="00865DC5">
      <w:pPr>
        <w:spacing w:after="0" w:line="240" w:lineRule="auto"/>
      </w:pPr>
      <w:r>
        <w:separator/>
      </w:r>
    </w:p>
  </w:endnote>
  <w:endnote w:type="continuationSeparator" w:id="0">
    <w:p w14:paraId="4566819E" w14:textId="77777777" w:rsidR="00FE6659" w:rsidRDefault="00FE6659" w:rsidP="0086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5F18" w14:textId="77777777" w:rsidR="002E65A2" w:rsidRPr="002E65A2" w:rsidRDefault="002E65A2" w:rsidP="002E65A2">
    <w:pPr>
      <w:pStyle w:val="Footer"/>
      <w:jc w:val="right"/>
      <w:rPr>
        <w:rFonts w:ascii="Arial" w:hAnsi="Arial" w:cs="Arial"/>
        <w:sz w:val="20"/>
      </w:rPr>
    </w:pPr>
    <w:r>
      <w:rPr>
        <w:rFonts w:ascii="Arial" w:hAnsi="Arial" w:cs="Arial"/>
        <w:sz w:val="20"/>
      </w:rPr>
      <w:t>Release date: 1 July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37EA" w14:textId="77777777" w:rsidR="00FE6659" w:rsidRDefault="00FE6659" w:rsidP="00865DC5">
      <w:pPr>
        <w:spacing w:after="0" w:line="240" w:lineRule="auto"/>
      </w:pPr>
      <w:r>
        <w:separator/>
      </w:r>
    </w:p>
  </w:footnote>
  <w:footnote w:type="continuationSeparator" w:id="0">
    <w:p w14:paraId="2C571359" w14:textId="77777777" w:rsidR="00FE6659" w:rsidRDefault="00FE6659" w:rsidP="00865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9315" w14:textId="77777777" w:rsidR="00865DC5" w:rsidRDefault="00865DC5" w:rsidP="00457084">
    <w:pPr>
      <w:pStyle w:val="Header"/>
      <w:spacing w:after="240"/>
    </w:pPr>
    <w:r>
      <w:rPr>
        <w:noProof/>
        <w:lang w:eastAsia="en-AU"/>
      </w:rPr>
      <w:drawing>
        <wp:inline distT="0" distB="0" distL="0" distR="0" wp14:anchorId="1FBD1CE2" wp14:editId="3509DD59">
          <wp:extent cx="3549296" cy="590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3398" cy="5962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76808"/>
    <w:multiLevelType w:val="hybridMultilevel"/>
    <w:tmpl w:val="76668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8B1455"/>
    <w:multiLevelType w:val="hybridMultilevel"/>
    <w:tmpl w:val="53A2D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9895160">
    <w:abstractNumId w:val="0"/>
  </w:num>
  <w:num w:numId="2" w16cid:durableId="448166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DC5"/>
    <w:rsid w:val="000C606B"/>
    <w:rsid w:val="002E65A2"/>
    <w:rsid w:val="00372250"/>
    <w:rsid w:val="00457084"/>
    <w:rsid w:val="00680AC3"/>
    <w:rsid w:val="007F4412"/>
    <w:rsid w:val="00812310"/>
    <w:rsid w:val="0086416C"/>
    <w:rsid w:val="00865DC5"/>
    <w:rsid w:val="008D0B3B"/>
    <w:rsid w:val="00947765"/>
    <w:rsid w:val="009C646C"/>
    <w:rsid w:val="00B3023C"/>
    <w:rsid w:val="00B31A80"/>
    <w:rsid w:val="00BF781A"/>
    <w:rsid w:val="00CA3359"/>
    <w:rsid w:val="00DD044E"/>
    <w:rsid w:val="00E81CB8"/>
    <w:rsid w:val="00FC714D"/>
    <w:rsid w:val="00FE66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C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DC5"/>
  </w:style>
  <w:style w:type="paragraph" w:styleId="Footer">
    <w:name w:val="footer"/>
    <w:basedOn w:val="Normal"/>
    <w:link w:val="FooterChar"/>
    <w:uiPriority w:val="99"/>
    <w:unhideWhenUsed/>
    <w:rsid w:val="00865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DC5"/>
  </w:style>
  <w:style w:type="paragraph" w:styleId="BalloonText">
    <w:name w:val="Balloon Text"/>
    <w:basedOn w:val="Normal"/>
    <w:link w:val="BalloonTextChar"/>
    <w:uiPriority w:val="99"/>
    <w:semiHidden/>
    <w:unhideWhenUsed/>
    <w:rsid w:val="00865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DC5"/>
    <w:rPr>
      <w:rFonts w:ascii="Tahoma" w:hAnsi="Tahoma" w:cs="Tahoma"/>
      <w:sz w:val="16"/>
      <w:szCs w:val="16"/>
    </w:rPr>
  </w:style>
  <w:style w:type="character" w:styleId="CommentReference">
    <w:name w:val="annotation reference"/>
    <w:basedOn w:val="DefaultParagraphFont"/>
    <w:uiPriority w:val="99"/>
    <w:semiHidden/>
    <w:unhideWhenUsed/>
    <w:rsid w:val="00E81CB8"/>
    <w:rPr>
      <w:sz w:val="16"/>
      <w:szCs w:val="16"/>
    </w:rPr>
  </w:style>
  <w:style w:type="paragraph" w:styleId="CommentText">
    <w:name w:val="annotation text"/>
    <w:basedOn w:val="Normal"/>
    <w:link w:val="CommentTextChar"/>
    <w:uiPriority w:val="99"/>
    <w:semiHidden/>
    <w:unhideWhenUsed/>
    <w:rsid w:val="00E81CB8"/>
    <w:pPr>
      <w:spacing w:line="240" w:lineRule="auto"/>
    </w:pPr>
    <w:rPr>
      <w:sz w:val="20"/>
      <w:szCs w:val="20"/>
    </w:rPr>
  </w:style>
  <w:style w:type="character" w:customStyle="1" w:styleId="CommentTextChar">
    <w:name w:val="Comment Text Char"/>
    <w:basedOn w:val="DefaultParagraphFont"/>
    <w:link w:val="CommentText"/>
    <w:uiPriority w:val="99"/>
    <w:semiHidden/>
    <w:rsid w:val="00E81CB8"/>
    <w:rPr>
      <w:sz w:val="20"/>
      <w:szCs w:val="20"/>
    </w:rPr>
  </w:style>
  <w:style w:type="paragraph" w:styleId="CommentSubject">
    <w:name w:val="annotation subject"/>
    <w:basedOn w:val="CommentText"/>
    <w:next w:val="CommentText"/>
    <w:link w:val="CommentSubjectChar"/>
    <w:uiPriority w:val="99"/>
    <w:semiHidden/>
    <w:unhideWhenUsed/>
    <w:rsid w:val="00E81CB8"/>
    <w:rPr>
      <w:b/>
      <w:bCs/>
    </w:rPr>
  </w:style>
  <w:style w:type="character" w:customStyle="1" w:styleId="CommentSubjectChar">
    <w:name w:val="Comment Subject Char"/>
    <w:basedOn w:val="CommentTextChar"/>
    <w:link w:val="CommentSubject"/>
    <w:uiPriority w:val="99"/>
    <w:semiHidden/>
    <w:rsid w:val="00E81CB8"/>
    <w:rPr>
      <w:b/>
      <w:bCs/>
      <w:sz w:val="20"/>
      <w:szCs w:val="20"/>
    </w:rPr>
  </w:style>
  <w:style w:type="character" w:styleId="Hyperlink">
    <w:name w:val="Hyperlink"/>
    <w:basedOn w:val="DefaultParagraphFont"/>
    <w:uiPriority w:val="99"/>
    <w:unhideWhenUsed/>
    <w:rsid w:val="008123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dcarequality.gov.au/contact-us" TargetMode="External"/><Relationship Id="rId3" Type="http://schemas.openxmlformats.org/officeDocument/2006/relationships/settings" Target="settings.xml"/><Relationship Id="rId7" Type="http://schemas.openxmlformats.org/officeDocument/2006/relationships/hyperlink" Target="mailto:regulatorypolicy@agedcarequality.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2025-09-22T01:51:00Z</dcterms:created>
  <dcterms:modified xsi:type="dcterms:W3CDTF">2025-09-22T01:51:00Z</dcterms:modified>
</cp:coreProperties>
</file>