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BE15" w14:textId="77777777" w:rsidR="003C6EC2" w:rsidRPr="003C6EC2" w:rsidRDefault="00CB5F3F"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6313BFC1" wp14:editId="6313BFC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519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6313BFC3" wp14:editId="6313BF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321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Diversicare</w:t>
      </w:r>
      <w:r w:rsidRPr="003C6EC2">
        <w:rPr>
          <w:rFonts w:ascii="Arial Black" w:hAnsi="Arial Black"/>
        </w:rPr>
        <w:t xml:space="preserve"> </w:t>
      </w:r>
    </w:p>
    <w:p w14:paraId="6313BE16" w14:textId="77777777" w:rsidR="003C6EC2" w:rsidRPr="003C6EC2" w:rsidRDefault="00CB5F3F" w:rsidP="003C6EC2">
      <w:pPr>
        <w:pStyle w:val="Title"/>
        <w:spacing w:before="360" w:after="480"/>
      </w:pPr>
      <w:r w:rsidRPr="003C6EC2">
        <w:rPr>
          <w:rFonts w:ascii="Arial Black" w:eastAsia="Calibri" w:hAnsi="Arial Black"/>
          <w:sz w:val="56"/>
        </w:rPr>
        <w:t>Performance Report</w:t>
      </w:r>
    </w:p>
    <w:p w14:paraId="6313BE17" w14:textId="77777777" w:rsidR="001E6954" w:rsidRPr="003C6EC2" w:rsidRDefault="00CB5F3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49 - 51 Thomas Street </w:t>
      </w:r>
      <w:r w:rsidRPr="003C6EC2">
        <w:rPr>
          <w:color w:val="FFFFFF" w:themeColor="background1"/>
          <w:sz w:val="28"/>
        </w:rPr>
        <w:br/>
        <w:t>WEST END QLD 4101</w:t>
      </w:r>
      <w:r w:rsidRPr="003C6EC2">
        <w:rPr>
          <w:color w:val="FFFFFF" w:themeColor="background1"/>
          <w:sz w:val="28"/>
        </w:rPr>
        <w:br/>
      </w:r>
      <w:r w:rsidRPr="003C6EC2">
        <w:rPr>
          <w:rFonts w:eastAsia="Calibri"/>
          <w:color w:val="FFFFFF" w:themeColor="background1"/>
          <w:sz w:val="28"/>
          <w:szCs w:val="56"/>
          <w:lang w:eastAsia="en-US"/>
        </w:rPr>
        <w:t>Phone number: 0431 044 048 / 1300 348 377</w:t>
      </w:r>
    </w:p>
    <w:p w14:paraId="6313BE18" w14:textId="77777777" w:rsidR="003C6EC2" w:rsidRDefault="00CB5F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700105 </w:t>
      </w:r>
    </w:p>
    <w:p w14:paraId="6313BE19" w14:textId="77777777" w:rsidR="001E6954" w:rsidRPr="003C6EC2" w:rsidRDefault="00CB5F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Ethnic Communities Council of Queensland Limited</w:t>
      </w:r>
    </w:p>
    <w:p w14:paraId="6313BE1A" w14:textId="77777777" w:rsidR="001E6954" w:rsidRPr="003C6EC2" w:rsidRDefault="00CB5F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September 2020 to 17 September 2020</w:t>
      </w:r>
    </w:p>
    <w:p w14:paraId="6313BE1B" w14:textId="302E4E57" w:rsidR="00825ED8" w:rsidRPr="00351885" w:rsidRDefault="00CB5F3F" w:rsidP="00825ED8">
      <w:pPr>
        <w:tabs>
          <w:tab w:val="left" w:pos="2127"/>
        </w:tabs>
        <w:spacing w:before="120"/>
        <w:rPr>
          <w:color w:val="FFFFFF" w:themeColor="background1"/>
        </w:rPr>
      </w:pPr>
      <w:r w:rsidRPr="00E93D41">
        <w:rPr>
          <w:b/>
          <w:color w:val="FFFFFF" w:themeColor="background1"/>
          <w:sz w:val="28"/>
        </w:rPr>
        <w:t>Date of Performance Report:</w:t>
      </w:r>
      <w:r w:rsidR="00DA1929">
        <w:rPr>
          <w:b/>
          <w:color w:val="FFFFFF" w:themeColor="background1"/>
          <w:sz w:val="28"/>
        </w:rPr>
        <w:t xml:space="preserve"> </w:t>
      </w:r>
      <w:r w:rsidR="00DA1929" w:rsidRPr="00351885">
        <w:rPr>
          <w:color w:val="FFFFFF" w:themeColor="background1"/>
          <w:sz w:val="28"/>
        </w:rPr>
        <w:t>21 October 2020</w:t>
      </w:r>
    </w:p>
    <w:p w14:paraId="6313BE1C" w14:textId="77777777" w:rsidR="001E6954" w:rsidRPr="003C6EC2" w:rsidRDefault="009B08BC" w:rsidP="001E6954">
      <w:pPr>
        <w:tabs>
          <w:tab w:val="left" w:pos="2127"/>
        </w:tabs>
        <w:spacing w:before="120"/>
        <w:rPr>
          <w:rFonts w:eastAsia="Calibri"/>
          <w:b/>
          <w:color w:val="FFFFFF" w:themeColor="background1"/>
          <w:sz w:val="28"/>
          <w:szCs w:val="56"/>
          <w:lang w:eastAsia="en-US"/>
        </w:rPr>
      </w:pPr>
    </w:p>
    <w:p w14:paraId="6313BE1D" w14:textId="77777777" w:rsidR="003C6EC2" w:rsidRDefault="009B08B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13BE1E" w14:textId="77777777" w:rsidR="00637DA1" w:rsidRDefault="00CB5F3F" w:rsidP="00637DA1">
      <w:pPr>
        <w:pStyle w:val="Heading1"/>
      </w:pPr>
      <w:r>
        <w:lastRenderedPageBreak/>
        <w:t>Publication of report</w:t>
      </w:r>
    </w:p>
    <w:p w14:paraId="6313BE1F" w14:textId="77777777" w:rsidR="00637DA1" w:rsidRPr="00915D1E" w:rsidRDefault="00CB5F3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313BE20" w14:textId="77777777" w:rsidR="007F5256" w:rsidRPr="0094564F" w:rsidRDefault="00CB5F3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066F" w14:paraId="6313BE3B" w14:textId="77777777" w:rsidTr="00EB1D71">
        <w:trPr>
          <w:trHeight w:val="227"/>
        </w:trPr>
        <w:tc>
          <w:tcPr>
            <w:tcW w:w="3942" w:type="pct"/>
            <w:shd w:val="clear" w:color="auto" w:fill="auto"/>
          </w:tcPr>
          <w:p w14:paraId="6313BE39" w14:textId="77777777" w:rsidR="001E6954" w:rsidRPr="001E6954" w:rsidRDefault="00CB5F3F"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313BE3A" w14:textId="60C924B8" w:rsidR="001E6954" w:rsidRPr="001E6954" w:rsidRDefault="00CB5F3F" w:rsidP="003C6EC2">
            <w:pPr>
              <w:keepNext/>
              <w:spacing w:before="40" w:after="40" w:line="240" w:lineRule="auto"/>
              <w:jc w:val="right"/>
              <w:rPr>
                <w:b/>
                <w:color w:val="0000FF"/>
              </w:rPr>
            </w:pPr>
            <w:r w:rsidRPr="001E6954">
              <w:rPr>
                <w:b/>
                <w:bCs/>
                <w:iCs/>
                <w:color w:val="00577D"/>
                <w:szCs w:val="40"/>
              </w:rPr>
              <w:t>Non-compliant</w:t>
            </w:r>
          </w:p>
        </w:tc>
      </w:tr>
      <w:tr w:rsidR="00B8066F" w14:paraId="6313BE3E" w14:textId="77777777" w:rsidTr="00EB1D71">
        <w:trPr>
          <w:trHeight w:val="227"/>
        </w:trPr>
        <w:tc>
          <w:tcPr>
            <w:tcW w:w="3942" w:type="pct"/>
            <w:shd w:val="clear" w:color="auto" w:fill="auto"/>
          </w:tcPr>
          <w:p w14:paraId="6313BE3C" w14:textId="77777777" w:rsidR="001E6954" w:rsidRPr="001E6954" w:rsidRDefault="00CB5F3F" w:rsidP="004C55D8">
            <w:pPr>
              <w:spacing w:before="40" w:after="40" w:line="240" w:lineRule="auto"/>
              <w:ind w:left="318" w:hanging="7"/>
            </w:pPr>
            <w:r w:rsidRPr="001E6954">
              <w:t>Requirement 2(3)(a)</w:t>
            </w:r>
          </w:p>
        </w:tc>
        <w:tc>
          <w:tcPr>
            <w:tcW w:w="1058" w:type="pct"/>
            <w:shd w:val="clear" w:color="auto" w:fill="auto"/>
          </w:tcPr>
          <w:p w14:paraId="6313BE3D" w14:textId="1263FBE9" w:rsidR="001E6954" w:rsidRPr="001E6954" w:rsidRDefault="00CB5F3F" w:rsidP="00463EF3">
            <w:pPr>
              <w:spacing w:before="40" w:after="40" w:line="240" w:lineRule="auto"/>
              <w:jc w:val="right"/>
              <w:rPr>
                <w:color w:val="0000FF"/>
              </w:rPr>
            </w:pPr>
            <w:r w:rsidRPr="001E6954">
              <w:rPr>
                <w:bCs/>
                <w:iCs/>
                <w:color w:val="00577D"/>
                <w:szCs w:val="40"/>
              </w:rPr>
              <w:t>Non-compliant</w:t>
            </w:r>
          </w:p>
        </w:tc>
      </w:tr>
      <w:tr w:rsidR="00B8066F" w14:paraId="6313BE41" w14:textId="77777777" w:rsidTr="00EB1D71">
        <w:trPr>
          <w:trHeight w:val="227"/>
        </w:trPr>
        <w:tc>
          <w:tcPr>
            <w:tcW w:w="3942" w:type="pct"/>
            <w:shd w:val="clear" w:color="auto" w:fill="auto"/>
          </w:tcPr>
          <w:p w14:paraId="6313BE3F" w14:textId="77777777" w:rsidR="001E6954" w:rsidRPr="001E6954" w:rsidRDefault="00CB5F3F" w:rsidP="004C55D8">
            <w:pPr>
              <w:spacing w:before="40" w:after="40" w:line="240" w:lineRule="auto"/>
              <w:ind w:left="318" w:hanging="7"/>
            </w:pPr>
            <w:r w:rsidRPr="001E6954">
              <w:t>Requirement 2(3)(b)</w:t>
            </w:r>
          </w:p>
        </w:tc>
        <w:tc>
          <w:tcPr>
            <w:tcW w:w="1058" w:type="pct"/>
            <w:shd w:val="clear" w:color="auto" w:fill="auto"/>
          </w:tcPr>
          <w:p w14:paraId="6313BE40" w14:textId="704DB48D" w:rsidR="001E6954" w:rsidRPr="001E6954" w:rsidRDefault="00CB5F3F" w:rsidP="00463EF3">
            <w:pPr>
              <w:spacing w:before="40" w:after="40" w:line="240" w:lineRule="auto"/>
              <w:jc w:val="right"/>
              <w:rPr>
                <w:color w:val="0000FF"/>
              </w:rPr>
            </w:pPr>
            <w:r w:rsidRPr="001E6954">
              <w:rPr>
                <w:bCs/>
                <w:iCs/>
                <w:color w:val="00577D"/>
                <w:szCs w:val="40"/>
              </w:rPr>
              <w:t>Non-compliant</w:t>
            </w:r>
          </w:p>
        </w:tc>
      </w:tr>
      <w:tr w:rsidR="00B8066F" w14:paraId="6313BE44" w14:textId="77777777" w:rsidTr="00EB1D71">
        <w:trPr>
          <w:trHeight w:val="227"/>
        </w:trPr>
        <w:tc>
          <w:tcPr>
            <w:tcW w:w="3942" w:type="pct"/>
            <w:shd w:val="clear" w:color="auto" w:fill="auto"/>
          </w:tcPr>
          <w:p w14:paraId="6313BE42" w14:textId="77777777" w:rsidR="001E6954" w:rsidRPr="001E6954" w:rsidRDefault="00CB5F3F" w:rsidP="004C55D8">
            <w:pPr>
              <w:spacing w:before="40" w:after="40" w:line="240" w:lineRule="auto"/>
              <w:ind w:left="318" w:hanging="7"/>
            </w:pPr>
            <w:r w:rsidRPr="001E6954">
              <w:t>Requirement 2(3)(c)</w:t>
            </w:r>
          </w:p>
        </w:tc>
        <w:tc>
          <w:tcPr>
            <w:tcW w:w="1058" w:type="pct"/>
            <w:shd w:val="clear" w:color="auto" w:fill="auto"/>
          </w:tcPr>
          <w:p w14:paraId="6313BE43" w14:textId="2475F8F4" w:rsidR="001E6954" w:rsidRPr="001E6954" w:rsidRDefault="00CB5F3F" w:rsidP="00463EF3">
            <w:pPr>
              <w:spacing w:before="40" w:after="40" w:line="240" w:lineRule="auto"/>
              <w:jc w:val="right"/>
              <w:rPr>
                <w:color w:val="0000FF"/>
              </w:rPr>
            </w:pPr>
            <w:r w:rsidRPr="001E6954">
              <w:rPr>
                <w:bCs/>
                <w:iCs/>
                <w:color w:val="00577D"/>
                <w:szCs w:val="40"/>
              </w:rPr>
              <w:t>Compliant</w:t>
            </w:r>
          </w:p>
        </w:tc>
      </w:tr>
      <w:tr w:rsidR="00CB5F3F" w14:paraId="6313BE47" w14:textId="77777777" w:rsidTr="00EB1D71">
        <w:trPr>
          <w:trHeight w:val="227"/>
        </w:trPr>
        <w:tc>
          <w:tcPr>
            <w:tcW w:w="3942" w:type="pct"/>
            <w:shd w:val="clear" w:color="auto" w:fill="auto"/>
          </w:tcPr>
          <w:p w14:paraId="6313BE45" w14:textId="77777777" w:rsidR="00CB5F3F" w:rsidRPr="001E6954" w:rsidRDefault="00CB5F3F" w:rsidP="00CB5F3F">
            <w:pPr>
              <w:spacing w:before="40" w:after="40" w:line="240" w:lineRule="auto"/>
              <w:ind w:left="318" w:hanging="7"/>
            </w:pPr>
            <w:r w:rsidRPr="001E6954">
              <w:t>Requirement 2(3)(d)</w:t>
            </w:r>
          </w:p>
        </w:tc>
        <w:tc>
          <w:tcPr>
            <w:tcW w:w="1058" w:type="pct"/>
            <w:shd w:val="clear" w:color="auto" w:fill="auto"/>
          </w:tcPr>
          <w:p w14:paraId="6313BE46" w14:textId="1BA838D0" w:rsidR="00CB5F3F" w:rsidRPr="001E6954" w:rsidRDefault="00CB5F3F" w:rsidP="00CB5F3F">
            <w:pPr>
              <w:spacing w:before="40" w:after="40" w:line="240" w:lineRule="auto"/>
              <w:jc w:val="right"/>
              <w:rPr>
                <w:color w:val="0000FF"/>
              </w:rPr>
            </w:pPr>
            <w:r w:rsidRPr="001C3C60">
              <w:rPr>
                <w:bCs/>
                <w:iCs/>
                <w:color w:val="00577D"/>
                <w:szCs w:val="40"/>
              </w:rPr>
              <w:t>Non-compliant</w:t>
            </w:r>
          </w:p>
        </w:tc>
      </w:tr>
      <w:tr w:rsidR="00CB5F3F" w14:paraId="6313BE4A" w14:textId="77777777" w:rsidTr="00EB1D71">
        <w:trPr>
          <w:trHeight w:val="227"/>
        </w:trPr>
        <w:tc>
          <w:tcPr>
            <w:tcW w:w="3942" w:type="pct"/>
            <w:shd w:val="clear" w:color="auto" w:fill="auto"/>
          </w:tcPr>
          <w:p w14:paraId="6313BE48" w14:textId="77777777" w:rsidR="00CB5F3F" w:rsidRPr="001E6954" w:rsidRDefault="00CB5F3F" w:rsidP="00CB5F3F">
            <w:pPr>
              <w:spacing w:before="40" w:after="40" w:line="240" w:lineRule="auto"/>
              <w:ind w:left="318" w:hanging="7"/>
            </w:pPr>
            <w:r w:rsidRPr="001E6954">
              <w:t>Requirement 2(3)(e)</w:t>
            </w:r>
          </w:p>
        </w:tc>
        <w:tc>
          <w:tcPr>
            <w:tcW w:w="1058" w:type="pct"/>
            <w:shd w:val="clear" w:color="auto" w:fill="auto"/>
          </w:tcPr>
          <w:p w14:paraId="6313BE49" w14:textId="317DDE86" w:rsidR="00CB5F3F" w:rsidRPr="001E6954" w:rsidRDefault="00CB5F3F" w:rsidP="00CB5F3F">
            <w:pPr>
              <w:spacing w:before="40" w:after="40" w:line="240" w:lineRule="auto"/>
              <w:jc w:val="right"/>
              <w:rPr>
                <w:color w:val="0000FF"/>
              </w:rPr>
            </w:pPr>
            <w:r w:rsidRPr="001C3C60">
              <w:rPr>
                <w:bCs/>
                <w:iCs/>
                <w:color w:val="00577D"/>
                <w:szCs w:val="40"/>
              </w:rPr>
              <w:t>Non-compliant</w:t>
            </w:r>
          </w:p>
        </w:tc>
      </w:tr>
      <w:tr w:rsidR="00B8066F" w14:paraId="6313BE4D" w14:textId="77777777" w:rsidTr="00EB1D71">
        <w:trPr>
          <w:trHeight w:val="227"/>
        </w:trPr>
        <w:tc>
          <w:tcPr>
            <w:tcW w:w="3942" w:type="pct"/>
            <w:shd w:val="clear" w:color="auto" w:fill="auto"/>
          </w:tcPr>
          <w:p w14:paraId="6313BE4B" w14:textId="77777777" w:rsidR="001E6954" w:rsidRPr="001E6954" w:rsidRDefault="00CB5F3F" w:rsidP="003C6EC2">
            <w:pPr>
              <w:keepNext/>
              <w:spacing w:before="40" w:after="40" w:line="240" w:lineRule="auto"/>
              <w:rPr>
                <w:b/>
              </w:rPr>
            </w:pPr>
            <w:r w:rsidRPr="001E6954">
              <w:rPr>
                <w:b/>
              </w:rPr>
              <w:t>Standard 3 Personal care and clinical care</w:t>
            </w:r>
          </w:p>
        </w:tc>
        <w:tc>
          <w:tcPr>
            <w:tcW w:w="1058" w:type="pct"/>
            <w:shd w:val="clear" w:color="auto" w:fill="auto"/>
          </w:tcPr>
          <w:p w14:paraId="6313BE4C" w14:textId="788C8320" w:rsidR="001E6954" w:rsidRPr="001E6954" w:rsidRDefault="009B08BC" w:rsidP="003C6EC2">
            <w:pPr>
              <w:keepNext/>
              <w:spacing w:before="40" w:after="40" w:line="240" w:lineRule="auto"/>
              <w:jc w:val="right"/>
              <w:rPr>
                <w:b/>
                <w:color w:val="0000FF"/>
              </w:rPr>
            </w:pPr>
          </w:p>
        </w:tc>
      </w:tr>
      <w:tr w:rsidR="00B8066F" w14:paraId="6313BE62" w14:textId="77777777" w:rsidTr="00EB1D71">
        <w:trPr>
          <w:trHeight w:val="227"/>
        </w:trPr>
        <w:tc>
          <w:tcPr>
            <w:tcW w:w="3942" w:type="pct"/>
            <w:shd w:val="clear" w:color="auto" w:fill="auto"/>
          </w:tcPr>
          <w:p w14:paraId="6313BE60" w14:textId="77777777" w:rsidR="001E6954" w:rsidRPr="001E6954" w:rsidRDefault="00CB5F3F" w:rsidP="004C55D8">
            <w:pPr>
              <w:spacing w:before="40" w:after="40" w:line="240" w:lineRule="auto"/>
              <w:ind w:left="318" w:hanging="7"/>
            </w:pPr>
            <w:r w:rsidRPr="001E6954">
              <w:t>Requirement 3(3)(g)</w:t>
            </w:r>
          </w:p>
        </w:tc>
        <w:tc>
          <w:tcPr>
            <w:tcW w:w="1058" w:type="pct"/>
            <w:shd w:val="clear" w:color="auto" w:fill="auto"/>
          </w:tcPr>
          <w:p w14:paraId="6313BE61" w14:textId="44CE9305" w:rsidR="001E6954" w:rsidRPr="001E6954" w:rsidRDefault="00CB5F3F" w:rsidP="00463EF3">
            <w:pPr>
              <w:spacing w:before="40" w:after="40" w:line="240" w:lineRule="auto"/>
              <w:jc w:val="right"/>
              <w:rPr>
                <w:color w:val="0000FF"/>
              </w:rPr>
            </w:pPr>
            <w:r w:rsidRPr="001E6954">
              <w:rPr>
                <w:bCs/>
                <w:iCs/>
                <w:color w:val="00577D"/>
                <w:szCs w:val="40"/>
              </w:rPr>
              <w:t>Compliant</w:t>
            </w:r>
          </w:p>
        </w:tc>
      </w:tr>
      <w:bookmarkEnd w:id="1"/>
    </w:tbl>
    <w:p w14:paraId="6313BEBA" w14:textId="77777777" w:rsidR="008A22FF" w:rsidRDefault="009B08B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313BEBB" w14:textId="77777777" w:rsidR="007F5256" w:rsidRPr="00D21DCD" w:rsidRDefault="00CB5F3F" w:rsidP="00EC5474">
      <w:pPr>
        <w:pStyle w:val="Heading1"/>
      </w:pPr>
      <w:r>
        <w:lastRenderedPageBreak/>
        <w:t>Detailed assessment</w:t>
      </w:r>
    </w:p>
    <w:p w14:paraId="6313BEBC" w14:textId="77777777" w:rsidR="001E6954" w:rsidRPr="00D63989" w:rsidRDefault="00CB5F3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13BEBD" w14:textId="77777777" w:rsidR="001E6954" w:rsidRPr="001E6954" w:rsidRDefault="00CB5F3F" w:rsidP="001E6954">
      <w:pPr>
        <w:rPr>
          <w:color w:val="auto"/>
        </w:rPr>
      </w:pPr>
      <w:r w:rsidRPr="00D63989">
        <w:t>The report also specifies areas in which improvements must be made to ensure the Quality Standards are complied with.</w:t>
      </w:r>
    </w:p>
    <w:p w14:paraId="6313BEBE" w14:textId="77777777" w:rsidR="001E6954" w:rsidRPr="00D63989" w:rsidRDefault="00CB5F3F" w:rsidP="001E6954">
      <w:r w:rsidRPr="00D63989">
        <w:t>The following information has been taken into account in developing this performance report:</w:t>
      </w:r>
    </w:p>
    <w:p w14:paraId="6313BEBF" w14:textId="03EAC661" w:rsidR="004B33E7" w:rsidRPr="00CB5F3F" w:rsidRDefault="00CB5F3F" w:rsidP="004B33E7">
      <w:pPr>
        <w:pStyle w:val="ListBullet"/>
      </w:pPr>
      <w:r>
        <w:t>t</w:t>
      </w:r>
      <w:r w:rsidRPr="00D63989">
        <w:t xml:space="preserve">he </w:t>
      </w:r>
      <w:r w:rsidRPr="00CB5F3F">
        <w:t>Assessment Team’s report for the Assessment Contact - Site; the Assessment Contact - Site report was informed by a site assessment, observations at the service, review of documents and interviews with staff, consumers/representatives and others.</w:t>
      </w:r>
    </w:p>
    <w:p w14:paraId="6313BEC2" w14:textId="3F322890" w:rsidR="008A22FF" w:rsidRPr="00CB5F3F" w:rsidRDefault="00CB5F3F" w:rsidP="00CB5F3F">
      <w:pPr>
        <w:pStyle w:val="ListBullet"/>
        <w:rPr>
          <w:rFonts w:cs="Times New Roman"/>
        </w:rPr>
      </w:pPr>
      <w:r w:rsidRPr="00CB5F3F">
        <w:t xml:space="preserve">the provider’s response to the Assessment Contact - Site report received 8 October 2020. </w:t>
      </w:r>
    </w:p>
    <w:p w14:paraId="6313BEC3" w14:textId="77777777" w:rsidR="00095CD4" w:rsidRDefault="009B08BC" w:rsidP="00095CD4">
      <w:pPr>
        <w:sectPr w:rsidR="00095CD4" w:rsidSect="00E22030">
          <w:headerReference w:type="first" r:id="rId18"/>
          <w:pgSz w:w="11906" w:h="16838"/>
          <w:pgMar w:top="1701" w:right="1418" w:bottom="1418" w:left="1418" w:header="709" w:footer="397" w:gutter="0"/>
          <w:cols w:space="708"/>
          <w:docGrid w:linePitch="360"/>
        </w:sectPr>
      </w:pPr>
    </w:p>
    <w:p w14:paraId="6313BEE7" w14:textId="77777777" w:rsidR="00ED6B57" w:rsidRDefault="009B08BC"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6313BEE8" w14:textId="5515E614" w:rsidR="001862F5" w:rsidRDefault="00CB5F3F"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313BFC7" wp14:editId="6313BFC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5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6313BEE9" w14:textId="77777777" w:rsidR="00ED6B57" w:rsidRPr="00ED6B57" w:rsidRDefault="00CB5F3F" w:rsidP="00ED6B57">
      <w:pPr>
        <w:pStyle w:val="Heading3"/>
        <w:shd w:val="clear" w:color="auto" w:fill="F2F2F2" w:themeFill="background1" w:themeFillShade="F2"/>
      </w:pPr>
      <w:r w:rsidRPr="00ED6B57">
        <w:t>Consumer outcome:</w:t>
      </w:r>
    </w:p>
    <w:p w14:paraId="6313BEEA" w14:textId="77777777" w:rsidR="00ED6B57" w:rsidRPr="00ED6B57" w:rsidRDefault="00CB5F3F" w:rsidP="00097709">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13BEEB" w14:textId="77777777" w:rsidR="00ED6B57" w:rsidRPr="00ED6B57" w:rsidRDefault="00CB5F3F" w:rsidP="00ED6B57">
      <w:pPr>
        <w:pStyle w:val="Heading3"/>
        <w:shd w:val="clear" w:color="auto" w:fill="F2F2F2" w:themeFill="background1" w:themeFillShade="F2"/>
      </w:pPr>
      <w:r w:rsidRPr="00ED6B57">
        <w:t>Organisation statement:</w:t>
      </w:r>
    </w:p>
    <w:p w14:paraId="6313BEEC" w14:textId="77777777" w:rsidR="00ED6B57" w:rsidRPr="00ED6B57" w:rsidRDefault="00CB5F3F" w:rsidP="00097709">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13BEED" w14:textId="77777777" w:rsidR="00ED6B57" w:rsidRDefault="00CB5F3F" w:rsidP="00ED6B57">
      <w:pPr>
        <w:pStyle w:val="Heading2"/>
      </w:pPr>
      <w:r>
        <w:t xml:space="preserve">Assessment </w:t>
      </w:r>
      <w:r w:rsidRPr="002B2C0F">
        <w:t>of Standard</w:t>
      </w:r>
      <w:r>
        <w:t xml:space="preserve"> 2</w:t>
      </w:r>
    </w:p>
    <w:p w14:paraId="5323DB66" w14:textId="5138B03C" w:rsidR="00A52A98" w:rsidRPr="00FC7530" w:rsidRDefault="00A52A98" w:rsidP="00A52A98">
      <w:pPr>
        <w:contextualSpacing/>
        <w:rPr>
          <w:rFonts w:eastAsia="Arial"/>
          <w:color w:val="auto"/>
        </w:rPr>
      </w:pPr>
      <w:r w:rsidRPr="00FC7530">
        <w:rPr>
          <w:rFonts w:eastAsia="Arial"/>
          <w:color w:val="auto"/>
        </w:rPr>
        <w:t>Consumers and representatives</w:t>
      </w:r>
      <w:r w:rsidR="004B4581">
        <w:rPr>
          <w:rFonts w:eastAsia="Arial"/>
          <w:color w:val="auto"/>
        </w:rPr>
        <w:t xml:space="preserve"> interviewed by the Assessment Team </w:t>
      </w:r>
      <w:r w:rsidRPr="00FC7530">
        <w:rPr>
          <w:rFonts w:eastAsia="Arial"/>
          <w:color w:val="auto"/>
        </w:rPr>
        <w:t xml:space="preserve">said they </w:t>
      </w:r>
      <w:r>
        <w:rPr>
          <w:rFonts w:eastAsia="Arial"/>
          <w:color w:val="auto"/>
        </w:rPr>
        <w:t>we</w:t>
      </w:r>
      <w:r w:rsidRPr="00FC7530">
        <w:rPr>
          <w:rFonts w:eastAsia="Arial"/>
          <w:color w:val="auto"/>
        </w:rPr>
        <w:t>re involved in care planning and staff talk</w:t>
      </w:r>
      <w:r>
        <w:rPr>
          <w:rFonts w:eastAsia="Arial"/>
          <w:color w:val="auto"/>
        </w:rPr>
        <w:t>ed</w:t>
      </w:r>
      <w:r w:rsidRPr="00FC7530">
        <w:rPr>
          <w:rFonts w:eastAsia="Arial"/>
          <w:color w:val="auto"/>
        </w:rPr>
        <w:t xml:space="preserve"> to them about their care and services.</w:t>
      </w:r>
    </w:p>
    <w:p w14:paraId="21A4ACBA" w14:textId="4E92DD60" w:rsidR="00A52A98" w:rsidRPr="00554FED" w:rsidRDefault="00A52A98" w:rsidP="00A52A98">
      <w:pPr>
        <w:rPr>
          <w:rFonts w:eastAsiaTheme="minorHAnsi"/>
          <w:color w:val="auto"/>
          <w:szCs w:val="22"/>
          <w:lang w:eastAsia="en-US"/>
        </w:rPr>
      </w:pPr>
      <w:r>
        <w:rPr>
          <w:rFonts w:eastAsia="Arial"/>
          <w:color w:val="auto"/>
        </w:rPr>
        <w:t>While not all c</w:t>
      </w:r>
      <w:r w:rsidRPr="00FC7530">
        <w:rPr>
          <w:rFonts w:eastAsia="Arial"/>
          <w:color w:val="auto"/>
        </w:rPr>
        <w:t>onsumers and representatives said they ha</w:t>
      </w:r>
      <w:r w:rsidR="004B4581">
        <w:rPr>
          <w:rFonts w:eastAsia="Arial"/>
          <w:color w:val="auto"/>
        </w:rPr>
        <w:t xml:space="preserve">d </w:t>
      </w:r>
      <w:r w:rsidRPr="00FC7530">
        <w:rPr>
          <w:rFonts w:eastAsia="Arial"/>
          <w:color w:val="auto"/>
        </w:rPr>
        <w:t>a copy of their care plan</w:t>
      </w:r>
      <w:r>
        <w:rPr>
          <w:rFonts w:eastAsia="Arial"/>
          <w:color w:val="auto"/>
        </w:rPr>
        <w:t xml:space="preserve">, </w:t>
      </w:r>
      <w:r w:rsidRPr="001A678E">
        <w:rPr>
          <w:rFonts w:eastAsiaTheme="minorHAnsi"/>
          <w:color w:val="auto"/>
          <w:szCs w:val="22"/>
          <w:lang w:eastAsia="en-US"/>
        </w:rPr>
        <w:t xml:space="preserve">all stated they </w:t>
      </w:r>
      <w:r>
        <w:rPr>
          <w:rFonts w:eastAsiaTheme="minorHAnsi"/>
          <w:color w:val="auto"/>
          <w:szCs w:val="22"/>
          <w:lang w:eastAsia="en-US"/>
        </w:rPr>
        <w:t xml:space="preserve">could </w:t>
      </w:r>
      <w:r w:rsidRPr="001A678E">
        <w:rPr>
          <w:rFonts w:eastAsiaTheme="minorHAnsi"/>
          <w:color w:val="auto"/>
          <w:szCs w:val="22"/>
          <w:lang w:eastAsia="en-US"/>
        </w:rPr>
        <w:t xml:space="preserve">access their care plans </w:t>
      </w:r>
      <w:r>
        <w:rPr>
          <w:rFonts w:eastAsiaTheme="minorHAnsi"/>
          <w:color w:val="auto"/>
          <w:szCs w:val="22"/>
          <w:lang w:eastAsia="en-US"/>
        </w:rPr>
        <w:t>if they wanted to</w:t>
      </w:r>
      <w:r w:rsidRPr="001A678E">
        <w:rPr>
          <w:rFonts w:eastAsiaTheme="minorHAnsi"/>
          <w:color w:val="auto"/>
          <w:szCs w:val="22"/>
          <w:lang w:eastAsia="en-US"/>
        </w:rPr>
        <w:t>.</w:t>
      </w:r>
    </w:p>
    <w:p w14:paraId="3922A132" w14:textId="2B750DA6" w:rsidR="00A52A98" w:rsidRPr="00763D54" w:rsidRDefault="004B4581" w:rsidP="00763D54">
      <w:pPr>
        <w:rPr>
          <w:color w:val="auto"/>
        </w:rPr>
      </w:pPr>
      <w:r>
        <w:rPr>
          <w:rFonts w:eastAsia="Calibri"/>
          <w:color w:val="auto"/>
          <w:lang w:eastAsia="en-US"/>
        </w:rPr>
        <w:t>A</w:t>
      </w:r>
      <w:r w:rsidR="00A52A98" w:rsidRPr="00FC7530">
        <w:rPr>
          <w:rFonts w:eastAsia="Arial"/>
          <w:color w:val="auto"/>
        </w:rPr>
        <w:t>ssessment and care planning documentation d</w:t>
      </w:r>
      <w:r w:rsidR="00763D54">
        <w:rPr>
          <w:rFonts w:eastAsia="Arial"/>
          <w:color w:val="auto"/>
        </w:rPr>
        <w:t>id</w:t>
      </w:r>
      <w:r w:rsidR="00A52A98" w:rsidRPr="00FC7530">
        <w:rPr>
          <w:rFonts w:eastAsia="Arial"/>
          <w:color w:val="auto"/>
        </w:rPr>
        <w:t xml:space="preserve"> not adequately demonstrate </w:t>
      </w:r>
      <w:r>
        <w:rPr>
          <w:rFonts w:eastAsia="Arial"/>
          <w:color w:val="auto"/>
        </w:rPr>
        <w:t xml:space="preserve">that </w:t>
      </w:r>
      <w:r w:rsidR="00A52A98" w:rsidRPr="00FC7530">
        <w:rPr>
          <w:rFonts w:eastAsia="Arial"/>
          <w:color w:val="auto"/>
        </w:rPr>
        <w:t>ongoing assessment and planning consistently inform</w:t>
      </w:r>
      <w:r w:rsidR="00763D54">
        <w:rPr>
          <w:rFonts w:eastAsia="Arial"/>
          <w:color w:val="auto"/>
        </w:rPr>
        <w:t>ed</w:t>
      </w:r>
      <w:r w:rsidR="00A52A98" w:rsidRPr="00FC7530">
        <w:rPr>
          <w:rFonts w:eastAsia="Arial"/>
          <w:color w:val="auto"/>
        </w:rPr>
        <w:t xml:space="preserve"> the delivery of safe and effective care and services.</w:t>
      </w:r>
      <w:r>
        <w:rPr>
          <w:rFonts w:eastAsia="Arial"/>
          <w:color w:val="auto"/>
        </w:rPr>
        <w:t xml:space="preserve">  </w:t>
      </w:r>
      <w:r w:rsidR="00A52A98" w:rsidRPr="00763D54">
        <w:rPr>
          <w:rFonts w:eastAsia="Arial"/>
          <w:color w:val="auto"/>
        </w:rPr>
        <w:t>Not all care plans identif</w:t>
      </w:r>
      <w:r w:rsidR="00763D54" w:rsidRPr="00763D54">
        <w:rPr>
          <w:rFonts w:eastAsia="Arial"/>
          <w:color w:val="auto"/>
        </w:rPr>
        <w:t>ied</w:t>
      </w:r>
      <w:r w:rsidR="00A52A98" w:rsidRPr="00763D54">
        <w:rPr>
          <w:rFonts w:eastAsia="Arial"/>
          <w:color w:val="auto"/>
        </w:rPr>
        <w:t xml:space="preserve"> and address</w:t>
      </w:r>
      <w:r w:rsidR="00763D54" w:rsidRPr="00763D54">
        <w:rPr>
          <w:rFonts w:eastAsia="Arial"/>
          <w:color w:val="auto"/>
        </w:rPr>
        <w:t>ed</w:t>
      </w:r>
      <w:r w:rsidR="00A52A98" w:rsidRPr="00763D54">
        <w:rPr>
          <w:rFonts w:eastAsia="Arial"/>
          <w:color w:val="auto"/>
        </w:rPr>
        <w:t xml:space="preserve"> consumers’ care needs, goals and preferences or provide</w:t>
      </w:r>
      <w:r w:rsidR="00763D54" w:rsidRPr="00763D54">
        <w:rPr>
          <w:rFonts w:eastAsia="Arial"/>
          <w:color w:val="auto"/>
        </w:rPr>
        <w:t>d</w:t>
      </w:r>
      <w:r w:rsidR="00A52A98" w:rsidRPr="00763D54">
        <w:rPr>
          <w:rFonts w:eastAsia="Arial"/>
          <w:color w:val="auto"/>
        </w:rPr>
        <w:t xml:space="preserve"> detailed information to guide staff practice.</w:t>
      </w:r>
    </w:p>
    <w:p w14:paraId="008EC978" w14:textId="3D7BFD2B" w:rsidR="00A52A98" w:rsidRPr="00763D54" w:rsidRDefault="00A52A98" w:rsidP="00763D54">
      <w:pPr>
        <w:rPr>
          <w:color w:val="auto"/>
        </w:rPr>
      </w:pPr>
      <w:r w:rsidRPr="00763D54">
        <w:rPr>
          <w:rFonts w:eastAsia="Arial"/>
          <w:color w:val="auto"/>
        </w:rPr>
        <w:t xml:space="preserve">The service </w:t>
      </w:r>
      <w:r w:rsidR="00763D54" w:rsidRPr="00763D54">
        <w:rPr>
          <w:rFonts w:eastAsia="Arial"/>
          <w:color w:val="auto"/>
        </w:rPr>
        <w:t>wa</w:t>
      </w:r>
      <w:r w:rsidRPr="00763D54">
        <w:rPr>
          <w:rFonts w:eastAsia="Arial"/>
          <w:color w:val="auto"/>
        </w:rPr>
        <w:t>s not able to adequately demonstrate consumers</w:t>
      </w:r>
      <w:r w:rsidR="004B4581">
        <w:rPr>
          <w:rFonts w:eastAsia="Arial"/>
          <w:color w:val="auto"/>
        </w:rPr>
        <w:t>’</w:t>
      </w:r>
      <w:r w:rsidRPr="00763D54">
        <w:rPr>
          <w:rFonts w:eastAsia="Arial"/>
          <w:color w:val="auto"/>
        </w:rPr>
        <w:t xml:space="preserve"> care and services </w:t>
      </w:r>
      <w:r w:rsidR="00763D54" w:rsidRPr="00763D54">
        <w:rPr>
          <w:rFonts w:eastAsia="Arial"/>
          <w:color w:val="auto"/>
        </w:rPr>
        <w:t>we</w:t>
      </w:r>
      <w:r w:rsidRPr="00763D54">
        <w:rPr>
          <w:rFonts w:eastAsia="Arial"/>
          <w:color w:val="auto"/>
        </w:rPr>
        <w:t>re reviewed regularly for effectiveness, when circumstances change</w:t>
      </w:r>
      <w:r w:rsidR="00763D54" w:rsidRPr="00763D54">
        <w:rPr>
          <w:rFonts w:eastAsia="Arial"/>
          <w:color w:val="auto"/>
        </w:rPr>
        <w:t>d</w:t>
      </w:r>
      <w:r w:rsidRPr="00763D54">
        <w:rPr>
          <w:rFonts w:eastAsia="Arial"/>
          <w:color w:val="auto"/>
        </w:rPr>
        <w:t xml:space="preserve"> or when incidents impact</w:t>
      </w:r>
      <w:r w:rsidR="00763D54" w:rsidRPr="00763D54">
        <w:rPr>
          <w:rFonts w:eastAsia="Arial"/>
          <w:color w:val="auto"/>
        </w:rPr>
        <w:t>ed</w:t>
      </w:r>
      <w:r w:rsidRPr="00763D54">
        <w:rPr>
          <w:rFonts w:eastAsia="Arial"/>
          <w:color w:val="auto"/>
        </w:rPr>
        <w:t xml:space="preserve"> on the needs, goals or preferences of the consumer.</w:t>
      </w:r>
    </w:p>
    <w:p w14:paraId="6313BEEF" w14:textId="3D5E95B5" w:rsidR="00154403" w:rsidRPr="00D435F8" w:rsidRDefault="00CB5F3F" w:rsidP="00154403">
      <w:pPr>
        <w:rPr>
          <w:rFonts w:eastAsia="Calibri"/>
          <w:i/>
          <w:color w:val="auto"/>
          <w:lang w:eastAsia="en-US"/>
        </w:rPr>
      </w:pPr>
      <w:r w:rsidRPr="00154403">
        <w:rPr>
          <w:rFonts w:eastAsiaTheme="minorHAnsi"/>
        </w:rPr>
        <w:t xml:space="preserve">The Quality Standard </w:t>
      </w:r>
      <w:r w:rsidRPr="00CB5F3F">
        <w:rPr>
          <w:rFonts w:eastAsiaTheme="minorHAnsi"/>
          <w:color w:val="auto"/>
        </w:rPr>
        <w:t>is assessed as Non-compliant as four of the five specific requirements have been assessed as Non-compliant.</w:t>
      </w:r>
    </w:p>
    <w:p w14:paraId="6313BEF0" w14:textId="70A20649" w:rsidR="00ED6B57" w:rsidRDefault="00CB5F3F" w:rsidP="00ED6B57">
      <w:pPr>
        <w:pStyle w:val="Heading2"/>
      </w:pPr>
      <w:r>
        <w:t>Assessment of Standard 2 Requirements</w:t>
      </w:r>
      <w:r w:rsidRPr="0066387A">
        <w:rPr>
          <w:i/>
          <w:color w:val="0000FF"/>
          <w:sz w:val="24"/>
          <w:szCs w:val="24"/>
        </w:rPr>
        <w:t xml:space="preserve"> </w:t>
      </w:r>
    </w:p>
    <w:p w14:paraId="6313BEF1" w14:textId="143F789F" w:rsidR="00934888" w:rsidRDefault="00CB5F3F" w:rsidP="00934888">
      <w:pPr>
        <w:pStyle w:val="Heading3"/>
      </w:pPr>
      <w:r w:rsidRPr="00051035">
        <w:t xml:space="preserve">Requirement </w:t>
      </w:r>
      <w:r>
        <w:t>2</w:t>
      </w:r>
      <w:r w:rsidRPr="00051035">
        <w:t>(3)(a)</w:t>
      </w:r>
      <w:r w:rsidRPr="00051035">
        <w:tab/>
        <w:t>Non-compliant</w:t>
      </w:r>
    </w:p>
    <w:p w14:paraId="6313BEF2" w14:textId="77777777" w:rsidR="00853601" w:rsidRPr="001F433A" w:rsidRDefault="00CB5F3F" w:rsidP="00853601">
      <w:pPr>
        <w:rPr>
          <w:i/>
        </w:rPr>
      </w:pPr>
      <w:r w:rsidRPr="001F433A">
        <w:rPr>
          <w:i/>
        </w:rPr>
        <w:t>Assessment and planning, including consideration of risks to the consumer’s health and well-being, informs the delivery of safe and effective care and services.</w:t>
      </w:r>
    </w:p>
    <w:p w14:paraId="2B9794D7" w14:textId="77777777" w:rsidR="00870406" w:rsidRDefault="00870406" w:rsidP="00763D54">
      <w:pPr>
        <w:pStyle w:val="ListBullet"/>
        <w:numPr>
          <w:ilvl w:val="0"/>
          <w:numId w:val="0"/>
        </w:numPr>
        <w:rPr>
          <w:rFonts w:eastAsia="Arial"/>
        </w:rPr>
      </w:pPr>
      <w:r>
        <w:rPr>
          <w:color w:val="000000" w:themeColor="text1"/>
        </w:rPr>
        <w:lastRenderedPageBreak/>
        <w:t>The Assessment Team found that the service had p</w:t>
      </w:r>
      <w:r w:rsidR="00A52A98" w:rsidRPr="005D2FDD">
        <w:rPr>
          <w:color w:val="000000" w:themeColor="text1"/>
        </w:rPr>
        <w:t>olic</w:t>
      </w:r>
      <w:r w:rsidR="00763D54">
        <w:rPr>
          <w:color w:val="000000" w:themeColor="text1"/>
        </w:rPr>
        <w:t>ies</w:t>
      </w:r>
      <w:r w:rsidR="00A52A98" w:rsidRPr="005D2FDD">
        <w:rPr>
          <w:color w:val="000000" w:themeColor="text1"/>
        </w:rPr>
        <w:t xml:space="preserve"> and procedures describe</w:t>
      </w:r>
      <w:r w:rsidR="00763D54">
        <w:rPr>
          <w:color w:val="000000" w:themeColor="text1"/>
        </w:rPr>
        <w:t>d</w:t>
      </w:r>
      <w:r w:rsidR="00A52A98" w:rsidRPr="005D2FDD">
        <w:rPr>
          <w:color w:val="000000" w:themeColor="text1"/>
        </w:rPr>
        <w:t xml:space="preserve"> the need for </w:t>
      </w:r>
      <w:r w:rsidR="00A52A98">
        <w:rPr>
          <w:color w:val="000000" w:themeColor="text1"/>
        </w:rPr>
        <w:t>comprehensive assessment and planning to inform the delivery of safe and effective care and services</w:t>
      </w:r>
      <w:r w:rsidR="00960D0F">
        <w:rPr>
          <w:color w:val="000000" w:themeColor="text1"/>
        </w:rPr>
        <w:t>.  H</w:t>
      </w:r>
      <w:r w:rsidR="00A52A98" w:rsidRPr="005D2FDD">
        <w:rPr>
          <w:color w:val="000000" w:themeColor="text1"/>
        </w:rPr>
        <w:t xml:space="preserve">owever, </w:t>
      </w:r>
      <w:r w:rsidR="00293F1B">
        <w:rPr>
          <w:color w:val="000000" w:themeColor="text1"/>
        </w:rPr>
        <w:t>a</w:t>
      </w:r>
      <w:r w:rsidR="00A52A98" w:rsidRPr="00152231">
        <w:rPr>
          <w:color w:val="000000" w:themeColor="text1"/>
        </w:rPr>
        <w:t xml:space="preserve"> review of </w:t>
      </w:r>
      <w:r w:rsidR="00A52A98" w:rsidRPr="00E23DED">
        <w:rPr>
          <w:rFonts w:eastAsia="Arial"/>
        </w:rPr>
        <w:t xml:space="preserve">care planning documentation </w:t>
      </w:r>
      <w:r w:rsidR="00A52A98">
        <w:rPr>
          <w:rFonts w:eastAsia="Arial"/>
        </w:rPr>
        <w:t xml:space="preserve">did not demonstrate comprehensive assessment and planning </w:t>
      </w:r>
      <w:r>
        <w:rPr>
          <w:rFonts w:eastAsia="Arial"/>
        </w:rPr>
        <w:t>consistently occurs.</w:t>
      </w:r>
      <w:r w:rsidR="00A52A98">
        <w:rPr>
          <w:rFonts w:eastAsia="Arial"/>
        </w:rPr>
        <w:t xml:space="preserve"> </w:t>
      </w:r>
    </w:p>
    <w:p w14:paraId="46369F18" w14:textId="7135D305" w:rsidR="00A52A98" w:rsidRDefault="003D7185" w:rsidP="00763D54">
      <w:pPr>
        <w:pStyle w:val="ListBullet"/>
        <w:numPr>
          <w:ilvl w:val="0"/>
          <w:numId w:val="0"/>
        </w:numPr>
        <w:rPr>
          <w:rFonts w:eastAsia="Arial"/>
        </w:rPr>
      </w:pPr>
      <w:r>
        <w:t xml:space="preserve">The </w:t>
      </w:r>
      <w:r w:rsidRPr="00EA3FE6">
        <w:t xml:space="preserve">care plans </w:t>
      </w:r>
      <w:r>
        <w:t xml:space="preserve">did not always contain </w:t>
      </w:r>
      <w:r w:rsidRPr="00EA3FE6">
        <w:t>up</w:t>
      </w:r>
      <w:r w:rsidR="004B4581">
        <w:t>-</w:t>
      </w:r>
      <w:r w:rsidRPr="00EA3FE6">
        <w:t>to</w:t>
      </w:r>
      <w:r w:rsidR="004B4581">
        <w:t>-</w:t>
      </w:r>
      <w:r w:rsidRPr="00EA3FE6">
        <w:t>date information</w:t>
      </w:r>
      <w:r>
        <w:t xml:space="preserve"> that reflected care </w:t>
      </w:r>
      <w:r w:rsidRPr="00EA3FE6">
        <w:t>needs</w:t>
      </w:r>
      <w:r>
        <w:t xml:space="preserve">.  </w:t>
      </w:r>
      <w:r w:rsidR="00A52A98" w:rsidRPr="002B19D7">
        <w:rPr>
          <w:rFonts w:eastAsia="Arial"/>
        </w:rPr>
        <w:t xml:space="preserve">There </w:t>
      </w:r>
      <w:r w:rsidR="00A52A98">
        <w:rPr>
          <w:rFonts w:eastAsia="Arial"/>
        </w:rPr>
        <w:t>was</w:t>
      </w:r>
      <w:r w:rsidR="00A52A98" w:rsidRPr="002B19D7">
        <w:rPr>
          <w:rFonts w:eastAsia="Arial"/>
        </w:rPr>
        <w:t xml:space="preserve"> no evidence </w:t>
      </w:r>
      <w:r w:rsidR="00A52A98">
        <w:rPr>
          <w:rFonts w:eastAsia="Arial"/>
        </w:rPr>
        <w:t xml:space="preserve">of validated risk </w:t>
      </w:r>
      <w:r w:rsidR="00A52A98" w:rsidRPr="002B19D7">
        <w:rPr>
          <w:rFonts w:eastAsia="Arial"/>
        </w:rPr>
        <w:t>assessment and planning too</w:t>
      </w:r>
      <w:r w:rsidR="00A52A98">
        <w:rPr>
          <w:rFonts w:eastAsia="Arial"/>
        </w:rPr>
        <w:t>ls used</w:t>
      </w:r>
      <w:r w:rsidR="00A52A98" w:rsidRPr="002B19D7">
        <w:rPr>
          <w:rFonts w:eastAsia="Arial"/>
        </w:rPr>
        <w:t>.</w:t>
      </w:r>
      <w:r w:rsidR="00293F1B">
        <w:rPr>
          <w:rFonts w:eastAsia="Arial"/>
        </w:rPr>
        <w:t xml:space="preserve">  Whilst there was evidence of a</w:t>
      </w:r>
      <w:r w:rsidR="00A52A98" w:rsidRPr="002B19D7">
        <w:rPr>
          <w:rFonts w:eastAsia="Arial"/>
        </w:rPr>
        <w:t>ssessment</w:t>
      </w:r>
      <w:r w:rsidR="00293F1B">
        <w:rPr>
          <w:rFonts w:eastAsia="Arial"/>
        </w:rPr>
        <w:t>s</w:t>
      </w:r>
      <w:r w:rsidR="00A52A98" w:rsidRPr="002B19D7">
        <w:rPr>
          <w:rFonts w:eastAsia="Arial"/>
        </w:rPr>
        <w:t xml:space="preserve"> by </w:t>
      </w:r>
      <w:r w:rsidR="00A52A98">
        <w:rPr>
          <w:rFonts w:eastAsia="Arial"/>
        </w:rPr>
        <w:t xml:space="preserve">clinical and </w:t>
      </w:r>
      <w:r w:rsidR="00A52A98" w:rsidRPr="002B19D7">
        <w:rPr>
          <w:rFonts w:eastAsia="Arial"/>
        </w:rPr>
        <w:t>allied health professionals</w:t>
      </w:r>
      <w:r w:rsidR="00293F1B">
        <w:rPr>
          <w:rFonts w:eastAsia="Arial"/>
        </w:rPr>
        <w:t xml:space="preserve">, they </w:t>
      </w:r>
      <w:r w:rsidR="00960D0F">
        <w:rPr>
          <w:rFonts w:eastAsia="Arial"/>
        </w:rPr>
        <w:t xml:space="preserve">did not always </w:t>
      </w:r>
      <w:r w:rsidR="00A52A98" w:rsidRPr="002B19D7">
        <w:rPr>
          <w:rFonts w:eastAsia="Arial"/>
        </w:rPr>
        <w:t xml:space="preserve">inform care </w:t>
      </w:r>
      <w:r w:rsidR="00A52A98" w:rsidRPr="00144273">
        <w:rPr>
          <w:rFonts w:eastAsia="Arial"/>
        </w:rPr>
        <w:t>planning</w:t>
      </w:r>
      <w:r w:rsidR="00960D0F">
        <w:rPr>
          <w:rFonts w:eastAsia="Arial"/>
        </w:rPr>
        <w:t>.</w:t>
      </w:r>
      <w:r w:rsidR="00A52A98" w:rsidRPr="00144273">
        <w:rPr>
          <w:rFonts w:eastAsia="Arial"/>
        </w:rPr>
        <w:t xml:space="preserve"> </w:t>
      </w:r>
    </w:p>
    <w:p w14:paraId="38ED5BA1" w14:textId="379CF98E" w:rsidR="00870406" w:rsidRPr="004608C2" w:rsidRDefault="00870406" w:rsidP="00763D54">
      <w:pPr>
        <w:pStyle w:val="ListBullet"/>
        <w:numPr>
          <w:ilvl w:val="0"/>
          <w:numId w:val="0"/>
        </w:numPr>
        <w:rPr>
          <w:color w:val="000000" w:themeColor="text1"/>
        </w:rPr>
      </w:pPr>
      <w:r>
        <w:rPr>
          <w:rFonts w:eastAsia="Arial"/>
        </w:rPr>
        <w:t xml:space="preserve">While care planning documentation identified information relevant to some risks to consumers, it did not provide </w:t>
      </w:r>
      <w:proofErr w:type="gramStart"/>
      <w:r>
        <w:rPr>
          <w:rFonts w:eastAsia="Arial"/>
        </w:rPr>
        <w:t>sufficient</w:t>
      </w:r>
      <w:proofErr w:type="gramEnd"/>
      <w:r>
        <w:rPr>
          <w:rFonts w:eastAsia="Arial"/>
        </w:rPr>
        <w:t xml:space="preserve"> detail to guide staff practice. For example, the care planning documentation for a consumer on a level 4 home care package with complex care needs did not include evidence of validated risk assessment tools used</w:t>
      </w:r>
      <w:r w:rsidR="00BA3DCF">
        <w:rPr>
          <w:rFonts w:eastAsia="Arial"/>
        </w:rPr>
        <w:t xml:space="preserve"> or strategies for staff to manage his complex care needs. </w:t>
      </w:r>
    </w:p>
    <w:p w14:paraId="6936E27F" w14:textId="19CC4B6C" w:rsidR="00A52A98" w:rsidRPr="005B4EC5" w:rsidRDefault="00BA3DCF" w:rsidP="003D7185">
      <w:pPr>
        <w:pStyle w:val="ListBullet"/>
        <w:numPr>
          <w:ilvl w:val="0"/>
          <w:numId w:val="0"/>
        </w:numPr>
      </w:pPr>
      <w:r>
        <w:rPr>
          <w:rFonts w:eastAsia="Calibri"/>
        </w:rPr>
        <w:t xml:space="preserve">Management </w:t>
      </w:r>
      <w:r w:rsidR="00A52A98" w:rsidRPr="00763D54">
        <w:rPr>
          <w:rFonts w:eastAsia="Calibri"/>
        </w:rPr>
        <w:t xml:space="preserve">acknowledged assessment and planning did not consistently identify risks to the consumer’s health and well-being and said this was an area for improvement. </w:t>
      </w:r>
      <w:r w:rsidR="003D7185">
        <w:rPr>
          <w:rFonts w:eastAsia="Calibri"/>
        </w:rPr>
        <w:t xml:space="preserve"> T</w:t>
      </w:r>
      <w:r w:rsidR="00A52A98">
        <w:t>he service d</w:t>
      </w:r>
      <w:r w:rsidR="003D7185">
        <w:t xml:space="preserve">id </w:t>
      </w:r>
      <w:r w:rsidR="00A52A98">
        <w:t>not have validated assessment tools available for staff to use and advised they will be implementing a new electronic care planning system that will include validated assessment tools</w:t>
      </w:r>
      <w:r w:rsidR="003D7185">
        <w:t xml:space="preserve"> in </w:t>
      </w:r>
      <w:r w:rsidR="00A52A98">
        <w:t>October 2020.</w:t>
      </w:r>
    </w:p>
    <w:p w14:paraId="799C02DE" w14:textId="7F4139AE" w:rsidR="00A52A98" w:rsidRDefault="00BA3DCF" w:rsidP="00763D54">
      <w:pPr>
        <w:rPr>
          <w:rFonts w:eastAsia="Calibri"/>
          <w:color w:val="auto"/>
          <w:lang w:eastAsia="en-US"/>
        </w:rPr>
      </w:pPr>
      <w:r>
        <w:rPr>
          <w:rFonts w:eastAsia="Calibri"/>
          <w:color w:val="auto"/>
          <w:lang w:eastAsia="en-US"/>
        </w:rPr>
        <w:t xml:space="preserve">Management also </w:t>
      </w:r>
      <w:r w:rsidR="00A52A98" w:rsidRPr="00763D54">
        <w:rPr>
          <w:rFonts w:eastAsia="Calibri"/>
          <w:color w:val="auto"/>
          <w:lang w:eastAsia="en-US"/>
        </w:rPr>
        <w:t xml:space="preserve">advised a registered nurse would be engaged to undertake clinical assessments for those consumers identified with clinical </w:t>
      </w:r>
      <w:r w:rsidR="003D7185">
        <w:rPr>
          <w:rFonts w:eastAsia="Calibri"/>
          <w:color w:val="auto"/>
          <w:lang w:eastAsia="en-US"/>
        </w:rPr>
        <w:t>risks</w:t>
      </w:r>
      <w:r w:rsidR="00A52A98" w:rsidRPr="00763D54">
        <w:rPr>
          <w:rFonts w:eastAsia="Calibri"/>
          <w:color w:val="auto"/>
          <w:lang w:eastAsia="en-US"/>
        </w:rPr>
        <w:t>.</w:t>
      </w:r>
    </w:p>
    <w:p w14:paraId="50B1F733" w14:textId="13736D4C" w:rsidR="00674244" w:rsidRDefault="00674244" w:rsidP="00763D54">
      <w:r>
        <w:t>The Approved Provider indicated in its response that it would implement policies and documentation by 9 October 2020 to support comprehensive consumer assessment, reassessment and planning.</w:t>
      </w:r>
    </w:p>
    <w:p w14:paraId="25A6DF37" w14:textId="14198FA3" w:rsidR="00674244" w:rsidRPr="003926DC" w:rsidRDefault="00674244" w:rsidP="00674244">
      <w:pPr>
        <w:rPr>
          <w:color w:val="auto"/>
        </w:rPr>
      </w:pPr>
      <w:r>
        <w:rPr>
          <w:color w:val="auto"/>
        </w:rPr>
        <w:t xml:space="preserve">Whilst I acknowledge the Approved Provider action to </w:t>
      </w:r>
      <w:r w:rsidR="00210EFF">
        <w:rPr>
          <w:color w:val="auto"/>
        </w:rPr>
        <w:t>implement policy and documentation to support comprehensive assessment and planning processes</w:t>
      </w:r>
      <w:r>
        <w:rPr>
          <w:color w:val="auto"/>
        </w:rPr>
        <w:t xml:space="preserve">, at the time of the Assessment Contact, </w:t>
      </w:r>
      <w:r w:rsidR="00210EFF">
        <w:rPr>
          <w:color w:val="auto"/>
        </w:rPr>
        <w:t>the service was unable to demonstrate that assessments and planning</w:t>
      </w:r>
      <w:r w:rsidR="00BA3DCF">
        <w:rPr>
          <w:color w:val="auto"/>
        </w:rPr>
        <w:t xml:space="preserve"> and consideration or risks were completed.  </w:t>
      </w:r>
      <w:r>
        <w:rPr>
          <w:color w:val="auto"/>
        </w:rPr>
        <w:t>Therefore, this requirement is non-compliant.</w:t>
      </w:r>
    </w:p>
    <w:p w14:paraId="6313BEF4" w14:textId="62033AF6" w:rsidR="00934888" w:rsidRDefault="00CB5F3F" w:rsidP="00934888">
      <w:pPr>
        <w:pStyle w:val="Heading3"/>
      </w:pPr>
      <w:r>
        <w:t>Requirement 2(3)(b)</w:t>
      </w:r>
      <w:r>
        <w:tab/>
        <w:t>Non-compliant</w:t>
      </w:r>
    </w:p>
    <w:p w14:paraId="6313BEF5" w14:textId="77777777" w:rsidR="00853601" w:rsidRPr="001F433A" w:rsidRDefault="00CB5F3F" w:rsidP="00853601">
      <w:pPr>
        <w:rPr>
          <w:i/>
        </w:rPr>
      </w:pPr>
      <w:r w:rsidRPr="001F433A">
        <w:rPr>
          <w:i/>
        </w:rPr>
        <w:t>Assessment and planning identifies and addresses the consumer’s current needs, goals and preferences, including advance care planning and end of life planning if the consumer wishes.</w:t>
      </w:r>
    </w:p>
    <w:p w14:paraId="6C5C8224" w14:textId="0E34BE8B" w:rsidR="00546534" w:rsidRDefault="004B4581" w:rsidP="00763D54">
      <w:pPr>
        <w:rPr>
          <w:rFonts w:eastAsiaTheme="minorHAnsi"/>
          <w:iCs/>
          <w:color w:val="auto"/>
          <w:szCs w:val="22"/>
          <w:lang w:eastAsia="en-US"/>
        </w:rPr>
      </w:pPr>
      <w:r>
        <w:rPr>
          <w:color w:val="auto"/>
        </w:rPr>
        <w:t>Whilst c</w:t>
      </w:r>
      <w:r w:rsidR="00A52A98" w:rsidRPr="00763D54">
        <w:rPr>
          <w:rFonts w:eastAsiaTheme="minorHAnsi"/>
          <w:iCs/>
          <w:color w:val="auto"/>
          <w:szCs w:val="22"/>
          <w:lang w:eastAsia="en-US"/>
        </w:rPr>
        <w:t>are planning documentation demonstrated that initial assessment and planning identified consumer’s goals, preferences, personal and clinical care needs</w:t>
      </w:r>
      <w:r w:rsidR="003D7185">
        <w:rPr>
          <w:rFonts w:eastAsiaTheme="minorHAnsi"/>
          <w:iCs/>
          <w:color w:val="auto"/>
          <w:szCs w:val="22"/>
          <w:lang w:eastAsia="en-US"/>
        </w:rPr>
        <w:t>,</w:t>
      </w:r>
      <w:r w:rsidR="00A52A98" w:rsidRPr="00763D54">
        <w:rPr>
          <w:rFonts w:eastAsiaTheme="minorHAnsi"/>
          <w:iCs/>
          <w:color w:val="auto"/>
          <w:szCs w:val="22"/>
          <w:lang w:eastAsia="en-US"/>
        </w:rPr>
        <w:t xml:space="preserve"> </w:t>
      </w:r>
      <w:r w:rsidR="003D7185">
        <w:rPr>
          <w:rFonts w:eastAsiaTheme="minorHAnsi"/>
          <w:iCs/>
          <w:color w:val="auto"/>
          <w:szCs w:val="22"/>
          <w:lang w:eastAsia="en-US"/>
        </w:rPr>
        <w:t xml:space="preserve">the </w:t>
      </w:r>
      <w:r w:rsidR="00A52A98" w:rsidRPr="00763D54">
        <w:rPr>
          <w:rFonts w:eastAsiaTheme="minorHAnsi"/>
          <w:iCs/>
          <w:color w:val="auto"/>
          <w:szCs w:val="22"/>
          <w:lang w:eastAsia="en-US"/>
        </w:rPr>
        <w:t xml:space="preserve">care plans </w:t>
      </w:r>
      <w:r w:rsidR="003D7185">
        <w:rPr>
          <w:rFonts w:eastAsiaTheme="minorHAnsi"/>
          <w:iCs/>
          <w:color w:val="auto"/>
          <w:szCs w:val="22"/>
          <w:lang w:eastAsia="en-US"/>
        </w:rPr>
        <w:t xml:space="preserve">were not </w:t>
      </w:r>
      <w:r w:rsidR="00546534">
        <w:rPr>
          <w:rFonts w:eastAsiaTheme="minorHAnsi"/>
          <w:iCs/>
          <w:color w:val="auto"/>
          <w:szCs w:val="22"/>
          <w:lang w:eastAsia="en-US"/>
        </w:rPr>
        <w:t>current</w:t>
      </w:r>
      <w:r w:rsidR="00A52A98" w:rsidRPr="00763D54">
        <w:rPr>
          <w:rFonts w:eastAsiaTheme="minorHAnsi"/>
          <w:iCs/>
          <w:color w:val="auto"/>
          <w:szCs w:val="22"/>
          <w:lang w:eastAsia="en-US"/>
        </w:rPr>
        <w:t>.</w:t>
      </w:r>
      <w:r w:rsidR="003D7185">
        <w:rPr>
          <w:rFonts w:eastAsiaTheme="minorHAnsi"/>
          <w:iCs/>
          <w:color w:val="auto"/>
          <w:szCs w:val="22"/>
          <w:lang w:eastAsia="en-US"/>
        </w:rPr>
        <w:t xml:space="preserve">  </w:t>
      </w:r>
      <w:r w:rsidR="00A52A98" w:rsidRPr="00763D54">
        <w:rPr>
          <w:rFonts w:eastAsiaTheme="minorHAnsi"/>
          <w:iCs/>
          <w:color w:val="auto"/>
          <w:szCs w:val="22"/>
          <w:lang w:eastAsia="en-US"/>
        </w:rPr>
        <w:t xml:space="preserve">Staff advised that changes in preferences or care </w:t>
      </w:r>
      <w:r w:rsidR="00A52A98" w:rsidRPr="00763D54">
        <w:rPr>
          <w:rFonts w:eastAsiaTheme="minorHAnsi"/>
          <w:iCs/>
          <w:color w:val="auto"/>
          <w:szCs w:val="22"/>
          <w:lang w:eastAsia="en-US"/>
        </w:rPr>
        <w:lastRenderedPageBreak/>
        <w:t xml:space="preserve">needs </w:t>
      </w:r>
      <w:r w:rsidR="003D7185">
        <w:rPr>
          <w:rFonts w:eastAsiaTheme="minorHAnsi"/>
          <w:iCs/>
          <w:color w:val="auto"/>
          <w:szCs w:val="22"/>
          <w:lang w:eastAsia="en-US"/>
        </w:rPr>
        <w:t>were</w:t>
      </w:r>
      <w:r w:rsidR="00A52A98" w:rsidRPr="00763D54">
        <w:rPr>
          <w:rFonts w:eastAsiaTheme="minorHAnsi"/>
          <w:iCs/>
          <w:color w:val="auto"/>
          <w:szCs w:val="22"/>
          <w:lang w:eastAsia="en-US"/>
        </w:rPr>
        <w:t xml:space="preserve"> detailed in progress notes or review </w:t>
      </w:r>
      <w:r w:rsidR="00546534" w:rsidRPr="00763D54">
        <w:rPr>
          <w:rFonts w:eastAsiaTheme="minorHAnsi"/>
          <w:iCs/>
          <w:color w:val="auto"/>
          <w:szCs w:val="22"/>
          <w:lang w:eastAsia="en-US"/>
        </w:rPr>
        <w:t>documentation,</w:t>
      </w:r>
      <w:r w:rsidR="003D7185">
        <w:rPr>
          <w:rFonts w:eastAsiaTheme="minorHAnsi"/>
          <w:iCs/>
          <w:color w:val="auto"/>
          <w:szCs w:val="22"/>
          <w:lang w:eastAsia="en-US"/>
        </w:rPr>
        <w:t xml:space="preserve"> but the </w:t>
      </w:r>
      <w:r w:rsidR="00A52A98" w:rsidRPr="00763D54">
        <w:rPr>
          <w:rFonts w:eastAsiaTheme="minorHAnsi"/>
          <w:iCs/>
          <w:color w:val="auto"/>
          <w:szCs w:val="22"/>
          <w:lang w:eastAsia="en-US"/>
        </w:rPr>
        <w:t xml:space="preserve">original care plan documentation was not updated. </w:t>
      </w:r>
    </w:p>
    <w:p w14:paraId="78C7D004" w14:textId="00C59191" w:rsidR="00A52A98" w:rsidRPr="00763D54" w:rsidRDefault="003D7185" w:rsidP="00763D54">
      <w:pPr>
        <w:rPr>
          <w:color w:val="auto"/>
        </w:rPr>
      </w:pPr>
      <w:r>
        <w:rPr>
          <w:color w:val="auto"/>
        </w:rPr>
        <w:t>S</w:t>
      </w:r>
      <w:r w:rsidR="00A52A98" w:rsidRPr="00763D54">
        <w:rPr>
          <w:color w:val="auto"/>
        </w:rPr>
        <w:t xml:space="preserve">taff </w:t>
      </w:r>
      <w:r w:rsidR="00546534">
        <w:rPr>
          <w:color w:val="auto"/>
        </w:rPr>
        <w:t>interviewed said</w:t>
      </w:r>
      <w:r w:rsidR="00A52A98" w:rsidRPr="00763D54">
        <w:rPr>
          <w:color w:val="auto"/>
        </w:rPr>
        <w:t xml:space="preserve"> they ask consumers how they like</w:t>
      </w:r>
      <w:r>
        <w:rPr>
          <w:color w:val="auto"/>
        </w:rPr>
        <w:t xml:space="preserve">d </w:t>
      </w:r>
      <w:r w:rsidR="00A52A98" w:rsidRPr="00763D54">
        <w:rPr>
          <w:color w:val="auto"/>
        </w:rPr>
        <w:t xml:space="preserve">things done and could describe what </w:t>
      </w:r>
      <w:r>
        <w:rPr>
          <w:color w:val="auto"/>
        </w:rPr>
        <w:t>wa</w:t>
      </w:r>
      <w:r w:rsidR="00A52A98" w:rsidRPr="00763D54">
        <w:rPr>
          <w:color w:val="auto"/>
        </w:rPr>
        <w:t xml:space="preserve">s important to the consumers in terms of how their care and services </w:t>
      </w:r>
      <w:r>
        <w:rPr>
          <w:color w:val="auto"/>
        </w:rPr>
        <w:t>we</w:t>
      </w:r>
      <w:r w:rsidR="00A52A98" w:rsidRPr="00763D54">
        <w:rPr>
          <w:color w:val="auto"/>
        </w:rPr>
        <w:t xml:space="preserve">re delivered. </w:t>
      </w:r>
    </w:p>
    <w:p w14:paraId="2D08622E" w14:textId="245C0919" w:rsidR="00763D54" w:rsidRPr="00763D54" w:rsidRDefault="00A52A98" w:rsidP="00763D54">
      <w:pPr>
        <w:rPr>
          <w:rFonts w:asciiTheme="minorHAnsi" w:eastAsiaTheme="minorEastAsia" w:hAnsiTheme="minorHAnsi" w:cstheme="minorBidi"/>
          <w:color w:val="auto"/>
        </w:rPr>
      </w:pPr>
      <w:r w:rsidRPr="00763D54">
        <w:rPr>
          <w:rFonts w:eastAsiaTheme="minorHAnsi"/>
          <w:iCs/>
          <w:color w:val="auto"/>
          <w:szCs w:val="22"/>
          <w:lang w:eastAsia="en-US"/>
        </w:rPr>
        <w:t>Consumers</w:t>
      </w:r>
      <w:r w:rsidR="003D7185">
        <w:rPr>
          <w:rFonts w:eastAsiaTheme="minorHAnsi"/>
          <w:iCs/>
          <w:color w:val="auto"/>
          <w:szCs w:val="22"/>
          <w:lang w:eastAsia="en-US"/>
        </w:rPr>
        <w:t xml:space="preserve"> and </w:t>
      </w:r>
      <w:r w:rsidRPr="00763D54">
        <w:rPr>
          <w:rFonts w:eastAsiaTheme="minorHAnsi"/>
          <w:iCs/>
          <w:color w:val="auto"/>
          <w:szCs w:val="22"/>
          <w:lang w:eastAsia="en-US"/>
        </w:rPr>
        <w:t xml:space="preserve">representatives advised they </w:t>
      </w:r>
      <w:r w:rsidR="003D7185">
        <w:rPr>
          <w:rFonts w:eastAsiaTheme="minorHAnsi"/>
          <w:iCs/>
          <w:color w:val="auto"/>
          <w:szCs w:val="22"/>
          <w:lang w:eastAsia="en-US"/>
        </w:rPr>
        <w:t>we</w:t>
      </w:r>
      <w:r w:rsidRPr="00763D54">
        <w:rPr>
          <w:rFonts w:eastAsiaTheme="minorHAnsi"/>
          <w:iCs/>
          <w:color w:val="auto"/>
          <w:szCs w:val="22"/>
          <w:lang w:eastAsia="en-US"/>
        </w:rPr>
        <w:t xml:space="preserve">re happy with the care and services provided and staff were aware of what was important to them in terms of how their care </w:t>
      </w:r>
      <w:r w:rsidR="003D7185">
        <w:rPr>
          <w:rFonts w:eastAsiaTheme="minorHAnsi"/>
          <w:iCs/>
          <w:color w:val="auto"/>
          <w:szCs w:val="22"/>
          <w:lang w:eastAsia="en-US"/>
        </w:rPr>
        <w:t>wa</w:t>
      </w:r>
      <w:r w:rsidRPr="00763D54">
        <w:rPr>
          <w:rFonts w:eastAsiaTheme="minorHAnsi"/>
          <w:iCs/>
          <w:color w:val="auto"/>
          <w:szCs w:val="22"/>
          <w:lang w:eastAsia="en-US"/>
        </w:rPr>
        <w:t xml:space="preserve">s delivered. </w:t>
      </w:r>
    </w:p>
    <w:p w14:paraId="4817A189" w14:textId="416330B0" w:rsidR="00A52A98" w:rsidRDefault="00A52A98" w:rsidP="00763D54">
      <w:pPr>
        <w:rPr>
          <w:color w:val="auto"/>
        </w:rPr>
      </w:pPr>
      <w:r w:rsidRPr="00763D54">
        <w:rPr>
          <w:color w:val="auto"/>
        </w:rPr>
        <w:t xml:space="preserve">The service has policies and procedures describing advance care planning and end of life planning. However, there </w:t>
      </w:r>
      <w:r w:rsidR="003D7185">
        <w:rPr>
          <w:color w:val="auto"/>
        </w:rPr>
        <w:t>wa</w:t>
      </w:r>
      <w:r w:rsidRPr="00763D54">
        <w:rPr>
          <w:color w:val="auto"/>
        </w:rPr>
        <w:t xml:space="preserve">s no evidence in the documentation that </w:t>
      </w:r>
      <w:r w:rsidR="004B08EB" w:rsidRPr="00763D54">
        <w:rPr>
          <w:color w:val="auto"/>
        </w:rPr>
        <w:t>advance care planning and end of life planning</w:t>
      </w:r>
      <w:r w:rsidR="004B08EB">
        <w:rPr>
          <w:color w:val="auto"/>
        </w:rPr>
        <w:t xml:space="preserve"> had</w:t>
      </w:r>
      <w:r w:rsidRPr="00763D54">
        <w:rPr>
          <w:color w:val="auto"/>
        </w:rPr>
        <w:t xml:space="preserve"> been discussed</w:t>
      </w:r>
      <w:r w:rsidR="004B4581">
        <w:rPr>
          <w:color w:val="auto"/>
        </w:rPr>
        <w:t xml:space="preserve"> with consumers</w:t>
      </w:r>
      <w:r w:rsidRPr="00763D54">
        <w:rPr>
          <w:color w:val="auto"/>
        </w:rPr>
        <w:t>. Staff interviewed confirmed that they generally do not discuss advance care planning and end of life planning with consumers in the initial assessment unless at the request of the consumer</w:t>
      </w:r>
      <w:r w:rsidR="004B08EB">
        <w:rPr>
          <w:color w:val="auto"/>
        </w:rPr>
        <w:t xml:space="preserve"> or their </w:t>
      </w:r>
      <w:r w:rsidRPr="00763D54">
        <w:rPr>
          <w:color w:val="auto"/>
        </w:rPr>
        <w:t>representative</w:t>
      </w:r>
      <w:r w:rsidR="004B08EB">
        <w:rPr>
          <w:color w:val="auto"/>
        </w:rPr>
        <w:t>s</w:t>
      </w:r>
      <w:r w:rsidRPr="00763D54">
        <w:rPr>
          <w:color w:val="auto"/>
        </w:rPr>
        <w:t xml:space="preserve"> or if the consumer require</w:t>
      </w:r>
      <w:r w:rsidR="004B08EB">
        <w:rPr>
          <w:color w:val="auto"/>
        </w:rPr>
        <w:t>d</w:t>
      </w:r>
      <w:r w:rsidRPr="00763D54">
        <w:rPr>
          <w:color w:val="auto"/>
        </w:rPr>
        <w:t xml:space="preserve"> palliative care.  </w:t>
      </w:r>
    </w:p>
    <w:p w14:paraId="64BDB597" w14:textId="00EEA011" w:rsidR="00210EFF" w:rsidRDefault="00210EFF" w:rsidP="00763D54">
      <w:pPr>
        <w:rPr>
          <w:color w:val="auto"/>
        </w:rPr>
      </w:pPr>
      <w:r>
        <w:rPr>
          <w:color w:val="auto"/>
        </w:rPr>
        <w:t xml:space="preserve">The Approved Provider stated in its response that it has commenced a process of identifying all consumers who have not been reassessed in </w:t>
      </w:r>
      <w:r w:rsidR="00E1539C">
        <w:rPr>
          <w:color w:val="auto"/>
        </w:rPr>
        <w:t xml:space="preserve">the </w:t>
      </w:r>
      <w:r>
        <w:rPr>
          <w:color w:val="auto"/>
        </w:rPr>
        <w:t>last 12 months with a view to having them reassessed by case managers.</w:t>
      </w:r>
    </w:p>
    <w:p w14:paraId="4820BD54" w14:textId="79A9BF11" w:rsidR="00210EFF" w:rsidRPr="003926DC" w:rsidRDefault="00210EFF" w:rsidP="00210EFF">
      <w:pPr>
        <w:rPr>
          <w:color w:val="auto"/>
        </w:rPr>
      </w:pPr>
      <w:r>
        <w:rPr>
          <w:color w:val="auto"/>
        </w:rPr>
        <w:t>Whilst I acknowledge the Approved Provider’s proposed action to identify all consumers needing re-assessment</w:t>
      </w:r>
      <w:r w:rsidR="00E1539C">
        <w:rPr>
          <w:color w:val="auto"/>
        </w:rPr>
        <w:t>,</w:t>
      </w:r>
      <w:r>
        <w:rPr>
          <w:color w:val="auto"/>
        </w:rPr>
        <w:t xml:space="preserve"> the service has not addressed the lack of consultation with consumers about advance care and end of life planning for those consumers </w:t>
      </w:r>
      <w:r w:rsidR="00E1539C">
        <w:rPr>
          <w:color w:val="auto"/>
        </w:rPr>
        <w:t>who may wish to be involved in such discussions</w:t>
      </w:r>
      <w:r>
        <w:rPr>
          <w:color w:val="auto"/>
        </w:rPr>
        <w:t>.  Therefore, this requirement is non-compliant.</w:t>
      </w:r>
    </w:p>
    <w:p w14:paraId="6313BEF7" w14:textId="30F9C8FC" w:rsidR="00934888" w:rsidRDefault="00CB5F3F" w:rsidP="00934888">
      <w:pPr>
        <w:pStyle w:val="Heading3"/>
      </w:pPr>
      <w:r>
        <w:t>Requirement 2(3)(c)</w:t>
      </w:r>
      <w:r>
        <w:tab/>
        <w:t>Compliant</w:t>
      </w:r>
    </w:p>
    <w:p w14:paraId="6313BEF8" w14:textId="77777777" w:rsidR="00853601" w:rsidRPr="001F433A" w:rsidRDefault="00CB5F3F" w:rsidP="00853601">
      <w:pPr>
        <w:rPr>
          <w:i/>
        </w:rPr>
      </w:pPr>
      <w:r w:rsidRPr="001F433A">
        <w:rPr>
          <w:i/>
        </w:rPr>
        <w:t>The organisation demonstrates that assessment and planning:</w:t>
      </w:r>
    </w:p>
    <w:p w14:paraId="6313BEF9" w14:textId="77777777" w:rsidR="00853601" w:rsidRPr="001F433A" w:rsidRDefault="00CB5F3F" w:rsidP="00097709">
      <w:pPr>
        <w:numPr>
          <w:ilvl w:val="0"/>
          <w:numId w:val="5"/>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313BEFA" w14:textId="77777777" w:rsidR="00853601" w:rsidRPr="001F433A" w:rsidRDefault="00CB5F3F" w:rsidP="00097709">
      <w:pPr>
        <w:numPr>
          <w:ilvl w:val="0"/>
          <w:numId w:val="5"/>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6313BEFC" w14:textId="41791F9A" w:rsidR="00934888" w:rsidRDefault="00CB5F3F" w:rsidP="00934888">
      <w:pPr>
        <w:pStyle w:val="Heading3"/>
      </w:pPr>
      <w:r>
        <w:t>Requirement 2(3)(d)</w:t>
      </w:r>
      <w:r>
        <w:tab/>
        <w:t>Non-compliant</w:t>
      </w:r>
    </w:p>
    <w:p w14:paraId="6313BEFD" w14:textId="77777777" w:rsidR="00853601" w:rsidRPr="001F433A" w:rsidRDefault="00CB5F3F"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12255D6" w14:textId="19B8B044" w:rsidR="00A52A98" w:rsidRDefault="00546534" w:rsidP="004B08EB">
      <w:pPr>
        <w:tabs>
          <w:tab w:val="right" w:pos="9026"/>
        </w:tabs>
        <w:rPr>
          <w:iCs/>
          <w:color w:val="000000" w:themeColor="text1"/>
        </w:rPr>
      </w:pPr>
      <w:r>
        <w:rPr>
          <w:iCs/>
          <w:color w:val="000000" w:themeColor="text1"/>
        </w:rPr>
        <w:lastRenderedPageBreak/>
        <w:t xml:space="preserve">The Assessment Team found </w:t>
      </w:r>
      <w:r w:rsidR="00A52A98" w:rsidRPr="00763D54">
        <w:rPr>
          <w:iCs/>
          <w:color w:val="000000" w:themeColor="text1"/>
        </w:rPr>
        <w:t xml:space="preserve">care planning documentation did not demonstrate outcomes of assessment and planning </w:t>
      </w:r>
      <w:r w:rsidR="004B08EB">
        <w:rPr>
          <w:iCs/>
          <w:color w:val="000000" w:themeColor="text1"/>
        </w:rPr>
        <w:t>was a</w:t>
      </w:r>
      <w:r w:rsidR="00A52A98" w:rsidRPr="00763D54">
        <w:rPr>
          <w:iCs/>
          <w:color w:val="000000" w:themeColor="text1"/>
        </w:rPr>
        <w:t xml:space="preserve">dequately documented in consumer’s care plans. </w:t>
      </w:r>
      <w:r w:rsidR="004B08EB">
        <w:rPr>
          <w:iCs/>
          <w:color w:val="000000" w:themeColor="text1"/>
        </w:rPr>
        <w:t xml:space="preserve">  </w:t>
      </w:r>
      <w:r w:rsidR="00A52A98">
        <w:rPr>
          <w:iCs/>
          <w:color w:val="000000" w:themeColor="text1"/>
        </w:rPr>
        <w:t xml:space="preserve">Care plans </w:t>
      </w:r>
      <w:r w:rsidR="004B08EB">
        <w:rPr>
          <w:iCs/>
          <w:color w:val="000000" w:themeColor="text1"/>
        </w:rPr>
        <w:t>we</w:t>
      </w:r>
      <w:r w:rsidR="00A52A98">
        <w:rPr>
          <w:iCs/>
          <w:color w:val="000000" w:themeColor="text1"/>
        </w:rPr>
        <w:t>re not up</w:t>
      </w:r>
      <w:r w:rsidR="004B4581">
        <w:rPr>
          <w:iCs/>
          <w:color w:val="000000" w:themeColor="text1"/>
        </w:rPr>
        <w:t>-</w:t>
      </w:r>
      <w:r w:rsidR="00A52A98">
        <w:rPr>
          <w:iCs/>
          <w:color w:val="000000" w:themeColor="text1"/>
        </w:rPr>
        <w:t>to</w:t>
      </w:r>
      <w:r w:rsidR="004B4581">
        <w:rPr>
          <w:iCs/>
          <w:color w:val="000000" w:themeColor="text1"/>
        </w:rPr>
        <w:t>-</w:t>
      </w:r>
      <w:r w:rsidR="00A52A98">
        <w:rPr>
          <w:iCs/>
          <w:color w:val="000000" w:themeColor="text1"/>
        </w:rPr>
        <w:t>date and d</w:t>
      </w:r>
      <w:r w:rsidR="004B08EB">
        <w:rPr>
          <w:iCs/>
          <w:color w:val="000000" w:themeColor="text1"/>
        </w:rPr>
        <w:t>id</w:t>
      </w:r>
      <w:r w:rsidR="00A52A98">
        <w:rPr>
          <w:iCs/>
          <w:color w:val="000000" w:themeColor="text1"/>
        </w:rPr>
        <w:t xml:space="preserve"> not consistently reflect current needs or current care and services</w:t>
      </w:r>
      <w:r w:rsidR="004B4581">
        <w:rPr>
          <w:iCs/>
          <w:color w:val="000000" w:themeColor="text1"/>
        </w:rPr>
        <w:t xml:space="preserve">, </w:t>
      </w:r>
      <w:r w:rsidR="00A52A98">
        <w:rPr>
          <w:iCs/>
          <w:color w:val="000000" w:themeColor="text1"/>
        </w:rPr>
        <w:t>including consideration of risks</w:t>
      </w:r>
      <w:r w:rsidR="004B08EB">
        <w:rPr>
          <w:iCs/>
          <w:color w:val="000000" w:themeColor="text1"/>
        </w:rPr>
        <w:t xml:space="preserve">. </w:t>
      </w:r>
      <w:r w:rsidR="00A52A98" w:rsidRPr="0029318E">
        <w:rPr>
          <w:iCs/>
          <w:color w:val="000000" w:themeColor="text1"/>
        </w:rPr>
        <w:t>Care plans d</w:t>
      </w:r>
      <w:r w:rsidR="00A52A98">
        <w:rPr>
          <w:iCs/>
          <w:color w:val="000000" w:themeColor="text1"/>
        </w:rPr>
        <w:t>id</w:t>
      </w:r>
      <w:r w:rsidR="00A52A98" w:rsidRPr="0029318E">
        <w:rPr>
          <w:iCs/>
          <w:color w:val="000000" w:themeColor="text1"/>
        </w:rPr>
        <w:t xml:space="preserve"> not provide detail</w:t>
      </w:r>
      <w:r w:rsidR="004B08EB">
        <w:rPr>
          <w:iCs/>
          <w:color w:val="000000" w:themeColor="text1"/>
        </w:rPr>
        <w:t xml:space="preserve"> on the </w:t>
      </w:r>
      <w:r w:rsidR="00A52A98" w:rsidRPr="0029318E">
        <w:rPr>
          <w:iCs/>
          <w:color w:val="000000" w:themeColor="text1"/>
        </w:rPr>
        <w:t xml:space="preserve">services to be </w:t>
      </w:r>
      <w:r w:rsidR="004B08EB">
        <w:rPr>
          <w:iCs/>
          <w:color w:val="000000" w:themeColor="text1"/>
        </w:rPr>
        <w:t>provided</w:t>
      </w:r>
      <w:r w:rsidR="00A52A98" w:rsidRPr="0029318E">
        <w:rPr>
          <w:iCs/>
          <w:color w:val="000000" w:themeColor="text1"/>
        </w:rPr>
        <w:t xml:space="preserve">, including agreed days, times and hours of service. </w:t>
      </w:r>
      <w:r>
        <w:rPr>
          <w:iCs/>
          <w:color w:val="000000" w:themeColor="text1"/>
        </w:rPr>
        <w:t xml:space="preserve">Consumer care plans did not consistent document outcome of allied health assessments and services. </w:t>
      </w:r>
    </w:p>
    <w:p w14:paraId="5D4EF0F3" w14:textId="77EA4A32" w:rsidR="001C433F" w:rsidRPr="0029318E" w:rsidRDefault="001C433F" w:rsidP="004B08EB">
      <w:pPr>
        <w:tabs>
          <w:tab w:val="right" w:pos="9026"/>
        </w:tabs>
        <w:rPr>
          <w:color w:val="000000" w:themeColor="text1"/>
        </w:rPr>
      </w:pPr>
      <w:r>
        <w:rPr>
          <w:iCs/>
          <w:color w:val="000000" w:themeColor="text1"/>
        </w:rPr>
        <w:t xml:space="preserve">Most consumers interviewed were not aware of their care plan or how to access it. </w:t>
      </w:r>
    </w:p>
    <w:p w14:paraId="4DFCF45F" w14:textId="58BCC0D6" w:rsidR="00E1539C" w:rsidRDefault="00E1539C" w:rsidP="00960D0F">
      <w:pPr>
        <w:tabs>
          <w:tab w:val="right" w:pos="9026"/>
        </w:tabs>
        <w:rPr>
          <w:iCs/>
          <w:color w:val="auto"/>
        </w:rPr>
      </w:pPr>
      <w:r>
        <w:rPr>
          <w:iCs/>
          <w:color w:val="auto"/>
        </w:rPr>
        <w:t>The Approved Provider’s response indicate</w:t>
      </w:r>
      <w:r w:rsidR="004B4581">
        <w:rPr>
          <w:iCs/>
          <w:color w:val="auto"/>
        </w:rPr>
        <w:t>d</w:t>
      </w:r>
      <w:r>
        <w:rPr>
          <w:iCs/>
          <w:color w:val="auto"/>
        </w:rPr>
        <w:t xml:space="preserve"> that a schedule for home care visits w</w:t>
      </w:r>
      <w:r w:rsidR="004B4581">
        <w:rPr>
          <w:iCs/>
          <w:color w:val="auto"/>
        </w:rPr>
        <w:t xml:space="preserve">ould </w:t>
      </w:r>
      <w:r>
        <w:rPr>
          <w:iCs/>
          <w:color w:val="auto"/>
        </w:rPr>
        <w:t>be developed for all consumers requiring a reassessment of care or a review of their care plans.</w:t>
      </w:r>
      <w:r w:rsidR="001C433F">
        <w:rPr>
          <w:iCs/>
          <w:color w:val="auto"/>
        </w:rPr>
        <w:t xml:space="preserve"> The response did not address the finding in relation to consumers not being made aware of their care plans or how to access it. </w:t>
      </w:r>
    </w:p>
    <w:p w14:paraId="17C635E4" w14:textId="419B701D" w:rsidR="00E1539C" w:rsidRPr="003926DC" w:rsidRDefault="00E1539C" w:rsidP="00E1539C">
      <w:pPr>
        <w:rPr>
          <w:color w:val="auto"/>
        </w:rPr>
      </w:pPr>
      <w:r>
        <w:rPr>
          <w:color w:val="auto"/>
        </w:rPr>
        <w:t xml:space="preserve">Whilst I acknowledge the Approved Provider action to </w:t>
      </w:r>
      <w:r w:rsidR="00097709">
        <w:rPr>
          <w:color w:val="auto"/>
        </w:rPr>
        <w:t xml:space="preserve">schedule </w:t>
      </w:r>
      <w:r>
        <w:rPr>
          <w:color w:val="auto"/>
        </w:rPr>
        <w:t xml:space="preserve">home care visits and to complete </w:t>
      </w:r>
      <w:r w:rsidR="00097709">
        <w:rPr>
          <w:color w:val="auto"/>
        </w:rPr>
        <w:t xml:space="preserve">assessments </w:t>
      </w:r>
      <w:r>
        <w:rPr>
          <w:color w:val="auto"/>
        </w:rPr>
        <w:t xml:space="preserve">by 16 November 2020, at the time of the Assessment Contact, the service was unable to demonstrate </w:t>
      </w:r>
      <w:r w:rsidR="00546534" w:rsidRPr="00763D54">
        <w:rPr>
          <w:iCs/>
          <w:color w:val="000000" w:themeColor="text1"/>
        </w:rPr>
        <w:t xml:space="preserve">outcomes of assessment and planning </w:t>
      </w:r>
      <w:r w:rsidR="00546534">
        <w:rPr>
          <w:iCs/>
          <w:color w:val="000000" w:themeColor="text1"/>
        </w:rPr>
        <w:t xml:space="preserve">were </w:t>
      </w:r>
      <w:r w:rsidR="00546534" w:rsidRPr="00763D54">
        <w:rPr>
          <w:iCs/>
          <w:color w:val="000000" w:themeColor="text1"/>
        </w:rPr>
        <w:t>documented in consumer’s care plans</w:t>
      </w:r>
      <w:r>
        <w:rPr>
          <w:color w:val="auto"/>
        </w:rPr>
        <w:t>.  Therefore, this requirement is non-compliant.</w:t>
      </w:r>
    </w:p>
    <w:p w14:paraId="6313BEFF" w14:textId="5EBE3222" w:rsidR="00934888" w:rsidRDefault="00CB5F3F" w:rsidP="00934888">
      <w:pPr>
        <w:pStyle w:val="Heading3"/>
      </w:pPr>
      <w:r>
        <w:t>Requirement 2(3)(e)</w:t>
      </w:r>
      <w:r>
        <w:tab/>
        <w:t>Non-compliant</w:t>
      </w:r>
    </w:p>
    <w:p w14:paraId="6313BF00" w14:textId="77777777" w:rsidR="00853601" w:rsidRPr="001F433A" w:rsidRDefault="00CB5F3F" w:rsidP="00853601">
      <w:pPr>
        <w:rPr>
          <w:i/>
        </w:rPr>
      </w:pPr>
      <w:r w:rsidRPr="001F433A">
        <w:rPr>
          <w:i/>
        </w:rPr>
        <w:t>Care and services are reviewed regularly for effectiveness, and when circumstances change or when incidents impact on the needs, goals or preferences of the consumer.</w:t>
      </w:r>
    </w:p>
    <w:p w14:paraId="27DC1DC7" w14:textId="720C5CC7" w:rsidR="00A52A98" w:rsidRDefault="001C433F" w:rsidP="00A52A98">
      <w:r>
        <w:rPr>
          <w:rFonts w:eastAsia="Arial"/>
          <w:color w:val="000000" w:themeColor="text1"/>
        </w:rPr>
        <w:t>The Assessment Team found t</w:t>
      </w:r>
      <w:r w:rsidR="00A52A98" w:rsidRPr="3A1189E1">
        <w:rPr>
          <w:rFonts w:eastAsia="Arial"/>
          <w:color w:val="000000" w:themeColor="text1"/>
        </w:rPr>
        <w:t xml:space="preserve">he service </w:t>
      </w:r>
      <w:r>
        <w:rPr>
          <w:rFonts w:eastAsia="Arial"/>
          <w:color w:val="000000" w:themeColor="text1"/>
        </w:rPr>
        <w:t>did</w:t>
      </w:r>
      <w:r w:rsidR="00A52A98" w:rsidRPr="3A1189E1">
        <w:rPr>
          <w:rFonts w:eastAsia="Arial"/>
          <w:color w:val="000000" w:themeColor="text1"/>
        </w:rPr>
        <w:t xml:space="preserve"> not adequately demonstrate that consumer’s care and services </w:t>
      </w:r>
      <w:r w:rsidR="004B08EB">
        <w:rPr>
          <w:rFonts w:eastAsia="Arial"/>
          <w:color w:val="000000" w:themeColor="text1"/>
        </w:rPr>
        <w:t>we</w:t>
      </w:r>
      <w:r w:rsidR="00A52A98" w:rsidRPr="3A1189E1">
        <w:rPr>
          <w:rFonts w:eastAsia="Arial"/>
          <w:color w:val="000000" w:themeColor="text1"/>
        </w:rPr>
        <w:t>re reviewed regularly for effectiveness</w:t>
      </w:r>
      <w:r>
        <w:rPr>
          <w:rFonts w:eastAsia="Arial"/>
          <w:color w:val="000000" w:themeColor="text1"/>
        </w:rPr>
        <w:t xml:space="preserve"> or</w:t>
      </w:r>
      <w:r w:rsidR="00A52A98" w:rsidRPr="3A1189E1">
        <w:rPr>
          <w:rFonts w:eastAsia="Arial"/>
          <w:color w:val="000000" w:themeColor="text1"/>
        </w:rPr>
        <w:t xml:space="preserve"> when circumstances change</w:t>
      </w:r>
      <w:r w:rsidR="004B08EB">
        <w:rPr>
          <w:rFonts w:eastAsia="Arial"/>
          <w:color w:val="000000" w:themeColor="text1"/>
        </w:rPr>
        <w:t>d</w:t>
      </w:r>
      <w:r w:rsidR="00A52A98" w:rsidRPr="3A1189E1">
        <w:rPr>
          <w:rFonts w:eastAsia="Arial"/>
          <w:color w:val="000000" w:themeColor="text1"/>
        </w:rPr>
        <w:t>.</w:t>
      </w:r>
    </w:p>
    <w:p w14:paraId="3EF4866D" w14:textId="5253404A" w:rsidR="00A52A98" w:rsidRPr="00960D0F" w:rsidRDefault="004B08EB" w:rsidP="00960D0F">
      <w:pPr>
        <w:rPr>
          <w:i/>
          <w:color w:val="auto"/>
        </w:rPr>
      </w:pPr>
      <w:r>
        <w:rPr>
          <w:color w:val="auto"/>
        </w:rPr>
        <w:t xml:space="preserve">The </w:t>
      </w:r>
      <w:r w:rsidR="00A52A98" w:rsidRPr="00960D0F">
        <w:rPr>
          <w:color w:val="auto"/>
        </w:rPr>
        <w:t xml:space="preserve">service’s policy </w:t>
      </w:r>
      <w:r>
        <w:rPr>
          <w:color w:val="auto"/>
        </w:rPr>
        <w:t xml:space="preserve">instructed </w:t>
      </w:r>
      <w:r w:rsidR="00097709">
        <w:rPr>
          <w:color w:val="auto"/>
        </w:rPr>
        <w:t xml:space="preserve">staff to review </w:t>
      </w:r>
      <w:r w:rsidR="00A52A98" w:rsidRPr="00960D0F">
        <w:rPr>
          <w:color w:val="auto"/>
        </w:rPr>
        <w:t xml:space="preserve">care plans </w:t>
      </w:r>
      <w:r>
        <w:rPr>
          <w:color w:val="auto"/>
        </w:rPr>
        <w:t xml:space="preserve">over the phone </w:t>
      </w:r>
      <w:r w:rsidR="00A52A98" w:rsidRPr="00960D0F">
        <w:rPr>
          <w:color w:val="auto"/>
        </w:rPr>
        <w:t>every three months and face</w:t>
      </w:r>
      <w:r w:rsidR="00674244">
        <w:rPr>
          <w:color w:val="auto"/>
        </w:rPr>
        <w:t>-</w:t>
      </w:r>
      <w:r w:rsidR="00A52A98" w:rsidRPr="00960D0F">
        <w:rPr>
          <w:color w:val="auto"/>
        </w:rPr>
        <w:t>to</w:t>
      </w:r>
      <w:r w:rsidR="00674244">
        <w:rPr>
          <w:color w:val="auto"/>
        </w:rPr>
        <w:t>-</w:t>
      </w:r>
      <w:r w:rsidR="00A52A98" w:rsidRPr="00960D0F">
        <w:rPr>
          <w:color w:val="auto"/>
        </w:rPr>
        <w:t>face with the consumer</w:t>
      </w:r>
      <w:r w:rsidR="00674244">
        <w:rPr>
          <w:color w:val="auto"/>
        </w:rPr>
        <w:t xml:space="preserve"> or their </w:t>
      </w:r>
      <w:r w:rsidR="00A52A98" w:rsidRPr="00960D0F">
        <w:rPr>
          <w:color w:val="auto"/>
        </w:rPr>
        <w:t>representative every six months.</w:t>
      </w:r>
      <w:r w:rsidR="00A52A98" w:rsidRPr="00960D0F">
        <w:rPr>
          <w:color w:val="FF33CC"/>
        </w:rPr>
        <w:t xml:space="preserve"> </w:t>
      </w:r>
    </w:p>
    <w:p w14:paraId="473FDD41" w14:textId="4649DEFE" w:rsidR="001C433F" w:rsidRDefault="00A52A98" w:rsidP="00960D0F">
      <w:pPr>
        <w:rPr>
          <w:rFonts w:eastAsia="Arial"/>
          <w:color w:val="auto"/>
        </w:rPr>
      </w:pPr>
      <w:r w:rsidRPr="00960D0F">
        <w:rPr>
          <w:rFonts w:eastAsia="Arial"/>
          <w:color w:val="auto"/>
        </w:rPr>
        <w:t xml:space="preserve">However, </w:t>
      </w:r>
      <w:r w:rsidR="001C433F">
        <w:rPr>
          <w:rFonts w:eastAsia="Arial"/>
          <w:color w:val="auto"/>
        </w:rPr>
        <w:t xml:space="preserve">the consumers and representatives reported, and care documentation reviewed, confirmed that </w:t>
      </w:r>
      <w:r w:rsidR="00674244">
        <w:rPr>
          <w:rFonts w:eastAsia="Arial"/>
          <w:color w:val="auto"/>
        </w:rPr>
        <w:t xml:space="preserve">the service </w:t>
      </w:r>
      <w:r w:rsidR="001C433F">
        <w:rPr>
          <w:rFonts w:eastAsia="Arial"/>
          <w:color w:val="auto"/>
        </w:rPr>
        <w:t xml:space="preserve">did not review consumers’ care and services on a </w:t>
      </w:r>
      <w:r w:rsidRPr="00960D0F">
        <w:rPr>
          <w:rFonts w:eastAsia="Arial"/>
          <w:color w:val="auto"/>
        </w:rPr>
        <w:t>regular basis</w:t>
      </w:r>
      <w:r w:rsidR="001C433F">
        <w:rPr>
          <w:rFonts w:eastAsia="Arial"/>
          <w:color w:val="auto"/>
        </w:rPr>
        <w:t xml:space="preserve">, or when </w:t>
      </w:r>
      <w:r w:rsidR="00674244">
        <w:rPr>
          <w:rFonts w:eastAsia="Arial"/>
          <w:color w:val="auto"/>
        </w:rPr>
        <w:t xml:space="preserve">a consumer’s </w:t>
      </w:r>
      <w:r w:rsidRPr="00960D0F">
        <w:rPr>
          <w:rFonts w:eastAsia="Arial"/>
          <w:color w:val="auto"/>
        </w:rPr>
        <w:t>circumstances change</w:t>
      </w:r>
      <w:r w:rsidR="00674244">
        <w:rPr>
          <w:rFonts w:eastAsia="Arial"/>
          <w:color w:val="auto"/>
        </w:rPr>
        <w:t>d</w:t>
      </w:r>
      <w:r w:rsidRPr="00960D0F">
        <w:rPr>
          <w:rFonts w:eastAsia="Arial"/>
          <w:color w:val="auto"/>
        </w:rPr>
        <w:t>.</w:t>
      </w:r>
      <w:r w:rsidR="001C433F">
        <w:rPr>
          <w:rFonts w:eastAsia="Arial"/>
          <w:color w:val="auto"/>
        </w:rPr>
        <w:t xml:space="preserve"> For example:</w:t>
      </w:r>
    </w:p>
    <w:p w14:paraId="30658F98" w14:textId="47BDFB95" w:rsidR="00A52A98" w:rsidRPr="001C433F" w:rsidRDefault="001C433F" w:rsidP="001C433F">
      <w:pPr>
        <w:pStyle w:val="ListParagraph"/>
        <w:numPr>
          <w:ilvl w:val="0"/>
          <w:numId w:val="8"/>
        </w:numPr>
        <w:rPr>
          <w:color w:val="auto"/>
        </w:rPr>
      </w:pPr>
      <w:r>
        <w:rPr>
          <w:rFonts w:eastAsia="Arial"/>
          <w:color w:val="auto"/>
        </w:rPr>
        <w:t>some c</w:t>
      </w:r>
      <w:r w:rsidRPr="001C433F">
        <w:rPr>
          <w:rFonts w:eastAsia="Arial"/>
          <w:color w:val="auto"/>
        </w:rPr>
        <w:t>onsumers’ files had not been reviewed by the service for approximately 12 months</w:t>
      </w:r>
    </w:p>
    <w:p w14:paraId="5E695313" w14:textId="5E56FCDC" w:rsidR="001C433F" w:rsidRPr="001C433F" w:rsidRDefault="001C433F" w:rsidP="001C433F">
      <w:pPr>
        <w:pStyle w:val="ListParagraph"/>
        <w:numPr>
          <w:ilvl w:val="0"/>
          <w:numId w:val="8"/>
        </w:numPr>
        <w:rPr>
          <w:color w:val="auto"/>
        </w:rPr>
      </w:pPr>
      <w:r>
        <w:rPr>
          <w:rFonts w:eastAsia="Arial"/>
          <w:color w:val="auto"/>
        </w:rPr>
        <w:t xml:space="preserve">consumers who moved to a higher home care package </w:t>
      </w:r>
      <w:proofErr w:type="gramStart"/>
      <w:r>
        <w:rPr>
          <w:rFonts w:eastAsia="Arial"/>
          <w:color w:val="auto"/>
        </w:rPr>
        <w:t>level, or</w:t>
      </w:r>
      <w:proofErr w:type="gramEnd"/>
      <w:r>
        <w:rPr>
          <w:rFonts w:eastAsia="Arial"/>
          <w:color w:val="auto"/>
        </w:rPr>
        <w:t xml:space="preserve"> return</w:t>
      </w:r>
      <w:r w:rsidR="002C0502">
        <w:rPr>
          <w:rFonts w:eastAsia="Arial"/>
          <w:color w:val="auto"/>
        </w:rPr>
        <w:t>ed</w:t>
      </w:r>
      <w:r>
        <w:rPr>
          <w:rFonts w:eastAsia="Arial"/>
          <w:color w:val="auto"/>
        </w:rPr>
        <w:t xml:space="preserve"> from hospital were not reviewed</w:t>
      </w:r>
      <w:r w:rsidR="002C0502">
        <w:rPr>
          <w:rFonts w:eastAsia="Arial"/>
          <w:color w:val="auto"/>
        </w:rPr>
        <w:t>.</w:t>
      </w:r>
    </w:p>
    <w:p w14:paraId="6313BF02" w14:textId="08906E19" w:rsidR="00934888" w:rsidRPr="00934888" w:rsidRDefault="00E1539C" w:rsidP="00934888">
      <w:r>
        <w:lastRenderedPageBreak/>
        <w:t xml:space="preserve">The Approved Provider stated </w:t>
      </w:r>
      <w:r w:rsidR="00097709">
        <w:t xml:space="preserve">in its response </w:t>
      </w:r>
      <w:r>
        <w:t>that a Community Care Nurse w</w:t>
      </w:r>
      <w:r w:rsidR="00097709">
        <w:t xml:space="preserve">ould </w:t>
      </w:r>
      <w:r>
        <w:t>be recruited to support clinical and complex care needs.  In addition, staff w</w:t>
      </w:r>
      <w:r w:rsidR="00097709">
        <w:t xml:space="preserve">ould </w:t>
      </w:r>
      <w:r>
        <w:t xml:space="preserve">receive training by 30 October 2020 in consumer intake, assessment and re-assessment. </w:t>
      </w:r>
    </w:p>
    <w:p w14:paraId="3259E783" w14:textId="49F2DD63" w:rsidR="00E1539C" w:rsidRPr="003926DC" w:rsidRDefault="00E1539C" w:rsidP="00E1539C">
      <w:pPr>
        <w:rPr>
          <w:color w:val="auto"/>
        </w:rPr>
      </w:pPr>
      <w:r>
        <w:rPr>
          <w:color w:val="auto"/>
        </w:rPr>
        <w:t>Whilst I acknowledge the Approved Provider action to recruit and train staff</w:t>
      </w:r>
      <w:r w:rsidR="001C433F">
        <w:rPr>
          <w:color w:val="auto"/>
        </w:rPr>
        <w:t xml:space="preserve"> in relation to assessment and review</w:t>
      </w:r>
      <w:r>
        <w:rPr>
          <w:color w:val="auto"/>
        </w:rPr>
        <w:t>, at the time of the Assessment Contact, the service was unable to demonstrate that</w:t>
      </w:r>
      <w:r w:rsidR="001C433F">
        <w:rPr>
          <w:color w:val="auto"/>
        </w:rPr>
        <w:t xml:space="preserve"> </w:t>
      </w:r>
      <w:r w:rsidR="001C433F" w:rsidRPr="3A1189E1">
        <w:rPr>
          <w:rFonts w:eastAsia="Arial"/>
          <w:color w:val="000000" w:themeColor="text1"/>
        </w:rPr>
        <w:t>consumers</w:t>
      </w:r>
      <w:r w:rsidR="001C433F">
        <w:rPr>
          <w:rFonts w:eastAsia="Arial"/>
          <w:color w:val="000000" w:themeColor="text1"/>
        </w:rPr>
        <w:t>’</w:t>
      </w:r>
      <w:r w:rsidR="001C433F" w:rsidRPr="3A1189E1">
        <w:rPr>
          <w:rFonts w:eastAsia="Arial"/>
          <w:color w:val="000000" w:themeColor="text1"/>
        </w:rPr>
        <w:t xml:space="preserve"> care and services </w:t>
      </w:r>
      <w:r w:rsidR="001C433F">
        <w:rPr>
          <w:rFonts w:eastAsia="Arial"/>
          <w:color w:val="000000" w:themeColor="text1"/>
        </w:rPr>
        <w:t>we</w:t>
      </w:r>
      <w:r w:rsidR="001C433F" w:rsidRPr="3A1189E1">
        <w:rPr>
          <w:rFonts w:eastAsia="Arial"/>
          <w:color w:val="000000" w:themeColor="text1"/>
        </w:rPr>
        <w:t>re reviewed regularly</w:t>
      </w:r>
      <w:r w:rsidR="001C433F">
        <w:rPr>
          <w:rFonts w:eastAsia="Arial"/>
          <w:color w:val="000000" w:themeColor="text1"/>
        </w:rPr>
        <w:t xml:space="preserve"> or when circumstances change</w:t>
      </w:r>
      <w:r>
        <w:rPr>
          <w:color w:val="auto"/>
        </w:rPr>
        <w:t>.  Therefore, this requirement is non-compliant.</w:t>
      </w:r>
    </w:p>
    <w:p w14:paraId="6313BF03" w14:textId="77777777" w:rsidR="00032B17" w:rsidRDefault="009B08BC"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6313BF04" w14:textId="418F6B85" w:rsidR="00F05744" w:rsidRDefault="00CB5F3F"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313BFC9" wp14:editId="6313BF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82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313BF05" w14:textId="77777777" w:rsidR="007F5256" w:rsidRPr="00FD1B02" w:rsidRDefault="00CB5F3F" w:rsidP="00032B17">
      <w:pPr>
        <w:pStyle w:val="Heading3"/>
        <w:shd w:val="clear" w:color="auto" w:fill="F2F2F2" w:themeFill="background1" w:themeFillShade="F2"/>
      </w:pPr>
      <w:r w:rsidRPr="00FD1B02">
        <w:t>Consumer outcome:</w:t>
      </w:r>
    </w:p>
    <w:p w14:paraId="6313BF06" w14:textId="77777777" w:rsidR="007F5256" w:rsidRDefault="00CB5F3F" w:rsidP="00912DE6">
      <w:pPr>
        <w:numPr>
          <w:ilvl w:val="0"/>
          <w:numId w:val="3"/>
        </w:numPr>
        <w:shd w:val="clear" w:color="auto" w:fill="F2F2F2" w:themeFill="background1" w:themeFillShade="F2"/>
      </w:pPr>
      <w:r>
        <w:t>I get personal care, clinical care, or both personal care and clinical care, that is safe and right for me.</w:t>
      </w:r>
    </w:p>
    <w:p w14:paraId="6313BF07" w14:textId="77777777" w:rsidR="007F5256" w:rsidRDefault="00CB5F3F" w:rsidP="00032B17">
      <w:pPr>
        <w:pStyle w:val="Heading3"/>
        <w:shd w:val="clear" w:color="auto" w:fill="F2F2F2" w:themeFill="background1" w:themeFillShade="F2"/>
      </w:pPr>
      <w:r>
        <w:t>Organisation statement:</w:t>
      </w:r>
    </w:p>
    <w:p w14:paraId="6313BF08" w14:textId="77777777" w:rsidR="007F5256" w:rsidRDefault="00CB5F3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13BF09" w14:textId="77777777" w:rsidR="007F5256" w:rsidRDefault="00CB5F3F" w:rsidP="00427817">
      <w:pPr>
        <w:pStyle w:val="Heading2"/>
      </w:pPr>
      <w:r>
        <w:t>Assessment of Standard 3</w:t>
      </w:r>
    </w:p>
    <w:p w14:paraId="6313BF0B" w14:textId="2170561A" w:rsidR="007F5256" w:rsidRPr="00CB5F3F" w:rsidRDefault="00870406" w:rsidP="00154403">
      <w:pPr>
        <w:rPr>
          <w:rFonts w:eastAsia="Calibri"/>
          <w:color w:val="auto"/>
          <w:lang w:eastAsia="en-US"/>
        </w:rPr>
      </w:pPr>
      <w:r>
        <w:rPr>
          <w:rFonts w:eastAsiaTheme="minorHAnsi"/>
          <w:color w:val="auto"/>
        </w:rPr>
        <w:t xml:space="preserve">The Assessment Team did not assess all requirements of this Standard and therefore an overall compliance rating for the Quality Standard is not provided. </w:t>
      </w:r>
    </w:p>
    <w:p w14:paraId="6313BF0C" w14:textId="44ABA55D" w:rsidR="00301877" w:rsidRDefault="00CB5F3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13BF22" w14:textId="2AF83886" w:rsidR="00853601" w:rsidRPr="00D435F8" w:rsidRDefault="00CB5F3F" w:rsidP="00853601">
      <w:pPr>
        <w:pStyle w:val="Heading3"/>
      </w:pPr>
      <w:r w:rsidRPr="00D435F8">
        <w:t>Requirement 3(3)(g)</w:t>
      </w:r>
      <w:r>
        <w:tab/>
        <w:t>Compliant</w:t>
      </w:r>
    </w:p>
    <w:p w14:paraId="6313BF23" w14:textId="77777777" w:rsidR="00853601" w:rsidRPr="001F433A" w:rsidRDefault="00CB5F3F" w:rsidP="00853601">
      <w:pPr>
        <w:tabs>
          <w:tab w:val="right" w:pos="9026"/>
        </w:tabs>
        <w:spacing w:before="0" w:after="0"/>
        <w:outlineLvl w:val="4"/>
        <w:rPr>
          <w:i/>
          <w:szCs w:val="22"/>
        </w:rPr>
      </w:pPr>
      <w:r w:rsidRPr="001F433A">
        <w:rPr>
          <w:i/>
          <w:szCs w:val="22"/>
        </w:rPr>
        <w:t>Minimisation of infection related risks through implementing:</w:t>
      </w:r>
    </w:p>
    <w:p w14:paraId="6313BF24" w14:textId="77777777" w:rsidR="00853601" w:rsidRPr="001F433A" w:rsidRDefault="00CB5F3F" w:rsidP="00097709">
      <w:pPr>
        <w:numPr>
          <w:ilvl w:val="0"/>
          <w:numId w:val="6"/>
        </w:numPr>
        <w:tabs>
          <w:tab w:val="right" w:pos="9026"/>
        </w:tabs>
        <w:spacing w:before="0" w:after="0"/>
        <w:ind w:left="567" w:hanging="425"/>
        <w:outlineLvl w:val="4"/>
        <w:rPr>
          <w:i/>
        </w:rPr>
      </w:pPr>
      <w:r w:rsidRPr="001F433A">
        <w:rPr>
          <w:i/>
        </w:rPr>
        <w:t>standard and transmission based precautions to prevent and control infection; and</w:t>
      </w:r>
    </w:p>
    <w:p w14:paraId="6313BF25" w14:textId="77777777" w:rsidR="00853601" w:rsidRPr="001F433A" w:rsidRDefault="00CB5F3F" w:rsidP="00097709">
      <w:pPr>
        <w:numPr>
          <w:ilvl w:val="0"/>
          <w:numId w:val="6"/>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82954E8" w14:textId="5CFDED8F" w:rsidR="00A52A98" w:rsidRPr="005D2FDD" w:rsidRDefault="00A52A98" w:rsidP="00960D0F">
      <w:pPr>
        <w:pStyle w:val="ListBullet"/>
        <w:numPr>
          <w:ilvl w:val="0"/>
          <w:numId w:val="0"/>
        </w:numPr>
        <w:rPr>
          <w:color w:val="000000" w:themeColor="text1"/>
        </w:rPr>
      </w:pPr>
      <w:r w:rsidRPr="005D2FDD">
        <w:rPr>
          <w:color w:val="000000" w:themeColor="text1"/>
        </w:rPr>
        <w:t xml:space="preserve">Management said and </w:t>
      </w:r>
      <w:r w:rsidR="00C0438C">
        <w:rPr>
          <w:color w:val="000000" w:themeColor="text1"/>
        </w:rPr>
        <w:t xml:space="preserve">a </w:t>
      </w:r>
      <w:r w:rsidRPr="005D2FDD">
        <w:rPr>
          <w:color w:val="000000" w:themeColor="text1"/>
        </w:rPr>
        <w:t>review of documentation confirmed the service has an Infection control policy and ha</w:t>
      </w:r>
      <w:r w:rsidR="00C0438C">
        <w:rPr>
          <w:color w:val="000000" w:themeColor="text1"/>
        </w:rPr>
        <w:t>s</w:t>
      </w:r>
      <w:r w:rsidRPr="005D2FDD">
        <w:rPr>
          <w:color w:val="000000" w:themeColor="text1"/>
        </w:rPr>
        <w:t xml:space="preserve"> prepared a </w:t>
      </w:r>
      <w:r w:rsidR="00C0438C">
        <w:t xml:space="preserve">Covid-19 </w:t>
      </w:r>
      <w:r w:rsidRPr="005D2FDD">
        <w:rPr>
          <w:color w:val="000000" w:themeColor="text1"/>
        </w:rPr>
        <w:t xml:space="preserve">outbreak management plan. Review of the plan identified infection control training and guidance for all aspects of care and service delivery. </w:t>
      </w:r>
    </w:p>
    <w:p w14:paraId="6E49D2BD" w14:textId="06A903DC" w:rsidR="00A52A98" w:rsidRPr="005D2FDD" w:rsidRDefault="00A52A98" w:rsidP="00960D0F">
      <w:pPr>
        <w:pStyle w:val="ListBullet"/>
        <w:numPr>
          <w:ilvl w:val="0"/>
          <w:numId w:val="0"/>
        </w:numPr>
        <w:rPr>
          <w:color w:val="000000" w:themeColor="text1"/>
        </w:rPr>
      </w:pPr>
      <w:r w:rsidRPr="005D2FDD">
        <w:rPr>
          <w:color w:val="000000" w:themeColor="text1"/>
        </w:rPr>
        <w:t xml:space="preserve">Care staff confirmed </w:t>
      </w:r>
      <w:r w:rsidR="00E1539C">
        <w:rPr>
          <w:color w:val="000000" w:themeColor="text1"/>
        </w:rPr>
        <w:t>their responsibility to</w:t>
      </w:r>
      <w:r w:rsidRPr="005D2FDD">
        <w:rPr>
          <w:color w:val="000000" w:themeColor="text1"/>
        </w:rPr>
        <w:t xml:space="preserve"> notify the service if they had any flu like symptoms and </w:t>
      </w:r>
      <w:r w:rsidR="00C0438C">
        <w:rPr>
          <w:color w:val="000000" w:themeColor="text1"/>
        </w:rPr>
        <w:t xml:space="preserve">to not </w:t>
      </w:r>
      <w:r w:rsidRPr="005D2FDD">
        <w:rPr>
          <w:color w:val="000000" w:themeColor="text1"/>
        </w:rPr>
        <w:t>deliver care until they had undergone C</w:t>
      </w:r>
      <w:r w:rsidR="00C0438C">
        <w:rPr>
          <w:color w:val="000000" w:themeColor="text1"/>
        </w:rPr>
        <w:t>ovid-19</w:t>
      </w:r>
      <w:r w:rsidRPr="005D2FDD">
        <w:rPr>
          <w:color w:val="000000" w:themeColor="text1"/>
        </w:rPr>
        <w:t xml:space="preserve"> testing.  </w:t>
      </w:r>
    </w:p>
    <w:p w14:paraId="2126821E" w14:textId="4D28BA70" w:rsidR="00A52A98" w:rsidRPr="005D2FDD" w:rsidRDefault="00A52A98" w:rsidP="00960D0F">
      <w:pPr>
        <w:pStyle w:val="ListBullet"/>
        <w:numPr>
          <w:ilvl w:val="0"/>
          <w:numId w:val="0"/>
        </w:numPr>
        <w:rPr>
          <w:color w:val="000000" w:themeColor="text1"/>
        </w:rPr>
      </w:pPr>
      <w:r w:rsidRPr="005D2FDD">
        <w:rPr>
          <w:color w:val="000000" w:themeColor="text1"/>
        </w:rPr>
        <w:t>Consumers</w:t>
      </w:r>
      <w:r w:rsidR="00C0438C">
        <w:rPr>
          <w:color w:val="000000" w:themeColor="text1"/>
        </w:rPr>
        <w:t xml:space="preserve"> and </w:t>
      </w:r>
      <w:r w:rsidRPr="005D2FDD">
        <w:rPr>
          <w:color w:val="000000" w:themeColor="text1"/>
        </w:rPr>
        <w:t xml:space="preserve">representatives confirmed staff practice hand hygiene and wear </w:t>
      </w:r>
      <w:r w:rsidR="00C0438C">
        <w:rPr>
          <w:color w:val="000000" w:themeColor="text1"/>
        </w:rPr>
        <w:t>Personal Protective Equipment</w:t>
      </w:r>
      <w:r w:rsidRPr="005D2FDD">
        <w:rPr>
          <w:color w:val="000000" w:themeColor="text1"/>
        </w:rPr>
        <w:t xml:space="preserve"> when delivering care. </w:t>
      </w:r>
    </w:p>
    <w:p w14:paraId="5D5A6A46" w14:textId="5048CE0B" w:rsidR="00A52A98" w:rsidRPr="005D2FDD" w:rsidRDefault="00A52A98" w:rsidP="00960D0F">
      <w:pPr>
        <w:contextualSpacing/>
        <w:rPr>
          <w:rFonts w:eastAsia="Fira Sans Light"/>
          <w:iCs/>
          <w:color w:val="auto"/>
        </w:rPr>
      </w:pPr>
      <w:r>
        <w:rPr>
          <w:color w:val="auto"/>
        </w:rPr>
        <w:lastRenderedPageBreak/>
        <w:t>Hand sanitiser</w:t>
      </w:r>
      <w:r w:rsidR="00C0438C">
        <w:rPr>
          <w:color w:val="auto"/>
        </w:rPr>
        <w:t>s were</w:t>
      </w:r>
      <w:r>
        <w:rPr>
          <w:color w:val="auto"/>
        </w:rPr>
        <w:t xml:space="preserve"> available at the</w:t>
      </w:r>
      <w:r w:rsidR="00C0438C">
        <w:rPr>
          <w:color w:val="auto"/>
        </w:rPr>
        <w:t xml:space="preserve"> service</w:t>
      </w:r>
      <w:r>
        <w:rPr>
          <w:color w:val="auto"/>
        </w:rPr>
        <w:t>. C</w:t>
      </w:r>
      <w:r w:rsidR="00C0438C">
        <w:rPr>
          <w:color w:val="auto"/>
        </w:rPr>
        <w:t>ovid-19</w:t>
      </w:r>
      <w:r>
        <w:rPr>
          <w:color w:val="auto"/>
        </w:rPr>
        <w:t xml:space="preserve"> </w:t>
      </w:r>
      <w:r w:rsidR="00C0438C">
        <w:rPr>
          <w:color w:val="auto"/>
        </w:rPr>
        <w:t>was</w:t>
      </w:r>
      <w:r>
        <w:rPr>
          <w:color w:val="auto"/>
        </w:rPr>
        <w:t xml:space="preserve"> displayed throughout the service. </w:t>
      </w:r>
    </w:p>
    <w:p w14:paraId="70ABF42A" w14:textId="148F6D61" w:rsidR="00A52A98" w:rsidRPr="00414F4C" w:rsidRDefault="00A52A98" w:rsidP="00960D0F">
      <w:pPr>
        <w:pStyle w:val="ListBullet"/>
        <w:numPr>
          <w:ilvl w:val="0"/>
          <w:numId w:val="0"/>
        </w:numPr>
      </w:pPr>
      <w:r w:rsidRPr="00414F4C">
        <w:t xml:space="preserve">Staff could describe how infection related risks </w:t>
      </w:r>
      <w:r w:rsidR="00C0438C">
        <w:t>we</w:t>
      </w:r>
      <w:r w:rsidRPr="00414F4C">
        <w:t xml:space="preserve">re minimised, including practices to reduce the spread of </w:t>
      </w:r>
      <w:r w:rsidR="00C0438C">
        <w:t>Covid-19</w:t>
      </w:r>
      <w:r w:rsidRPr="00414F4C">
        <w:t xml:space="preserve">. </w:t>
      </w:r>
    </w:p>
    <w:p w14:paraId="446393DF" w14:textId="5CE44079" w:rsidR="00A52A98" w:rsidRDefault="00C0438C" w:rsidP="00960D0F">
      <w:pPr>
        <w:pStyle w:val="ListBullet"/>
        <w:numPr>
          <w:ilvl w:val="0"/>
          <w:numId w:val="0"/>
        </w:numPr>
      </w:pPr>
      <w:r>
        <w:t xml:space="preserve">The service stated that </w:t>
      </w:r>
      <w:r w:rsidR="00A52A98" w:rsidRPr="00414F4C">
        <w:t>staff induction and training include</w:t>
      </w:r>
      <w:r>
        <w:t>d</w:t>
      </w:r>
      <w:r w:rsidR="00A52A98" w:rsidRPr="00414F4C">
        <w:t xml:space="preserve"> infection control training and all staff have attended the training. </w:t>
      </w:r>
      <w:r w:rsidR="00A52A98">
        <w:t xml:space="preserve">A review of training records confirmed that staff had received infection control training. </w:t>
      </w:r>
    </w:p>
    <w:p w14:paraId="3B2CBA9D" w14:textId="2FD69CE6" w:rsidR="00A52A98" w:rsidRPr="00EF7F8F" w:rsidRDefault="00A52A98" w:rsidP="00960D0F">
      <w:pPr>
        <w:pStyle w:val="ListBullet"/>
        <w:numPr>
          <w:ilvl w:val="0"/>
          <w:numId w:val="0"/>
        </w:numPr>
      </w:pPr>
      <w:r w:rsidRPr="00EF7F8F">
        <w:t xml:space="preserve">The service has a medication policy </w:t>
      </w:r>
      <w:r w:rsidR="00C0438C">
        <w:t xml:space="preserve">that included </w:t>
      </w:r>
      <w:r w:rsidRPr="00EF7F8F">
        <w:t xml:space="preserve">minimising the use of antibiotics. </w:t>
      </w:r>
    </w:p>
    <w:p w14:paraId="3DFFE264" w14:textId="77777777" w:rsidR="00A52A98" w:rsidRPr="009E0E57" w:rsidRDefault="00A52A98" w:rsidP="00A52A98">
      <w:pPr>
        <w:rPr>
          <w:rFonts w:cs="Times New Roman"/>
          <w:b/>
          <w:color w:val="auto"/>
          <w:sz w:val="28"/>
          <w:szCs w:val="28"/>
        </w:rPr>
      </w:pPr>
    </w:p>
    <w:p w14:paraId="6313BF28" w14:textId="77777777" w:rsidR="00853601" w:rsidRDefault="009B08BC"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6313BFB7" w14:textId="77777777" w:rsidR="00095CD4" w:rsidRDefault="009B08BC"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6313BFB8" w14:textId="77777777" w:rsidR="00A93E3F" w:rsidRDefault="00CB5F3F" w:rsidP="00095CD4">
      <w:pPr>
        <w:pStyle w:val="Heading1"/>
      </w:pPr>
      <w:r>
        <w:lastRenderedPageBreak/>
        <w:t>Areas for improvement</w:t>
      </w:r>
    </w:p>
    <w:p w14:paraId="6313BFBC" w14:textId="77777777" w:rsidR="004B33E7" w:rsidRPr="00E830C7" w:rsidRDefault="00CB5F3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13BFBD" w14:textId="06193D03" w:rsidR="00095CD4" w:rsidRDefault="00C0438C" w:rsidP="00097709">
      <w:pPr>
        <w:pStyle w:val="ListParagraph"/>
        <w:numPr>
          <w:ilvl w:val="0"/>
          <w:numId w:val="7"/>
        </w:numPr>
        <w:rPr>
          <w:color w:val="auto"/>
        </w:rPr>
      </w:pPr>
      <w:r w:rsidRPr="00C0438C">
        <w:rPr>
          <w:color w:val="auto"/>
        </w:rPr>
        <w:t xml:space="preserve">Requirement 2(3)(a) – The service ensures </w:t>
      </w:r>
      <w:r>
        <w:rPr>
          <w:color w:val="auto"/>
        </w:rPr>
        <w:t>a</w:t>
      </w:r>
      <w:r w:rsidRPr="00C0438C">
        <w:rPr>
          <w:color w:val="auto"/>
        </w:rPr>
        <w:t>ssessment and planning, including consideration of risks to the consumer’s health and well-being, informs the delivery of safe and effective care and services.</w:t>
      </w:r>
    </w:p>
    <w:p w14:paraId="038D4C78" w14:textId="77777777" w:rsidR="00C0438C" w:rsidRPr="00C0438C" w:rsidRDefault="00C0438C" w:rsidP="00C0438C">
      <w:pPr>
        <w:pStyle w:val="ListParagraph"/>
        <w:numPr>
          <w:ilvl w:val="0"/>
          <w:numId w:val="0"/>
        </w:numPr>
        <w:ind w:left="720"/>
        <w:rPr>
          <w:color w:val="auto"/>
        </w:rPr>
      </w:pPr>
    </w:p>
    <w:p w14:paraId="6558ED23" w14:textId="5144C0E6" w:rsidR="00C0438C" w:rsidRDefault="00C0438C" w:rsidP="00097709">
      <w:pPr>
        <w:pStyle w:val="ListParagraph"/>
        <w:numPr>
          <w:ilvl w:val="0"/>
          <w:numId w:val="7"/>
        </w:numPr>
        <w:rPr>
          <w:color w:val="auto"/>
        </w:rPr>
      </w:pPr>
      <w:r w:rsidRPr="00C0438C">
        <w:rPr>
          <w:color w:val="auto"/>
        </w:rPr>
        <w:t xml:space="preserve">Requirement 2(3)(b) – The service ensures </w:t>
      </w:r>
      <w:r>
        <w:rPr>
          <w:color w:val="auto"/>
        </w:rPr>
        <w:t>a</w:t>
      </w:r>
      <w:r w:rsidRPr="00C0438C">
        <w:rPr>
          <w:color w:val="auto"/>
        </w:rPr>
        <w:t>ssessment and planning identifies and addresses the consumer’s current needs, goals and preferences, including advance care planning and end of life planning if the consumer wishes.</w:t>
      </w:r>
    </w:p>
    <w:p w14:paraId="534FB6CB" w14:textId="77777777" w:rsidR="00C0438C" w:rsidRPr="00C0438C" w:rsidRDefault="00C0438C" w:rsidP="00C0438C">
      <w:pPr>
        <w:pStyle w:val="ListParagraph"/>
        <w:numPr>
          <w:ilvl w:val="0"/>
          <w:numId w:val="0"/>
        </w:numPr>
        <w:ind w:left="1440"/>
        <w:rPr>
          <w:color w:val="auto"/>
        </w:rPr>
      </w:pPr>
    </w:p>
    <w:p w14:paraId="1F8E4E8E" w14:textId="72E07CDB" w:rsidR="00C0438C" w:rsidRDefault="00C0438C" w:rsidP="00097709">
      <w:pPr>
        <w:pStyle w:val="ListParagraph"/>
        <w:numPr>
          <w:ilvl w:val="0"/>
          <w:numId w:val="7"/>
        </w:numPr>
        <w:rPr>
          <w:color w:val="auto"/>
        </w:rPr>
      </w:pPr>
      <w:r w:rsidRPr="00C0438C">
        <w:rPr>
          <w:color w:val="auto"/>
        </w:rPr>
        <w:t>Requirement 2(3)(d) – The service ensures the outcomes of assessment and planning are effectively communicated to the consumer and documented in a care and services plan that is readily available to the consumer, and where care and services are provided.</w:t>
      </w:r>
    </w:p>
    <w:p w14:paraId="2922C02A" w14:textId="77777777" w:rsidR="00C0438C" w:rsidRPr="00C0438C" w:rsidRDefault="00C0438C" w:rsidP="00C0438C">
      <w:pPr>
        <w:pStyle w:val="ListParagraph"/>
        <w:numPr>
          <w:ilvl w:val="0"/>
          <w:numId w:val="0"/>
        </w:numPr>
        <w:ind w:left="1440"/>
        <w:rPr>
          <w:color w:val="auto"/>
        </w:rPr>
      </w:pPr>
    </w:p>
    <w:p w14:paraId="31686B36" w14:textId="53A54F00" w:rsidR="00C0438C" w:rsidRPr="00C0438C" w:rsidRDefault="00C0438C" w:rsidP="00097709">
      <w:pPr>
        <w:pStyle w:val="ListParagraph"/>
        <w:numPr>
          <w:ilvl w:val="0"/>
          <w:numId w:val="7"/>
        </w:numPr>
        <w:rPr>
          <w:color w:val="auto"/>
        </w:rPr>
      </w:pPr>
      <w:r w:rsidRPr="00C0438C">
        <w:rPr>
          <w:color w:val="auto"/>
        </w:rPr>
        <w:t xml:space="preserve">Requirement 2(3)(e) – The service ensures </w:t>
      </w:r>
      <w:r>
        <w:rPr>
          <w:color w:val="auto"/>
        </w:rPr>
        <w:t>c</w:t>
      </w:r>
      <w:r w:rsidRPr="00C0438C">
        <w:rPr>
          <w:color w:val="auto"/>
        </w:rPr>
        <w:t>are and services are reviewed regularly for effectiveness, and when circumstances change or when incidents impact on the needs, goals or preferences of the consumer.</w:t>
      </w:r>
    </w:p>
    <w:p w14:paraId="0285E2C2" w14:textId="77777777" w:rsidR="00C0438C" w:rsidRPr="00A3716D" w:rsidRDefault="00C0438C" w:rsidP="00C0438C">
      <w:pPr>
        <w:pStyle w:val="ListBullet"/>
        <w:numPr>
          <w:ilvl w:val="0"/>
          <w:numId w:val="0"/>
        </w:numPr>
        <w:ind w:left="425" w:hanging="425"/>
      </w:pPr>
    </w:p>
    <w:sectPr w:rsidR="00C0438C" w:rsidRPr="00A3716D"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3BFFF" w14:textId="77777777" w:rsidR="00596D94" w:rsidRDefault="00CB5F3F">
      <w:pPr>
        <w:spacing w:before="0" w:after="0" w:line="240" w:lineRule="auto"/>
      </w:pPr>
      <w:r>
        <w:separator/>
      </w:r>
    </w:p>
  </w:endnote>
  <w:endnote w:type="continuationSeparator" w:id="0">
    <w:p w14:paraId="6313C001" w14:textId="77777777" w:rsidR="00596D94" w:rsidRDefault="00CB5F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D6" w14:textId="77777777" w:rsidR="00506F7F" w:rsidRPr="009A1F1B" w:rsidRDefault="00CB5F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13BFD7" w14:textId="77777777" w:rsidR="00506F7F" w:rsidRPr="00C72FFB" w:rsidRDefault="00CB5F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Diversicare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313BFD8" w14:textId="77777777" w:rsidR="00506F7F" w:rsidRPr="00C72FFB" w:rsidRDefault="00CB5F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D9" w14:textId="77777777" w:rsidR="00506F7F" w:rsidRPr="009A1F1B" w:rsidRDefault="00CB5F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13BFDA" w14:textId="77777777" w:rsidR="00506F7F" w:rsidRPr="00C72FFB" w:rsidRDefault="00CB5F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Diversicare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13BFDB" w14:textId="77777777" w:rsidR="00506F7F" w:rsidRPr="00A3716D" w:rsidRDefault="00CB5F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DD" w14:textId="77777777" w:rsidR="00165658" w:rsidRPr="009A1F1B" w:rsidRDefault="00CB5F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13BFDE" w14:textId="77777777" w:rsidR="00165658" w:rsidRPr="00C72FFB" w:rsidRDefault="00CB5F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Diversicare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13BFDF" w14:textId="77777777" w:rsidR="00165658" w:rsidRPr="00A3716D" w:rsidRDefault="00CB5F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3BFFB" w14:textId="77777777" w:rsidR="00596D94" w:rsidRDefault="00CB5F3F">
      <w:pPr>
        <w:spacing w:before="0" w:after="0" w:line="240" w:lineRule="auto"/>
      </w:pPr>
      <w:r>
        <w:separator/>
      </w:r>
    </w:p>
  </w:footnote>
  <w:footnote w:type="continuationSeparator" w:id="0">
    <w:p w14:paraId="6313BFFD" w14:textId="77777777" w:rsidR="00596D94" w:rsidRDefault="00CB5F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D5" w14:textId="77777777" w:rsidR="00506F7F" w:rsidRDefault="00CB5F3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13BFFB" wp14:editId="6313BF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07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9" w14:textId="04319EAC" w:rsidR="004C408F" w:rsidRPr="00703E80" w:rsidRDefault="00CB5F3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313C011" wp14:editId="6313C012">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232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7040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F8" w14:textId="77777777" w:rsidR="00FF06ED" w:rsidRPr="00703E80" w:rsidRDefault="00CB5F3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313C02F" wp14:editId="6313C03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19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F9" w14:textId="77777777" w:rsidR="00FB1D63" w:rsidRPr="00FB1D63" w:rsidRDefault="00CB5F3F" w:rsidP="00FB1D63">
    <w:pPr>
      <w:pStyle w:val="Header"/>
    </w:pPr>
    <w:r>
      <w:rPr>
        <w:noProof/>
        <w:color w:val="auto"/>
        <w:sz w:val="20"/>
      </w:rPr>
      <w:drawing>
        <wp:anchor distT="0" distB="0" distL="114300" distR="114300" simplePos="0" relativeHeight="251670528" behindDoc="1" locked="0" layoutInCell="1" allowOverlap="1" wp14:anchorId="6313C031" wp14:editId="6313C03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93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FA" w14:textId="77777777" w:rsidR="00506F7F" w:rsidRDefault="00CB5F3F" w:rsidP="009C6F30">
    <w:pPr>
      <w:tabs>
        <w:tab w:val="left" w:pos="3624"/>
      </w:tabs>
    </w:pPr>
    <w:r>
      <w:rPr>
        <w:noProof/>
        <w:color w:val="auto"/>
        <w:sz w:val="20"/>
      </w:rPr>
      <w:drawing>
        <wp:anchor distT="0" distB="0" distL="114300" distR="114300" simplePos="0" relativeHeight="251668480" behindDoc="1" locked="0" layoutInCell="1" allowOverlap="1" wp14:anchorId="6313C033" wp14:editId="6313C03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31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DC" w14:textId="77777777" w:rsidR="00506F7F" w:rsidRDefault="00CB5F3F">
    <w:pPr>
      <w:pStyle w:val="Header"/>
    </w:pPr>
    <w:r w:rsidRPr="003C6EC2">
      <w:rPr>
        <w:rFonts w:eastAsia="Calibri"/>
        <w:noProof/>
      </w:rPr>
      <w:drawing>
        <wp:anchor distT="0" distB="0" distL="114300" distR="114300" simplePos="0" relativeHeight="251669504" behindDoc="1" locked="0" layoutInCell="1" allowOverlap="1" wp14:anchorId="6313BFFD" wp14:editId="6313BFFE">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09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0" w14:textId="77777777" w:rsidR="00506F7F" w:rsidRDefault="00CB5F3F" w:rsidP="0004322A">
    <w:r>
      <w:rPr>
        <w:noProof/>
        <w:color w:val="auto"/>
        <w:sz w:val="20"/>
      </w:rPr>
      <w:drawing>
        <wp:anchor distT="0" distB="0" distL="114300" distR="114300" simplePos="0" relativeHeight="251660288" behindDoc="1" locked="0" layoutInCell="1" allowOverlap="1" wp14:anchorId="6313BFFF" wp14:editId="6313C00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7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3" w14:textId="77777777" w:rsidR="00C26A15" w:rsidRPr="00703E80" w:rsidRDefault="00CB5F3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13C005" wp14:editId="6313C006">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30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4" w14:textId="77777777" w:rsidR="00506F7F" w:rsidRPr="00F05744" w:rsidRDefault="00CB5F3F" w:rsidP="00F05744">
    <w:pPr>
      <w:pStyle w:val="Header"/>
    </w:pPr>
    <w:r>
      <w:rPr>
        <w:noProof/>
        <w:color w:val="auto"/>
        <w:sz w:val="20"/>
      </w:rPr>
      <w:drawing>
        <wp:anchor distT="0" distB="0" distL="114300" distR="114300" simplePos="0" relativeHeight="251674624" behindDoc="1" locked="0" layoutInCell="1" allowOverlap="1" wp14:anchorId="6313C007" wp14:editId="6313C008">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05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5" w14:textId="77777777" w:rsidR="00506F7F" w:rsidRDefault="00CB5F3F" w:rsidP="0004322A">
    <w:r>
      <w:rPr>
        <w:noProof/>
        <w:color w:val="auto"/>
        <w:sz w:val="20"/>
      </w:rPr>
      <w:drawing>
        <wp:anchor distT="0" distB="0" distL="114300" distR="114300" simplePos="0" relativeHeight="251661312" behindDoc="1" locked="0" layoutInCell="1" allowOverlap="1" wp14:anchorId="6313C009" wp14:editId="6313C0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00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6" w14:textId="25A850DB" w:rsidR="00362395" w:rsidRPr="00703E80" w:rsidRDefault="00CB5F3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313C00B" wp14:editId="6313C00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692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7" w14:textId="77777777" w:rsidR="00506F7F" w:rsidRPr="004C408F" w:rsidRDefault="00CB5F3F" w:rsidP="004C408F">
    <w:pPr>
      <w:pStyle w:val="Header"/>
    </w:pPr>
    <w:r>
      <w:rPr>
        <w:noProof/>
        <w:color w:val="auto"/>
        <w:sz w:val="20"/>
      </w:rPr>
      <w:drawing>
        <wp:anchor distT="0" distB="0" distL="114300" distR="114300" simplePos="0" relativeHeight="251676672" behindDoc="1" locked="0" layoutInCell="1" allowOverlap="1" wp14:anchorId="6313C00D" wp14:editId="6313C00E">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3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BFE8" w14:textId="77777777" w:rsidR="00506F7F" w:rsidRDefault="00CB5F3F" w:rsidP="0004322A">
    <w:r>
      <w:rPr>
        <w:noProof/>
        <w:color w:val="auto"/>
        <w:sz w:val="20"/>
      </w:rPr>
      <w:drawing>
        <wp:anchor distT="0" distB="0" distL="114300" distR="114300" simplePos="0" relativeHeight="251662336" behindDoc="1" locked="0" layoutInCell="1" allowOverlap="1" wp14:anchorId="6313C00F" wp14:editId="6313C01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68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5BE83DC0">
      <w:start w:val="1"/>
      <w:numFmt w:val="bullet"/>
      <w:pStyle w:val="ListParagraph"/>
      <w:lvlText w:val=""/>
      <w:lvlJc w:val="left"/>
      <w:pPr>
        <w:ind w:left="1440" w:hanging="360"/>
      </w:pPr>
      <w:rPr>
        <w:rFonts w:ascii="Symbol" w:hAnsi="Symbol" w:hint="default"/>
        <w:color w:val="auto"/>
      </w:rPr>
    </w:lvl>
    <w:lvl w:ilvl="1" w:tplc="3EBAE354" w:tentative="1">
      <w:start w:val="1"/>
      <w:numFmt w:val="bullet"/>
      <w:lvlText w:val="o"/>
      <w:lvlJc w:val="left"/>
      <w:pPr>
        <w:ind w:left="2160" w:hanging="360"/>
      </w:pPr>
      <w:rPr>
        <w:rFonts w:ascii="Courier New" w:hAnsi="Courier New" w:cs="Courier New" w:hint="default"/>
      </w:rPr>
    </w:lvl>
    <w:lvl w:ilvl="2" w:tplc="AD6EF6B8" w:tentative="1">
      <w:start w:val="1"/>
      <w:numFmt w:val="bullet"/>
      <w:lvlText w:val=""/>
      <w:lvlJc w:val="left"/>
      <w:pPr>
        <w:ind w:left="2880" w:hanging="360"/>
      </w:pPr>
      <w:rPr>
        <w:rFonts w:ascii="Wingdings" w:hAnsi="Wingdings" w:hint="default"/>
      </w:rPr>
    </w:lvl>
    <w:lvl w:ilvl="3" w:tplc="BB764B5E" w:tentative="1">
      <w:start w:val="1"/>
      <w:numFmt w:val="bullet"/>
      <w:lvlText w:val=""/>
      <w:lvlJc w:val="left"/>
      <w:pPr>
        <w:ind w:left="3600" w:hanging="360"/>
      </w:pPr>
      <w:rPr>
        <w:rFonts w:ascii="Symbol" w:hAnsi="Symbol" w:hint="default"/>
      </w:rPr>
    </w:lvl>
    <w:lvl w:ilvl="4" w:tplc="CEDED390" w:tentative="1">
      <w:start w:val="1"/>
      <w:numFmt w:val="bullet"/>
      <w:lvlText w:val="o"/>
      <w:lvlJc w:val="left"/>
      <w:pPr>
        <w:ind w:left="4320" w:hanging="360"/>
      </w:pPr>
      <w:rPr>
        <w:rFonts w:ascii="Courier New" w:hAnsi="Courier New" w:cs="Courier New" w:hint="default"/>
      </w:rPr>
    </w:lvl>
    <w:lvl w:ilvl="5" w:tplc="FBEE6A2E" w:tentative="1">
      <w:start w:val="1"/>
      <w:numFmt w:val="bullet"/>
      <w:lvlText w:val=""/>
      <w:lvlJc w:val="left"/>
      <w:pPr>
        <w:ind w:left="5040" w:hanging="360"/>
      </w:pPr>
      <w:rPr>
        <w:rFonts w:ascii="Wingdings" w:hAnsi="Wingdings" w:hint="default"/>
      </w:rPr>
    </w:lvl>
    <w:lvl w:ilvl="6" w:tplc="ED8A6E92" w:tentative="1">
      <w:start w:val="1"/>
      <w:numFmt w:val="bullet"/>
      <w:lvlText w:val=""/>
      <w:lvlJc w:val="left"/>
      <w:pPr>
        <w:ind w:left="5760" w:hanging="360"/>
      </w:pPr>
      <w:rPr>
        <w:rFonts w:ascii="Symbol" w:hAnsi="Symbol" w:hint="default"/>
      </w:rPr>
    </w:lvl>
    <w:lvl w:ilvl="7" w:tplc="74FC61CC" w:tentative="1">
      <w:start w:val="1"/>
      <w:numFmt w:val="bullet"/>
      <w:lvlText w:val="o"/>
      <w:lvlJc w:val="left"/>
      <w:pPr>
        <w:ind w:left="6480" w:hanging="360"/>
      </w:pPr>
      <w:rPr>
        <w:rFonts w:ascii="Courier New" w:hAnsi="Courier New" w:cs="Courier New" w:hint="default"/>
      </w:rPr>
    </w:lvl>
    <w:lvl w:ilvl="8" w:tplc="37146A96" w:tentative="1">
      <w:start w:val="1"/>
      <w:numFmt w:val="bullet"/>
      <w:lvlText w:val=""/>
      <w:lvlJc w:val="left"/>
      <w:pPr>
        <w:ind w:left="7200" w:hanging="360"/>
      </w:pPr>
      <w:rPr>
        <w:rFonts w:ascii="Wingdings" w:hAnsi="Wingdings" w:hint="default"/>
      </w:rPr>
    </w:lvl>
  </w:abstractNum>
  <w:abstractNum w:abstractNumId="1" w15:restartNumberingAfterBreak="0">
    <w:nsid w:val="35FD71F3"/>
    <w:multiLevelType w:val="hybridMultilevel"/>
    <w:tmpl w:val="6B200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22511A"/>
    <w:multiLevelType w:val="hybridMultilevel"/>
    <w:tmpl w:val="5504F770"/>
    <w:lvl w:ilvl="0" w:tplc="562E9330">
      <w:start w:val="1"/>
      <w:numFmt w:val="lowerRoman"/>
      <w:lvlText w:val="(%1)"/>
      <w:lvlJc w:val="left"/>
      <w:pPr>
        <w:ind w:left="1080" w:hanging="720"/>
      </w:pPr>
      <w:rPr>
        <w:rFonts w:hint="default"/>
      </w:rPr>
    </w:lvl>
    <w:lvl w:ilvl="1" w:tplc="2FCADE1E" w:tentative="1">
      <w:start w:val="1"/>
      <w:numFmt w:val="lowerLetter"/>
      <w:lvlText w:val="%2."/>
      <w:lvlJc w:val="left"/>
      <w:pPr>
        <w:ind w:left="1440" w:hanging="360"/>
      </w:pPr>
    </w:lvl>
    <w:lvl w:ilvl="2" w:tplc="CE96CEE2" w:tentative="1">
      <w:start w:val="1"/>
      <w:numFmt w:val="lowerRoman"/>
      <w:lvlText w:val="%3."/>
      <w:lvlJc w:val="right"/>
      <w:pPr>
        <w:ind w:left="2160" w:hanging="180"/>
      </w:pPr>
    </w:lvl>
    <w:lvl w:ilvl="3" w:tplc="5E289D5A" w:tentative="1">
      <w:start w:val="1"/>
      <w:numFmt w:val="decimal"/>
      <w:lvlText w:val="%4."/>
      <w:lvlJc w:val="left"/>
      <w:pPr>
        <w:ind w:left="2880" w:hanging="360"/>
      </w:pPr>
    </w:lvl>
    <w:lvl w:ilvl="4" w:tplc="09A07DD2" w:tentative="1">
      <w:start w:val="1"/>
      <w:numFmt w:val="lowerLetter"/>
      <w:lvlText w:val="%5."/>
      <w:lvlJc w:val="left"/>
      <w:pPr>
        <w:ind w:left="3600" w:hanging="360"/>
      </w:pPr>
    </w:lvl>
    <w:lvl w:ilvl="5" w:tplc="5EAC4262" w:tentative="1">
      <w:start w:val="1"/>
      <w:numFmt w:val="lowerRoman"/>
      <w:lvlText w:val="%6."/>
      <w:lvlJc w:val="right"/>
      <w:pPr>
        <w:ind w:left="4320" w:hanging="180"/>
      </w:pPr>
    </w:lvl>
    <w:lvl w:ilvl="6" w:tplc="093A5C54" w:tentative="1">
      <w:start w:val="1"/>
      <w:numFmt w:val="decimal"/>
      <w:lvlText w:val="%7."/>
      <w:lvlJc w:val="left"/>
      <w:pPr>
        <w:ind w:left="5040" w:hanging="360"/>
      </w:pPr>
    </w:lvl>
    <w:lvl w:ilvl="7" w:tplc="97B205CA" w:tentative="1">
      <w:start w:val="1"/>
      <w:numFmt w:val="lowerLetter"/>
      <w:lvlText w:val="%8."/>
      <w:lvlJc w:val="left"/>
      <w:pPr>
        <w:ind w:left="5760" w:hanging="360"/>
      </w:pPr>
    </w:lvl>
    <w:lvl w:ilvl="8" w:tplc="866075C0" w:tentative="1">
      <w:start w:val="1"/>
      <w:numFmt w:val="lowerRoman"/>
      <w:lvlText w:val="%9."/>
      <w:lvlJc w:val="right"/>
      <w:pPr>
        <w:ind w:left="6480" w:hanging="180"/>
      </w:pPr>
    </w:lvl>
  </w:abstractNum>
  <w:abstractNum w:abstractNumId="3" w15:restartNumberingAfterBreak="0">
    <w:nsid w:val="389A2A32"/>
    <w:multiLevelType w:val="hybridMultilevel"/>
    <w:tmpl w:val="2E142D86"/>
    <w:lvl w:ilvl="0" w:tplc="C7E8C7A8">
      <w:start w:val="1"/>
      <w:numFmt w:val="bullet"/>
      <w:pStyle w:val="ListBullet"/>
      <w:lvlText w:val=""/>
      <w:lvlJc w:val="left"/>
      <w:pPr>
        <w:ind w:left="720" w:hanging="360"/>
      </w:pPr>
      <w:rPr>
        <w:rFonts w:ascii="Symbol" w:hAnsi="Symbol" w:hint="default"/>
      </w:rPr>
    </w:lvl>
    <w:lvl w:ilvl="1" w:tplc="26F2687A">
      <w:start w:val="1"/>
      <w:numFmt w:val="bullet"/>
      <w:pStyle w:val="ListBullet2"/>
      <w:lvlText w:val="o"/>
      <w:lvlJc w:val="left"/>
      <w:pPr>
        <w:ind w:left="1440" w:hanging="360"/>
      </w:pPr>
      <w:rPr>
        <w:rFonts w:ascii="Courier New" w:hAnsi="Courier New" w:cs="Courier New" w:hint="default"/>
      </w:rPr>
    </w:lvl>
    <w:lvl w:ilvl="2" w:tplc="A3B4C6AE">
      <w:start w:val="1"/>
      <w:numFmt w:val="bullet"/>
      <w:lvlText w:val=""/>
      <w:lvlJc w:val="left"/>
      <w:pPr>
        <w:ind w:left="2160" w:hanging="360"/>
      </w:pPr>
      <w:rPr>
        <w:rFonts w:ascii="Wingdings" w:hAnsi="Wingdings" w:hint="default"/>
      </w:rPr>
    </w:lvl>
    <w:lvl w:ilvl="3" w:tplc="7F6CB17A">
      <w:start w:val="1"/>
      <w:numFmt w:val="bullet"/>
      <w:lvlText w:val=""/>
      <w:lvlJc w:val="left"/>
      <w:pPr>
        <w:ind w:left="2880" w:hanging="360"/>
      </w:pPr>
      <w:rPr>
        <w:rFonts w:ascii="Symbol" w:hAnsi="Symbol" w:hint="default"/>
      </w:rPr>
    </w:lvl>
    <w:lvl w:ilvl="4" w:tplc="34F2A2E0">
      <w:start w:val="1"/>
      <w:numFmt w:val="bullet"/>
      <w:lvlText w:val="o"/>
      <w:lvlJc w:val="left"/>
      <w:pPr>
        <w:ind w:left="3600" w:hanging="360"/>
      </w:pPr>
      <w:rPr>
        <w:rFonts w:ascii="Courier New" w:hAnsi="Courier New" w:cs="Courier New" w:hint="default"/>
      </w:rPr>
    </w:lvl>
    <w:lvl w:ilvl="5" w:tplc="0E6A6756">
      <w:start w:val="1"/>
      <w:numFmt w:val="bullet"/>
      <w:pStyle w:val="ListBullet3"/>
      <w:lvlText w:val=""/>
      <w:lvlJc w:val="left"/>
      <w:pPr>
        <w:ind w:left="4320" w:hanging="360"/>
      </w:pPr>
      <w:rPr>
        <w:rFonts w:ascii="Wingdings" w:hAnsi="Wingdings" w:hint="default"/>
      </w:rPr>
    </w:lvl>
    <w:lvl w:ilvl="6" w:tplc="DF183ADE">
      <w:start w:val="1"/>
      <w:numFmt w:val="bullet"/>
      <w:lvlText w:val=""/>
      <w:lvlJc w:val="left"/>
      <w:pPr>
        <w:ind w:left="5040" w:hanging="360"/>
      </w:pPr>
      <w:rPr>
        <w:rFonts w:ascii="Symbol" w:hAnsi="Symbol" w:hint="default"/>
      </w:rPr>
    </w:lvl>
    <w:lvl w:ilvl="7" w:tplc="D6A29864">
      <w:start w:val="1"/>
      <w:numFmt w:val="bullet"/>
      <w:lvlText w:val="o"/>
      <w:lvlJc w:val="left"/>
      <w:pPr>
        <w:ind w:left="5760" w:hanging="360"/>
      </w:pPr>
      <w:rPr>
        <w:rFonts w:ascii="Courier New" w:hAnsi="Courier New" w:cs="Courier New" w:hint="default"/>
      </w:rPr>
    </w:lvl>
    <w:lvl w:ilvl="8" w:tplc="CC18686E">
      <w:start w:val="1"/>
      <w:numFmt w:val="bullet"/>
      <w:lvlText w:val=""/>
      <w:lvlJc w:val="left"/>
      <w:pPr>
        <w:ind w:left="6480" w:hanging="360"/>
      </w:pPr>
      <w:rPr>
        <w:rFonts w:ascii="Wingdings" w:hAnsi="Wingdings" w:hint="default"/>
      </w:rPr>
    </w:lvl>
  </w:abstractNum>
  <w:abstractNum w:abstractNumId="4" w15:restartNumberingAfterBreak="0">
    <w:nsid w:val="58766F22"/>
    <w:multiLevelType w:val="hybridMultilevel"/>
    <w:tmpl w:val="E500E596"/>
    <w:lvl w:ilvl="0" w:tplc="B88C8050">
      <w:start w:val="1"/>
      <w:numFmt w:val="decimal"/>
      <w:lvlText w:val="%1."/>
      <w:lvlJc w:val="left"/>
      <w:pPr>
        <w:ind w:left="360" w:hanging="360"/>
      </w:pPr>
    </w:lvl>
    <w:lvl w:ilvl="1" w:tplc="1730E59E" w:tentative="1">
      <w:start w:val="1"/>
      <w:numFmt w:val="lowerLetter"/>
      <w:lvlText w:val="%2."/>
      <w:lvlJc w:val="left"/>
      <w:pPr>
        <w:ind w:left="1080" w:hanging="360"/>
      </w:pPr>
    </w:lvl>
    <w:lvl w:ilvl="2" w:tplc="6D28090C" w:tentative="1">
      <w:start w:val="1"/>
      <w:numFmt w:val="lowerRoman"/>
      <w:lvlText w:val="%3."/>
      <w:lvlJc w:val="right"/>
      <w:pPr>
        <w:ind w:left="1800" w:hanging="180"/>
      </w:pPr>
    </w:lvl>
    <w:lvl w:ilvl="3" w:tplc="7BC23080" w:tentative="1">
      <w:start w:val="1"/>
      <w:numFmt w:val="decimal"/>
      <w:lvlText w:val="%4."/>
      <w:lvlJc w:val="left"/>
      <w:pPr>
        <w:ind w:left="2520" w:hanging="360"/>
      </w:pPr>
    </w:lvl>
    <w:lvl w:ilvl="4" w:tplc="0610D54A" w:tentative="1">
      <w:start w:val="1"/>
      <w:numFmt w:val="lowerLetter"/>
      <w:lvlText w:val="%5."/>
      <w:lvlJc w:val="left"/>
      <w:pPr>
        <w:ind w:left="3240" w:hanging="360"/>
      </w:pPr>
    </w:lvl>
    <w:lvl w:ilvl="5" w:tplc="F7484E26" w:tentative="1">
      <w:start w:val="1"/>
      <w:numFmt w:val="lowerRoman"/>
      <w:lvlText w:val="%6."/>
      <w:lvlJc w:val="right"/>
      <w:pPr>
        <w:ind w:left="3960" w:hanging="180"/>
      </w:pPr>
    </w:lvl>
    <w:lvl w:ilvl="6" w:tplc="76503BBE" w:tentative="1">
      <w:start w:val="1"/>
      <w:numFmt w:val="decimal"/>
      <w:lvlText w:val="%7."/>
      <w:lvlJc w:val="left"/>
      <w:pPr>
        <w:ind w:left="4680" w:hanging="360"/>
      </w:pPr>
    </w:lvl>
    <w:lvl w:ilvl="7" w:tplc="4216DC52" w:tentative="1">
      <w:start w:val="1"/>
      <w:numFmt w:val="lowerLetter"/>
      <w:lvlText w:val="%8."/>
      <w:lvlJc w:val="left"/>
      <w:pPr>
        <w:ind w:left="5400" w:hanging="360"/>
      </w:pPr>
    </w:lvl>
    <w:lvl w:ilvl="8" w:tplc="B422EE2A" w:tentative="1">
      <w:start w:val="1"/>
      <w:numFmt w:val="lowerRoman"/>
      <w:lvlText w:val="%9."/>
      <w:lvlJc w:val="right"/>
      <w:pPr>
        <w:ind w:left="6120" w:hanging="180"/>
      </w:pPr>
    </w:lvl>
  </w:abstractNum>
  <w:abstractNum w:abstractNumId="5" w15:restartNumberingAfterBreak="0">
    <w:nsid w:val="6334201F"/>
    <w:multiLevelType w:val="hybridMultilevel"/>
    <w:tmpl w:val="5504F770"/>
    <w:lvl w:ilvl="0" w:tplc="F94C6BB2">
      <w:start w:val="1"/>
      <w:numFmt w:val="lowerRoman"/>
      <w:lvlText w:val="(%1)"/>
      <w:lvlJc w:val="left"/>
      <w:pPr>
        <w:ind w:left="1080" w:hanging="720"/>
      </w:pPr>
      <w:rPr>
        <w:rFonts w:hint="default"/>
      </w:rPr>
    </w:lvl>
    <w:lvl w:ilvl="1" w:tplc="294C9A86" w:tentative="1">
      <w:start w:val="1"/>
      <w:numFmt w:val="lowerLetter"/>
      <w:lvlText w:val="%2."/>
      <w:lvlJc w:val="left"/>
      <w:pPr>
        <w:ind w:left="1440" w:hanging="360"/>
      </w:pPr>
    </w:lvl>
    <w:lvl w:ilvl="2" w:tplc="90F45430" w:tentative="1">
      <w:start w:val="1"/>
      <w:numFmt w:val="lowerRoman"/>
      <w:lvlText w:val="%3."/>
      <w:lvlJc w:val="right"/>
      <w:pPr>
        <w:ind w:left="2160" w:hanging="180"/>
      </w:pPr>
    </w:lvl>
    <w:lvl w:ilvl="3" w:tplc="40767B38" w:tentative="1">
      <w:start w:val="1"/>
      <w:numFmt w:val="decimal"/>
      <w:lvlText w:val="%4."/>
      <w:lvlJc w:val="left"/>
      <w:pPr>
        <w:ind w:left="2880" w:hanging="360"/>
      </w:pPr>
    </w:lvl>
    <w:lvl w:ilvl="4" w:tplc="77BE2072" w:tentative="1">
      <w:start w:val="1"/>
      <w:numFmt w:val="lowerLetter"/>
      <w:lvlText w:val="%5."/>
      <w:lvlJc w:val="left"/>
      <w:pPr>
        <w:ind w:left="3600" w:hanging="360"/>
      </w:pPr>
    </w:lvl>
    <w:lvl w:ilvl="5" w:tplc="09A20BFA" w:tentative="1">
      <w:start w:val="1"/>
      <w:numFmt w:val="lowerRoman"/>
      <w:lvlText w:val="%6."/>
      <w:lvlJc w:val="right"/>
      <w:pPr>
        <w:ind w:left="4320" w:hanging="180"/>
      </w:pPr>
    </w:lvl>
    <w:lvl w:ilvl="6" w:tplc="BE008AC6" w:tentative="1">
      <w:start w:val="1"/>
      <w:numFmt w:val="decimal"/>
      <w:lvlText w:val="%7."/>
      <w:lvlJc w:val="left"/>
      <w:pPr>
        <w:ind w:left="5040" w:hanging="360"/>
      </w:pPr>
    </w:lvl>
    <w:lvl w:ilvl="7" w:tplc="351E4B36" w:tentative="1">
      <w:start w:val="1"/>
      <w:numFmt w:val="lowerLetter"/>
      <w:lvlText w:val="%8."/>
      <w:lvlJc w:val="left"/>
      <w:pPr>
        <w:ind w:left="5760" w:hanging="360"/>
      </w:pPr>
    </w:lvl>
    <w:lvl w:ilvl="8" w:tplc="C79646FA" w:tentative="1">
      <w:start w:val="1"/>
      <w:numFmt w:val="lowerRoman"/>
      <w:lvlText w:val="%9."/>
      <w:lvlJc w:val="right"/>
      <w:pPr>
        <w:ind w:left="6480" w:hanging="180"/>
      </w:pPr>
    </w:lvl>
  </w:abstractNum>
  <w:abstractNum w:abstractNumId="6" w15:restartNumberingAfterBreak="0">
    <w:nsid w:val="78164851"/>
    <w:multiLevelType w:val="hybridMultilevel"/>
    <w:tmpl w:val="2E607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CE5F25"/>
    <w:multiLevelType w:val="hybridMultilevel"/>
    <w:tmpl w:val="49A21BE0"/>
    <w:lvl w:ilvl="0" w:tplc="DE4244EA">
      <w:start w:val="1"/>
      <w:numFmt w:val="decimal"/>
      <w:lvlText w:val="%1."/>
      <w:lvlJc w:val="left"/>
      <w:pPr>
        <w:ind w:left="360" w:hanging="360"/>
      </w:pPr>
      <w:rPr>
        <w:rFonts w:hint="default"/>
      </w:rPr>
    </w:lvl>
    <w:lvl w:ilvl="1" w:tplc="469A004C" w:tentative="1">
      <w:start w:val="1"/>
      <w:numFmt w:val="lowerLetter"/>
      <w:lvlText w:val="%2."/>
      <w:lvlJc w:val="left"/>
      <w:pPr>
        <w:ind w:left="1080" w:hanging="360"/>
      </w:pPr>
    </w:lvl>
    <w:lvl w:ilvl="2" w:tplc="CF02052A" w:tentative="1">
      <w:start w:val="1"/>
      <w:numFmt w:val="lowerRoman"/>
      <w:lvlText w:val="%3."/>
      <w:lvlJc w:val="right"/>
      <w:pPr>
        <w:ind w:left="1800" w:hanging="180"/>
      </w:pPr>
    </w:lvl>
    <w:lvl w:ilvl="3" w:tplc="92A675F8" w:tentative="1">
      <w:start w:val="1"/>
      <w:numFmt w:val="decimal"/>
      <w:lvlText w:val="%4."/>
      <w:lvlJc w:val="left"/>
      <w:pPr>
        <w:ind w:left="2520" w:hanging="360"/>
      </w:pPr>
    </w:lvl>
    <w:lvl w:ilvl="4" w:tplc="2BCE0462" w:tentative="1">
      <w:start w:val="1"/>
      <w:numFmt w:val="lowerLetter"/>
      <w:lvlText w:val="%5."/>
      <w:lvlJc w:val="left"/>
      <w:pPr>
        <w:ind w:left="3240" w:hanging="360"/>
      </w:pPr>
    </w:lvl>
    <w:lvl w:ilvl="5" w:tplc="7A2451A0" w:tentative="1">
      <w:start w:val="1"/>
      <w:numFmt w:val="lowerRoman"/>
      <w:lvlText w:val="%6."/>
      <w:lvlJc w:val="right"/>
      <w:pPr>
        <w:ind w:left="3960" w:hanging="180"/>
      </w:pPr>
    </w:lvl>
    <w:lvl w:ilvl="6" w:tplc="CEC27BEA" w:tentative="1">
      <w:start w:val="1"/>
      <w:numFmt w:val="decimal"/>
      <w:lvlText w:val="%7."/>
      <w:lvlJc w:val="left"/>
      <w:pPr>
        <w:ind w:left="4680" w:hanging="360"/>
      </w:pPr>
    </w:lvl>
    <w:lvl w:ilvl="7" w:tplc="2C088FE0" w:tentative="1">
      <w:start w:val="1"/>
      <w:numFmt w:val="lowerLetter"/>
      <w:lvlText w:val="%8."/>
      <w:lvlJc w:val="left"/>
      <w:pPr>
        <w:ind w:left="5400" w:hanging="360"/>
      </w:pPr>
    </w:lvl>
    <w:lvl w:ilvl="8" w:tplc="E6E0C4EC"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6F"/>
    <w:rsid w:val="00097709"/>
    <w:rsid w:val="001C433F"/>
    <w:rsid w:val="00210EFF"/>
    <w:rsid w:val="00293F1B"/>
    <w:rsid w:val="002C0502"/>
    <w:rsid w:val="00351885"/>
    <w:rsid w:val="003D7185"/>
    <w:rsid w:val="004B08EB"/>
    <w:rsid w:val="004B4581"/>
    <w:rsid w:val="00546534"/>
    <w:rsid w:val="00596D94"/>
    <w:rsid w:val="00674244"/>
    <w:rsid w:val="00763D54"/>
    <w:rsid w:val="007810E4"/>
    <w:rsid w:val="00870406"/>
    <w:rsid w:val="00960D0F"/>
    <w:rsid w:val="00A52A98"/>
    <w:rsid w:val="00B8066F"/>
    <w:rsid w:val="00BA3DCF"/>
    <w:rsid w:val="00BE518A"/>
    <w:rsid w:val="00C0438C"/>
    <w:rsid w:val="00CB5F3F"/>
    <w:rsid w:val="00DA1929"/>
    <w:rsid w:val="00E15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BE15"/>
  <w15:docId w15:val="{71F8364A-7297-4077-9AF5-F5C29633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700105</RACS_x0020_ID>
    <Approved_x0020_Provider xmlns="a8338b6e-77a6-4851-82b6-98166143ffdd">The Ethnic Communities Council of Queensland Limited</Approved_x0020_Provider>
    <Management_x0020_Company_x0020_ID xmlns="a8338b6e-77a6-4851-82b6-98166143ffdd" xsi:nil="true"/>
    <Home xmlns="a8338b6e-77a6-4851-82b6-98166143ffdd">Diversicare</Home>
    <Signed xmlns="a8338b6e-77a6-4851-82b6-98166143ffdd" xsi:nil="true"/>
    <Uploaded xmlns="a8338b6e-77a6-4851-82b6-98166143ffdd">False</Uploaded>
    <Management_x0020_Company xmlns="a8338b6e-77a6-4851-82b6-98166143ffdd" xsi:nil="true"/>
    <Doc_x0020_Date xmlns="a8338b6e-77a6-4851-82b6-98166143ffdd">2020-09-17T02:00:00+00:00</Doc_x0020_Date>
    <CSI_x0020_ID xmlns="a8338b6e-77a6-4851-82b6-98166143ffdd" xsi:nil="true"/>
    <Case_x0020_ID xmlns="a8338b6e-77a6-4851-82b6-98166143ffdd" xsi:nil="true"/>
    <Approved_x0020_Provider_x0020_ID xmlns="a8338b6e-77a6-4851-82b6-98166143ffdd">80D2153F-77F4-DC11-AD41-005056922186</Approved_x0020_Provider_x0020_ID>
    <Location xmlns="a8338b6e-77a6-4851-82b6-98166143ffdd" xsi:nil="true"/>
    <Home_x0020_ID xmlns="a8338b6e-77a6-4851-82b6-98166143ffdd">107C5A59-0385-E411-B1AD-005056922186</Home_x0020_ID>
    <State xmlns="a8338b6e-77a6-4851-82b6-98166143ffdd">QLD</State>
    <Doc_x0020_Sent_Received_x0020_Date xmlns="a8338b6e-77a6-4851-82b6-98166143ffdd">2020-09-17T00:00:00+00:00</Doc_x0020_Sent_Received_x0020_Date>
    <Activity_x0020_ID xmlns="a8338b6e-77a6-4851-82b6-98166143ffdd">FBB2D2B5-A4B4-E811-BFE2-005056922186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BC94AB33-4384-456B-A1E2-77F9D1FA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AAEBF5-7BA3-4339-BC4D-2C7FC1FF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2020-10-22T01:42:00Z</dcterms:created>
  <dcterms:modified xsi:type="dcterms:W3CDTF">2020-10-22T01:42:00Z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