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1F22" w14:textId="77777777" w:rsidR="00EE47EF" w:rsidRPr="002C40B8" w:rsidRDefault="0046283E" w:rsidP="00C30BF2">
      <w:pPr>
        <w:tabs>
          <w:tab w:val="left" w:pos="5310"/>
        </w:tabs>
        <w:spacing w:before="600" w:after="720" w:line="240" w:lineRule="auto"/>
        <w:rPr>
          <w:rFonts w:ascii="Arial" w:eastAsiaTheme="minorEastAsia" w:hAnsi="Arial" w:cs="Arial"/>
          <w:color w:val="FFFFFF" w:themeColor="background1"/>
          <w:sz w:val="72"/>
          <w:szCs w:val="52"/>
        </w:rPr>
      </w:pPr>
      <w:r w:rsidRPr="00C350D7">
        <w:rPr>
          <w:noProof/>
          <w:sz w:val="72"/>
        </w:rPr>
        <w:drawing>
          <wp:anchor distT="0" distB="0" distL="114300" distR="114300" simplePos="0" relativeHeight="251659264" behindDoc="1" locked="0" layoutInCell="1" allowOverlap="1" wp14:anchorId="27E81AF9" wp14:editId="2B313616">
            <wp:simplePos x="0" y="0"/>
            <wp:positionH relativeFrom="page">
              <wp:align>right</wp:align>
            </wp:positionH>
            <wp:positionV relativeFrom="paragraph">
              <wp:posOffset>-966362</wp:posOffset>
            </wp:positionV>
            <wp:extent cx="7559675" cy="2150827"/>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675" cy="21508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05C" w:rsidRPr="004820D5">
        <w:rPr>
          <w:rFonts w:ascii="Arial" w:eastAsiaTheme="minorEastAsia" w:hAnsi="Arial" w:cs="Arial"/>
          <w:b/>
          <w:color w:val="FFFFFF" w:themeColor="background1"/>
          <w:sz w:val="72"/>
          <w:szCs w:val="52"/>
        </w:rPr>
        <w:t>R</w:t>
      </w:r>
      <w:r w:rsidR="00671756" w:rsidRPr="002C40B8">
        <w:rPr>
          <w:rFonts w:ascii="Arial" w:eastAsiaTheme="minorEastAsia" w:hAnsi="Arial" w:cs="Arial"/>
          <w:b/>
          <w:color w:val="FFFFFF" w:themeColor="background1"/>
          <w:sz w:val="72"/>
          <w:szCs w:val="52"/>
        </w:rPr>
        <w:t>egulatory Bulletin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39664F" w:rsidRPr="0039664F" w14:paraId="3B6B6295" w14:textId="77777777" w:rsidTr="002C11F7">
        <w:tc>
          <w:tcPr>
            <w:tcW w:w="2410" w:type="dxa"/>
            <w:tcBorders>
              <w:top w:val="single" w:sz="12" w:space="0" w:color="auto"/>
              <w:bottom w:val="single" w:sz="12" w:space="0" w:color="auto"/>
            </w:tcBorders>
          </w:tcPr>
          <w:p w14:paraId="4E4C35B7" w14:textId="77777777" w:rsidR="0039664F" w:rsidRPr="0039664F" w:rsidRDefault="0039664F" w:rsidP="0039664F">
            <w:pPr>
              <w:spacing w:before="120" w:after="120"/>
              <w:rPr>
                <w:rFonts w:cs="Arial"/>
                <w:b/>
                <w:sz w:val="28"/>
              </w:rPr>
            </w:pPr>
            <w:bookmarkStart w:id="0" w:name="_Hlk32323064"/>
            <w:r w:rsidRPr="0039664F">
              <w:rPr>
                <w:rFonts w:cs="Arial"/>
                <w:b/>
                <w:sz w:val="28"/>
              </w:rPr>
              <w:t>TITLE</w:t>
            </w:r>
          </w:p>
        </w:tc>
        <w:tc>
          <w:tcPr>
            <w:tcW w:w="6650" w:type="dxa"/>
            <w:tcBorders>
              <w:top w:val="single" w:sz="12" w:space="0" w:color="auto"/>
              <w:bottom w:val="single" w:sz="12" w:space="0" w:color="auto"/>
            </w:tcBorders>
          </w:tcPr>
          <w:p w14:paraId="5CB58991" w14:textId="77777777" w:rsidR="0039664F" w:rsidRPr="0039664F" w:rsidRDefault="001E2715" w:rsidP="0039664F">
            <w:pPr>
              <w:spacing w:before="120" w:after="120"/>
              <w:rPr>
                <w:rFonts w:cs="Arial"/>
                <w:b/>
                <w:sz w:val="28"/>
              </w:rPr>
            </w:pPr>
            <w:r>
              <w:rPr>
                <w:rFonts w:cs="Arial"/>
                <w:b/>
                <w:sz w:val="28"/>
              </w:rPr>
              <w:t>Exclusion of specific dates for unannounced visits</w:t>
            </w:r>
          </w:p>
        </w:tc>
      </w:tr>
      <w:tr w:rsidR="0039664F" w:rsidRPr="0039664F" w14:paraId="641303B6" w14:textId="77777777" w:rsidTr="002C11F7">
        <w:tc>
          <w:tcPr>
            <w:tcW w:w="2410" w:type="dxa"/>
            <w:tcBorders>
              <w:top w:val="single" w:sz="12" w:space="0" w:color="auto"/>
              <w:bottom w:val="single" w:sz="2" w:space="0" w:color="auto"/>
            </w:tcBorders>
          </w:tcPr>
          <w:p w14:paraId="21B1BEFB" w14:textId="77777777" w:rsidR="0039664F" w:rsidRPr="0038314C" w:rsidRDefault="0039664F" w:rsidP="0039664F">
            <w:pPr>
              <w:spacing w:before="120" w:after="120"/>
              <w:rPr>
                <w:rFonts w:cs="Arial"/>
                <w:sz w:val="24"/>
              </w:rPr>
            </w:pPr>
            <w:r w:rsidRPr="0038314C">
              <w:rPr>
                <w:rFonts w:cs="Arial"/>
                <w:sz w:val="24"/>
              </w:rPr>
              <w:t>Bulletin number</w:t>
            </w:r>
          </w:p>
        </w:tc>
        <w:tc>
          <w:tcPr>
            <w:tcW w:w="6650" w:type="dxa"/>
            <w:tcBorders>
              <w:top w:val="single" w:sz="12" w:space="0" w:color="auto"/>
              <w:bottom w:val="single" w:sz="2" w:space="0" w:color="auto"/>
            </w:tcBorders>
          </w:tcPr>
          <w:p w14:paraId="3AF85649" w14:textId="77777777" w:rsidR="0039664F" w:rsidRPr="0038314C" w:rsidRDefault="0038314C" w:rsidP="0039664F">
            <w:pPr>
              <w:spacing w:before="120" w:after="120"/>
              <w:rPr>
                <w:rFonts w:cs="Arial"/>
                <w:sz w:val="24"/>
              </w:rPr>
            </w:pPr>
            <w:bookmarkStart w:id="1" w:name="_Hlk33436882"/>
            <w:r w:rsidRPr="0038314C">
              <w:rPr>
                <w:rFonts w:cs="Arial"/>
                <w:sz w:val="24"/>
              </w:rPr>
              <w:t xml:space="preserve">RB </w:t>
            </w:r>
            <w:r w:rsidR="0039664F" w:rsidRPr="0038314C">
              <w:rPr>
                <w:rFonts w:cs="Arial"/>
                <w:sz w:val="24"/>
              </w:rPr>
              <w:t>2019-0</w:t>
            </w:r>
            <w:r w:rsidR="001E2715" w:rsidRPr="0038314C">
              <w:rPr>
                <w:rFonts w:cs="Arial"/>
                <w:sz w:val="24"/>
              </w:rPr>
              <w:t>3</w:t>
            </w:r>
            <w:bookmarkEnd w:id="1"/>
          </w:p>
        </w:tc>
      </w:tr>
      <w:tr w:rsidR="0039664F" w:rsidRPr="0039664F" w14:paraId="106CD8D4" w14:textId="77777777" w:rsidTr="002C11F7">
        <w:tc>
          <w:tcPr>
            <w:tcW w:w="2410" w:type="dxa"/>
            <w:tcBorders>
              <w:top w:val="single" w:sz="2" w:space="0" w:color="auto"/>
              <w:bottom w:val="single" w:sz="2" w:space="0" w:color="auto"/>
            </w:tcBorders>
          </w:tcPr>
          <w:p w14:paraId="48824B1D" w14:textId="77777777" w:rsidR="0039664F" w:rsidRPr="0038314C" w:rsidRDefault="0039664F" w:rsidP="0039664F">
            <w:pPr>
              <w:spacing w:before="120" w:after="120"/>
              <w:rPr>
                <w:rFonts w:cs="Arial"/>
                <w:sz w:val="24"/>
              </w:rPr>
            </w:pPr>
            <w:r w:rsidRPr="0038314C">
              <w:rPr>
                <w:rFonts w:cs="Arial"/>
                <w:sz w:val="24"/>
              </w:rPr>
              <w:t>Version number</w:t>
            </w:r>
          </w:p>
        </w:tc>
        <w:tc>
          <w:tcPr>
            <w:tcW w:w="6650" w:type="dxa"/>
            <w:tcBorders>
              <w:top w:val="single" w:sz="2" w:space="0" w:color="auto"/>
              <w:bottom w:val="single" w:sz="2" w:space="0" w:color="auto"/>
            </w:tcBorders>
          </w:tcPr>
          <w:p w14:paraId="498863E3" w14:textId="038007F2" w:rsidR="0039664F" w:rsidRPr="0038314C" w:rsidRDefault="002F2F77" w:rsidP="0039664F">
            <w:pPr>
              <w:spacing w:before="120" w:after="120"/>
              <w:rPr>
                <w:rFonts w:cs="Arial"/>
                <w:sz w:val="24"/>
              </w:rPr>
            </w:pPr>
            <w:r w:rsidRPr="0038314C">
              <w:rPr>
                <w:rFonts w:cs="Arial"/>
                <w:sz w:val="24"/>
              </w:rPr>
              <w:t>3.</w:t>
            </w:r>
            <w:r w:rsidR="00142939">
              <w:rPr>
                <w:rFonts w:cs="Arial"/>
                <w:sz w:val="24"/>
              </w:rPr>
              <w:t>1</w:t>
            </w:r>
          </w:p>
        </w:tc>
      </w:tr>
      <w:tr w:rsidR="0039664F" w:rsidRPr="0039664F" w14:paraId="413F0FA7" w14:textId="77777777" w:rsidTr="002C11F7">
        <w:tc>
          <w:tcPr>
            <w:tcW w:w="2410" w:type="dxa"/>
            <w:tcBorders>
              <w:top w:val="single" w:sz="2" w:space="0" w:color="auto"/>
              <w:bottom w:val="single" w:sz="2" w:space="0" w:color="auto"/>
            </w:tcBorders>
          </w:tcPr>
          <w:p w14:paraId="3AC6FCEE" w14:textId="77777777" w:rsidR="0039664F" w:rsidRPr="0038314C" w:rsidRDefault="0039664F" w:rsidP="0039664F">
            <w:pPr>
              <w:spacing w:before="120" w:after="120"/>
              <w:rPr>
                <w:rFonts w:cs="Arial"/>
                <w:sz w:val="24"/>
              </w:rPr>
            </w:pPr>
            <w:r w:rsidRPr="0038314C">
              <w:rPr>
                <w:rFonts w:cs="Arial"/>
                <w:sz w:val="24"/>
              </w:rPr>
              <w:t>Document number</w:t>
            </w:r>
          </w:p>
        </w:tc>
        <w:tc>
          <w:tcPr>
            <w:tcW w:w="6650" w:type="dxa"/>
            <w:tcBorders>
              <w:top w:val="single" w:sz="2" w:space="0" w:color="auto"/>
              <w:bottom w:val="single" w:sz="2" w:space="0" w:color="auto"/>
            </w:tcBorders>
          </w:tcPr>
          <w:p w14:paraId="7EE20DF9" w14:textId="77777777" w:rsidR="0039664F" w:rsidRPr="0038314C" w:rsidRDefault="0039664F" w:rsidP="0039664F">
            <w:pPr>
              <w:spacing w:before="120" w:after="120"/>
              <w:rPr>
                <w:rFonts w:cs="Arial"/>
                <w:sz w:val="24"/>
              </w:rPr>
            </w:pPr>
            <w:r w:rsidRPr="0038314C">
              <w:rPr>
                <w:rFonts w:cs="Arial"/>
                <w:sz w:val="24"/>
              </w:rPr>
              <w:t>FRM-ACC-</w:t>
            </w:r>
            <w:r w:rsidR="006809AD" w:rsidRPr="0038314C">
              <w:rPr>
                <w:rFonts w:cs="Arial"/>
                <w:sz w:val="24"/>
              </w:rPr>
              <w:t>060</w:t>
            </w:r>
            <w:r w:rsidR="001E2715" w:rsidRPr="0038314C">
              <w:rPr>
                <w:rFonts w:cs="Arial"/>
                <w:sz w:val="24"/>
              </w:rPr>
              <w:t>3</w:t>
            </w:r>
          </w:p>
        </w:tc>
      </w:tr>
      <w:tr w:rsidR="0039664F" w:rsidRPr="0039664F" w14:paraId="345EEE04" w14:textId="77777777" w:rsidTr="002C11F7">
        <w:tc>
          <w:tcPr>
            <w:tcW w:w="2410" w:type="dxa"/>
            <w:tcBorders>
              <w:top w:val="single" w:sz="2" w:space="0" w:color="auto"/>
              <w:bottom w:val="single" w:sz="2" w:space="0" w:color="auto"/>
            </w:tcBorders>
          </w:tcPr>
          <w:p w14:paraId="2B485FCC" w14:textId="77777777" w:rsidR="0039664F" w:rsidRPr="0038314C" w:rsidRDefault="0039664F" w:rsidP="0039664F">
            <w:pPr>
              <w:spacing w:before="120" w:after="120"/>
              <w:rPr>
                <w:rFonts w:cs="Arial"/>
                <w:sz w:val="24"/>
              </w:rPr>
            </w:pPr>
            <w:r w:rsidRPr="0038314C">
              <w:rPr>
                <w:rFonts w:cs="Arial"/>
                <w:sz w:val="24"/>
              </w:rPr>
              <w:t>Publication date</w:t>
            </w:r>
          </w:p>
        </w:tc>
        <w:tc>
          <w:tcPr>
            <w:tcW w:w="6650" w:type="dxa"/>
            <w:tcBorders>
              <w:top w:val="single" w:sz="2" w:space="0" w:color="auto"/>
              <w:bottom w:val="single" w:sz="2" w:space="0" w:color="auto"/>
            </w:tcBorders>
          </w:tcPr>
          <w:p w14:paraId="128FDEB1" w14:textId="2BBF6DEE" w:rsidR="0039664F" w:rsidRPr="0038314C" w:rsidRDefault="000D0FC7" w:rsidP="0039664F">
            <w:pPr>
              <w:spacing w:before="120" w:after="120"/>
              <w:rPr>
                <w:rFonts w:cs="Arial"/>
                <w:sz w:val="24"/>
              </w:rPr>
            </w:pPr>
            <w:r w:rsidRPr="000D0FC7">
              <w:rPr>
                <w:rFonts w:cs="Arial"/>
                <w:sz w:val="24"/>
              </w:rPr>
              <w:t>14</w:t>
            </w:r>
            <w:r w:rsidR="00250F5F">
              <w:rPr>
                <w:rFonts w:cs="Arial"/>
                <w:sz w:val="24"/>
              </w:rPr>
              <w:t xml:space="preserve"> </w:t>
            </w:r>
            <w:r w:rsidR="00682FC3">
              <w:rPr>
                <w:rFonts w:cs="Arial"/>
                <w:sz w:val="24"/>
              </w:rPr>
              <w:t>Dece</w:t>
            </w:r>
            <w:r w:rsidR="00250F5F">
              <w:rPr>
                <w:rFonts w:cs="Arial"/>
                <w:sz w:val="24"/>
              </w:rPr>
              <w:t>mber</w:t>
            </w:r>
            <w:r w:rsidR="002F2F77" w:rsidRPr="0038314C">
              <w:rPr>
                <w:rFonts w:cs="Arial"/>
                <w:sz w:val="24"/>
              </w:rPr>
              <w:t xml:space="preserve"> 2020</w:t>
            </w:r>
          </w:p>
        </w:tc>
      </w:tr>
      <w:tr w:rsidR="0039664F" w:rsidRPr="0039664F" w14:paraId="32839903" w14:textId="77777777" w:rsidTr="002C11F7">
        <w:tc>
          <w:tcPr>
            <w:tcW w:w="2410" w:type="dxa"/>
            <w:tcBorders>
              <w:top w:val="single" w:sz="2" w:space="0" w:color="auto"/>
              <w:bottom w:val="single" w:sz="4" w:space="0" w:color="auto"/>
            </w:tcBorders>
          </w:tcPr>
          <w:p w14:paraId="38DDCE65" w14:textId="77777777" w:rsidR="0039664F" w:rsidRPr="0038314C" w:rsidRDefault="0039664F" w:rsidP="0039664F">
            <w:pPr>
              <w:spacing w:before="120" w:after="120"/>
              <w:rPr>
                <w:rFonts w:cs="Arial"/>
                <w:sz w:val="24"/>
              </w:rPr>
            </w:pPr>
            <w:r w:rsidRPr="0038314C">
              <w:rPr>
                <w:rFonts w:cs="Arial"/>
                <w:sz w:val="24"/>
              </w:rPr>
              <w:t>Replaces</w:t>
            </w:r>
          </w:p>
        </w:tc>
        <w:tc>
          <w:tcPr>
            <w:tcW w:w="6650" w:type="dxa"/>
            <w:tcBorders>
              <w:top w:val="single" w:sz="2" w:space="0" w:color="auto"/>
              <w:bottom w:val="single" w:sz="4" w:space="0" w:color="auto"/>
            </w:tcBorders>
          </w:tcPr>
          <w:p w14:paraId="3043C259" w14:textId="79F2A9D3" w:rsidR="0039664F" w:rsidRPr="0038314C" w:rsidRDefault="0039664F" w:rsidP="0039664F">
            <w:pPr>
              <w:spacing w:before="120" w:after="120"/>
              <w:rPr>
                <w:rFonts w:cs="Arial"/>
                <w:sz w:val="24"/>
              </w:rPr>
            </w:pPr>
            <w:r w:rsidRPr="0038314C">
              <w:rPr>
                <w:rFonts w:cs="Arial"/>
                <w:sz w:val="24"/>
              </w:rPr>
              <w:t>2019-</w:t>
            </w:r>
            <w:r w:rsidR="00B97ADF">
              <w:rPr>
                <w:rFonts w:cs="Arial"/>
                <w:sz w:val="24"/>
              </w:rPr>
              <w:t>0</w:t>
            </w:r>
            <w:r w:rsidR="001E2715" w:rsidRPr="0038314C">
              <w:rPr>
                <w:rFonts w:cs="Arial"/>
                <w:sz w:val="24"/>
              </w:rPr>
              <w:t>3</w:t>
            </w:r>
            <w:r w:rsidR="00B97ADF">
              <w:rPr>
                <w:rFonts w:cs="Arial"/>
                <w:sz w:val="24"/>
              </w:rPr>
              <w:t xml:space="preserve"> v3.0</w:t>
            </w:r>
            <w:r w:rsidRPr="0038314C">
              <w:rPr>
                <w:rFonts w:cs="Arial"/>
                <w:sz w:val="24"/>
              </w:rPr>
              <w:t xml:space="preserve"> published</w:t>
            </w:r>
            <w:r w:rsidR="002F2F77" w:rsidRPr="0038314C">
              <w:rPr>
                <w:rFonts w:cs="Arial"/>
                <w:sz w:val="24"/>
              </w:rPr>
              <w:t xml:space="preserve"> </w:t>
            </w:r>
            <w:r w:rsidR="00142939">
              <w:rPr>
                <w:rFonts w:cs="Arial"/>
                <w:sz w:val="24"/>
              </w:rPr>
              <w:t>24 February 2020</w:t>
            </w:r>
          </w:p>
        </w:tc>
      </w:tr>
      <w:tr w:rsidR="0039664F" w:rsidRPr="0039664F" w14:paraId="0EB23008"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7D91E945" w14:textId="77777777" w:rsidR="0039664F" w:rsidRPr="0038314C" w:rsidRDefault="0039664F" w:rsidP="0039664F">
            <w:pPr>
              <w:spacing w:before="120" w:after="120"/>
              <w:rPr>
                <w:rFonts w:cs="Arial"/>
                <w:sz w:val="24"/>
              </w:rPr>
            </w:pPr>
            <w:r w:rsidRPr="0038314C">
              <w:rPr>
                <w:rFonts w:cs="Arial"/>
                <w:sz w:val="24"/>
              </w:rPr>
              <w:t>Information in this bulletin applies to</w:t>
            </w:r>
          </w:p>
        </w:tc>
        <w:tc>
          <w:tcPr>
            <w:tcW w:w="6650" w:type="dxa"/>
            <w:tcBorders>
              <w:top w:val="single" w:sz="4" w:space="0" w:color="auto"/>
              <w:left w:val="nil"/>
              <w:bottom w:val="single" w:sz="4" w:space="0" w:color="auto"/>
              <w:right w:val="nil"/>
            </w:tcBorders>
          </w:tcPr>
          <w:p w14:paraId="61AEEC75" w14:textId="77777777" w:rsidR="007A1EA5" w:rsidRPr="0038314C" w:rsidRDefault="0039664F" w:rsidP="002F2F77">
            <w:pPr>
              <w:spacing w:before="120" w:after="120"/>
              <w:rPr>
                <w:rFonts w:cs="Arial"/>
                <w:sz w:val="24"/>
              </w:rPr>
            </w:pPr>
            <w:r w:rsidRPr="0038314C">
              <w:rPr>
                <w:rFonts w:cs="Arial"/>
                <w:sz w:val="24"/>
              </w:rPr>
              <w:t>All residential aged care services and flexible care services through which short-term restorative care is provided in a residential care setting</w:t>
            </w:r>
          </w:p>
        </w:tc>
      </w:tr>
      <w:tr w:rsidR="0039664F" w:rsidRPr="0039664F" w14:paraId="743E832B"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64E9491E" w14:textId="77777777" w:rsidR="0039664F" w:rsidRPr="0038314C" w:rsidRDefault="0039664F" w:rsidP="0039664F">
            <w:pPr>
              <w:spacing w:before="120" w:after="120"/>
              <w:rPr>
                <w:rFonts w:cs="Arial"/>
                <w:sz w:val="24"/>
              </w:rPr>
            </w:pPr>
            <w:r w:rsidRPr="0038314C">
              <w:rPr>
                <w:rFonts w:cs="Arial"/>
                <w:sz w:val="24"/>
              </w:rPr>
              <w:t>Attachment</w:t>
            </w:r>
          </w:p>
        </w:tc>
        <w:tc>
          <w:tcPr>
            <w:tcW w:w="6650" w:type="dxa"/>
            <w:tcBorders>
              <w:top w:val="single" w:sz="4" w:space="0" w:color="auto"/>
              <w:left w:val="nil"/>
              <w:bottom w:val="single" w:sz="4" w:space="0" w:color="auto"/>
              <w:right w:val="nil"/>
            </w:tcBorders>
          </w:tcPr>
          <w:p w14:paraId="64A6F62A" w14:textId="77777777" w:rsidR="0039664F" w:rsidRPr="0038314C" w:rsidRDefault="0039664F" w:rsidP="0039664F">
            <w:pPr>
              <w:spacing w:before="120" w:after="120"/>
              <w:rPr>
                <w:rFonts w:cs="Arial"/>
                <w:sz w:val="24"/>
              </w:rPr>
            </w:pPr>
            <w:r w:rsidRPr="0038314C">
              <w:rPr>
                <w:rFonts w:cs="Arial"/>
                <w:sz w:val="24"/>
              </w:rPr>
              <w:t>n/a</w:t>
            </w:r>
          </w:p>
        </w:tc>
      </w:tr>
      <w:tr w:rsidR="0039664F" w:rsidRPr="0039664F" w14:paraId="6AA3A684" w14:textId="77777777" w:rsidTr="002C11F7">
        <w:tc>
          <w:tcPr>
            <w:tcW w:w="2410" w:type="dxa"/>
            <w:tcBorders>
              <w:top w:val="single" w:sz="2" w:space="0" w:color="auto"/>
              <w:bottom w:val="single" w:sz="2" w:space="0" w:color="auto"/>
            </w:tcBorders>
          </w:tcPr>
          <w:p w14:paraId="1D3B07A1" w14:textId="77777777" w:rsidR="0039664F" w:rsidRPr="0038314C" w:rsidRDefault="0039664F" w:rsidP="0039664F">
            <w:pPr>
              <w:spacing w:before="120" w:after="120"/>
              <w:rPr>
                <w:rFonts w:cs="Arial"/>
                <w:sz w:val="24"/>
              </w:rPr>
            </w:pPr>
            <w:r w:rsidRPr="0038314C">
              <w:rPr>
                <w:rFonts w:cs="Arial"/>
                <w:sz w:val="24"/>
              </w:rPr>
              <w:t>Notes</w:t>
            </w:r>
          </w:p>
        </w:tc>
        <w:tc>
          <w:tcPr>
            <w:tcW w:w="6650" w:type="dxa"/>
            <w:tcBorders>
              <w:top w:val="single" w:sz="2" w:space="0" w:color="auto"/>
              <w:bottom w:val="single" w:sz="2" w:space="0" w:color="auto"/>
            </w:tcBorders>
          </w:tcPr>
          <w:p w14:paraId="2EBB832A" w14:textId="6EF2853A" w:rsidR="000B1D2D" w:rsidRPr="0038314C" w:rsidRDefault="000B1D2D" w:rsidP="0039664F">
            <w:pPr>
              <w:spacing w:before="120" w:after="120"/>
              <w:rPr>
                <w:rFonts w:cs="Arial"/>
                <w:sz w:val="24"/>
                <w:highlight w:val="yellow"/>
              </w:rPr>
            </w:pPr>
            <w:r w:rsidRPr="000B1D2D">
              <w:rPr>
                <w:rFonts w:cs="Arial"/>
                <w:sz w:val="24"/>
              </w:rPr>
              <w:t xml:space="preserve">This Regulatory Bulletin has been updated </w:t>
            </w:r>
            <w:r w:rsidR="006C0D9D">
              <w:rPr>
                <w:rFonts w:cs="Arial"/>
                <w:sz w:val="24"/>
              </w:rPr>
              <w:t>with a minor edit to</w:t>
            </w:r>
            <w:r w:rsidRPr="000B1D2D">
              <w:rPr>
                <w:rFonts w:cs="Arial"/>
                <w:sz w:val="24"/>
              </w:rPr>
              <w:t xml:space="preserve"> frequently asked question 9.   </w:t>
            </w:r>
          </w:p>
        </w:tc>
      </w:tr>
      <w:tr w:rsidR="0039664F" w:rsidRPr="0039664F" w14:paraId="551435B1" w14:textId="77777777" w:rsidTr="002C11F7">
        <w:tc>
          <w:tcPr>
            <w:tcW w:w="2410" w:type="dxa"/>
            <w:tcBorders>
              <w:top w:val="single" w:sz="2" w:space="0" w:color="auto"/>
              <w:bottom w:val="single" w:sz="2" w:space="0" w:color="auto"/>
            </w:tcBorders>
          </w:tcPr>
          <w:p w14:paraId="23380200" w14:textId="77777777" w:rsidR="0039664F" w:rsidRPr="0038314C" w:rsidRDefault="0039664F" w:rsidP="0039664F">
            <w:pPr>
              <w:spacing w:before="120" w:after="120"/>
              <w:rPr>
                <w:rFonts w:cs="Arial"/>
                <w:sz w:val="24"/>
              </w:rPr>
            </w:pPr>
            <w:r w:rsidRPr="0038314C">
              <w:rPr>
                <w:rFonts w:cs="Arial"/>
                <w:color w:val="313131"/>
                <w:sz w:val="24"/>
                <w:shd w:val="clear" w:color="auto" w:fill="FFFFFF"/>
              </w:rPr>
              <w:t>To be reviewed</w:t>
            </w:r>
          </w:p>
        </w:tc>
        <w:tc>
          <w:tcPr>
            <w:tcW w:w="6650" w:type="dxa"/>
            <w:tcBorders>
              <w:top w:val="single" w:sz="2" w:space="0" w:color="auto"/>
              <w:bottom w:val="single" w:sz="2" w:space="0" w:color="auto"/>
            </w:tcBorders>
          </w:tcPr>
          <w:p w14:paraId="36B190FE" w14:textId="5AF3971D" w:rsidR="0039664F" w:rsidRPr="0038314C" w:rsidRDefault="000D0FC7" w:rsidP="0039664F">
            <w:pPr>
              <w:spacing w:before="120" w:after="120"/>
              <w:rPr>
                <w:rFonts w:cs="Arial"/>
                <w:sz w:val="24"/>
              </w:rPr>
            </w:pPr>
            <w:r w:rsidRPr="000D0FC7">
              <w:rPr>
                <w:rFonts w:cs="Arial"/>
                <w:sz w:val="24"/>
              </w:rPr>
              <w:t>14</w:t>
            </w:r>
            <w:r w:rsidR="00250F5F">
              <w:rPr>
                <w:rFonts w:cs="Arial"/>
                <w:sz w:val="24"/>
              </w:rPr>
              <w:t xml:space="preserve"> </w:t>
            </w:r>
            <w:r w:rsidR="00682FC3">
              <w:rPr>
                <w:rFonts w:cs="Arial"/>
                <w:sz w:val="24"/>
              </w:rPr>
              <w:t>Dec</w:t>
            </w:r>
            <w:r w:rsidR="00250F5F">
              <w:rPr>
                <w:rFonts w:cs="Arial"/>
                <w:sz w:val="24"/>
              </w:rPr>
              <w:t>ember</w:t>
            </w:r>
            <w:r w:rsidR="0039664F" w:rsidRPr="0038314C">
              <w:rPr>
                <w:rFonts w:cs="Arial"/>
                <w:sz w:val="24"/>
              </w:rPr>
              <w:t xml:space="preserve"> 2021</w:t>
            </w:r>
          </w:p>
        </w:tc>
      </w:tr>
      <w:bookmarkEnd w:id="0"/>
    </w:tbl>
    <w:p w14:paraId="035CA3D7" w14:textId="77777777" w:rsidR="0039664F" w:rsidRPr="00C047E6" w:rsidRDefault="0039664F" w:rsidP="0039664F">
      <w:pPr>
        <w:tabs>
          <w:tab w:val="left" w:pos="5310"/>
        </w:tabs>
        <w:spacing w:before="120" w:after="120" w:line="240" w:lineRule="auto"/>
        <w:rPr>
          <w:rFonts w:ascii="Arial" w:hAnsi="Arial" w:cs="Arial"/>
          <w:sz w:val="14"/>
          <w:szCs w:val="14"/>
        </w:rPr>
      </w:pPr>
    </w:p>
    <w:p w14:paraId="14062F19" w14:textId="77777777" w:rsidR="0039664F" w:rsidRPr="00C047E6" w:rsidRDefault="0039664F">
      <w:pPr>
        <w:rPr>
          <w:rFonts w:ascii="Arial" w:hAnsi="Arial" w:cs="Arial"/>
          <w:sz w:val="14"/>
          <w:szCs w:val="14"/>
        </w:rPr>
      </w:pPr>
      <w:r w:rsidRPr="00C047E6">
        <w:rPr>
          <w:rFonts w:ascii="Arial" w:hAnsi="Arial" w:cs="Arial"/>
          <w:sz w:val="14"/>
          <w:szCs w:val="14"/>
        </w:rPr>
        <w:br w:type="page"/>
      </w:r>
    </w:p>
    <w:p w14:paraId="4C498A34" w14:textId="77777777" w:rsidR="00262942" w:rsidRPr="004D2B2E" w:rsidRDefault="00262942" w:rsidP="00262942">
      <w:pPr>
        <w:spacing w:before="240"/>
        <w:rPr>
          <w:rFonts w:ascii="Arial" w:hAnsi="Arial" w:cs="Arial"/>
          <w:b/>
          <w:sz w:val="56"/>
          <w:szCs w:val="52"/>
        </w:rPr>
      </w:pPr>
      <w:r w:rsidRPr="004D2B2E">
        <w:rPr>
          <w:rFonts w:ascii="Arial" w:hAnsi="Arial" w:cs="Arial"/>
          <w:b/>
          <w:sz w:val="56"/>
          <w:szCs w:val="52"/>
        </w:rPr>
        <w:lastRenderedPageBreak/>
        <w:t>Regulatory Bulletin</w:t>
      </w:r>
      <w:r w:rsidRPr="004D2B2E" w:rsidDel="003C7010">
        <w:rPr>
          <w:rFonts w:ascii="Arial" w:hAnsi="Arial" w:cs="Arial"/>
          <w:b/>
          <w:sz w:val="56"/>
          <w:szCs w:val="52"/>
        </w:rPr>
        <w:t xml:space="preserve"> </w:t>
      </w:r>
    </w:p>
    <w:p w14:paraId="3C47C89A" w14:textId="77777777" w:rsidR="00D9141E" w:rsidRPr="00262942" w:rsidRDefault="0038314C" w:rsidP="00D9141E">
      <w:pPr>
        <w:keepNext/>
        <w:keepLines/>
        <w:spacing w:before="240"/>
        <w:outlineLvl w:val="0"/>
        <w:rPr>
          <w:rFonts w:ascii="Arial" w:hAnsi="Arial" w:cs="Arial"/>
          <w:b/>
          <w:sz w:val="32"/>
          <w:szCs w:val="28"/>
        </w:rPr>
      </w:pPr>
      <w:r w:rsidRPr="0038314C">
        <w:rPr>
          <w:rFonts w:ascii="Arial" w:hAnsi="Arial" w:cs="Arial"/>
          <w:b/>
          <w:sz w:val="32"/>
          <w:szCs w:val="28"/>
        </w:rPr>
        <w:t>RB 2019-03</w:t>
      </w:r>
      <w:r>
        <w:rPr>
          <w:rFonts w:ascii="Arial" w:hAnsi="Arial" w:cs="Arial"/>
          <w:b/>
          <w:sz w:val="32"/>
          <w:szCs w:val="28"/>
        </w:rPr>
        <w:t xml:space="preserve">: </w:t>
      </w:r>
      <w:r w:rsidR="001E2715" w:rsidRPr="001E2715">
        <w:rPr>
          <w:rFonts w:ascii="Arial" w:hAnsi="Arial" w:cs="Arial"/>
          <w:b/>
          <w:sz w:val="32"/>
          <w:szCs w:val="28"/>
        </w:rPr>
        <w:t>Exclusion of specific dates for unannounced visits</w:t>
      </w:r>
      <w:r w:rsidR="0030732F" w:rsidRPr="0030732F">
        <w:rPr>
          <w:rFonts w:ascii="Arial" w:hAnsi="Arial" w:cs="Arial"/>
          <w:b/>
          <w:sz w:val="32"/>
          <w:szCs w:val="28"/>
        </w:rPr>
        <w:t xml:space="preserve"> </w:t>
      </w:r>
    </w:p>
    <w:p w14:paraId="28E7A260" w14:textId="77777777" w:rsidR="001E2715" w:rsidRPr="0038314C" w:rsidRDefault="001E2715" w:rsidP="001E2715">
      <w:pPr>
        <w:spacing w:before="120"/>
        <w:rPr>
          <w:rFonts w:ascii="Arial" w:hAnsi="Arial" w:cs="Times New Roman"/>
          <w:b/>
          <w:sz w:val="24"/>
        </w:rPr>
      </w:pPr>
      <w:r w:rsidRPr="0038314C">
        <w:rPr>
          <w:rFonts w:ascii="Arial" w:hAnsi="Arial" w:cs="Times New Roman"/>
          <w:b/>
          <w:sz w:val="24"/>
        </w:rPr>
        <w:t xml:space="preserve">Unannounced site audits are conducted at residential services following an application for re-accreditation. The Aged Care Quality and Safety Commission (Commission) may conduct other regulatory activities such as assessment contacts and review audits with no prior notice, written or otherwise, to the approved provider of a service. These ‘unannounced’ activities help ensure the Aged Care Quality Standards (Quality Standards) are maintained at all services at all times. </w:t>
      </w:r>
    </w:p>
    <w:p w14:paraId="594CFBF7" w14:textId="77777777" w:rsidR="001E2715" w:rsidRPr="0038314C" w:rsidRDefault="001E2715" w:rsidP="001E2715">
      <w:pPr>
        <w:spacing w:before="120"/>
        <w:rPr>
          <w:rFonts w:ascii="Arial" w:hAnsi="Arial" w:cs="Times New Roman"/>
          <w:sz w:val="24"/>
        </w:rPr>
      </w:pPr>
      <w:r w:rsidRPr="0038314C">
        <w:rPr>
          <w:rFonts w:ascii="Arial" w:hAnsi="Arial" w:cs="Times New Roman"/>
          <w:b/>
          <w:sz w:val="24"/>
        </w:rPr>
        <w:t>There may be some dates where the conduct of an unannounced activity may have a greater impact on aged care consumers (consumers), or where consumer involvement in the activity may be limited. As a result, approved providers are able to request specific dates be excluded for an unannounced activity (excluded dates).</w:t>
      </w:r>
      <w:r w:rsidRPr="0038314C">
        <w:rPr>
          <w:rFonts w:ascii="Arial" w:hAnsi="Arial" w:cs="Times New Roman"/>
          <w:sz w:val="24"/>
        </w:rPr>
        <w:t xml:space="preserve"> Although the Commission does not guarantee visits will not occur on those days, the Commission will consider these dates in scheduling activities. </w:t>
      </w:r>
    </w:p>
    <w:p w14:paraId="796B0A52" w14:textId="0BC5D48C" w:rsidR="001E2715" w:rsidRDefault="001E2715" w:rsidP="001E2715">
      <w:pPr>
        <w:spacing w:before="120"/>
        <w:rPr>
          <w:rFonts w:ascii="Arial" w:hAnsi="Arial" w:cs="Times New Roman"/>
          <w:sz w:val="24"/>
        </w:rPr>
      </w:pPr>
      <w:r w:rsidRPr="0038314C">
        <w:rPr>
          <w:rFonts w:ascii="Arial" w:hAnsi="Arial" w:cs="Times New Roman"/>
          <w:sz w:val="24"/>
        </w:rPr>
        <w:t xml:space="preserve">This Regulatory Bulletin outlines the Commission’s policy regarding approved provider requests to exclude specific dates for an unannounced activity and includes criteria to guide approved providers when determining those dates. </w:t>
      </w:r>
    </w:p>
    <w:p w14:paraId="57B9FDD4" w14:textId="77777777" w:rsidR="000A3988" w:rsidRPr="000A3988" w:rsidRDefault="000A3988" w:rsidP="000A3988">
      <w:pPr>
        <w:rPr>
          <w:rFonts w:ascii="Arial" w:hAnsi="Arial" w:cs="Times New Roman"/>
          <w:sz w:val="24"/>
        </w:rPr>
      </w:pPr>
      <w:r w:rsidRPr="000A3988">
        <w:rPr>
          <w:rFonts w:ascii="Arial" w:hAnsi="Arial" w:cs="Times New Roman"/>
          <w:sz w:val="24"/>
        </w:rPr>
        <w:t xml:space="preserve">Refer to the </w:t>
      </w:r>
      <w:hyperlink r:id="rId9" w:history="1">
        <w:r w:rsidRPr="000A3988">
          <w:rPr>
            <w:rFonts w:ascii="Arial" w:hAnsi="Arial" w:cs="Times New Roman"/>
            <w:sz w:val="24"/>
          </w:rPr>
          <w:t>Commission’s glossary</w:t>
        </w:r>
      </w:hyperlink>
      <w:r w:rsidRPr="000A3988">
        <w:rPr>
          <w:rFonts w:ascii="Arial" w:hAnsi="Arial" w:cs="Times New Roman"/>
          <w:sz w:val="24"/>
          <w:vertAlign w:val="superscript"/>
        </w:rPr>
        <w:footnoteReference w:id="1"/>
      </w:r>
      <w:r w:rsidRPr="000A3988">
        <w:rPr>
          <w:rFonts w:ascii="Arial" w:hAnsi="Arial" w:cs="Times New Roman"/>
          <w:sz w:val="24"/>
        </w:rPr>
        <w:t xml:space="preserve"> for definitions of key terms. </w:t>
      </w:r>
    </w:p>
    <w:p w14:paraId="3F77A3A6" w14:textId="77777777" w:rsidR="000A3988" w:rsidRPr="0038314C" w:rsidRDefault="000A3988" w:rsidP="001E2715">
      <w:pPr>
        <w:spacing w:before="120"/>
        <w:rPr>
          <w:rFonts w:ascii="Arial" w:hAnsi="Arial" w:cs="Times New Roman"/>
          <w:sz w:val="24"/>
        </w:rPr>
      </w:pPr>
    </w:p>
    <w:p w14:paraId="01D6CCCA" w14:textId="46ACA8FF" w:rsidR="00CE6B25" w:rsidRPr="00CE6B25" w:rsidRDefault="00CE6B25" w:rsidP="00CE6B25">
      <w:pPr>
        <w:keepNext/>
        <w:keepLines/>
        <w:spacing w:before="240"/>
        <w:outlineLvl w:val="0"/>
        <w:rPr>
          <w:rFonts w:ascii="Arial" w:hAnsi="Arial" w:cs="Arial"/>
          <w:b/>
          <w:sz w:val="32"/>
          <w:szCs w:val="28"/>
        </w:rPr>
      </w:pPr>
      <w:r w:rsidRPr="00CE6B25">
        <w:rPr>
          <w:rFonts w:ascii="Arial" w:hAnsi="Arial" w:cs="Arial"/>
          <w:b/>
          <w:sz w:val="32"/>
          <w:szCs w:val="28"/>
        </w:rPr>
        <w:t>Key points</w:t>
      </w:r>
    </w:p>
    <w:p w14:paraId="287B245F" w14:textId="77777777" w:rsidR="00CE6B25" w:rsidRPr="0038314C" w:rsidRDefault="00CE6B25" w:rsidP="00CE6B25">
      <w:pPr>
        <w:pStyle w:val="ListParagraph"/>
        <w:numPr>
          <w:ilvl w:val="0"/>
          <w:numId w:val="39"/>
        </w:numPr>
        <w:spacing w:before="120"/>
        <w:ind w:left="357" w:hanging="357"/>
        <w:contextualSpacing w:val="0"/>
        <w:rPr>
          <w:rFonts w:ascii="Arial" w:hAnsi="Arial" w:cs="Times New Roman"/>
          <w:sz w:val="24"/>
        </w:rPr>
      </w:pPr>
      <w:r w:rsidRPr="0038314C">
        <w:rPr>
          <w:rFonts w:ascii="Arial" w:hAnsi="Arial" w:cs="Times New Roman"/>
          <w:sz w:val="24"/>
        </w:rPr>
        <w:t>Approved providers may request that up to five specific dates per annum be excluded for an unannounced activity.</w:t>
      </w:r>
    </w:p>
    <w:p w14:paraId="172F12D4" w14:textId="77777777" w:rsidR="00CE6B25" w:rsidRPr="0038314C" w:rsidRDefault="00CE6B25" w:rsidP="00CE6B25">
      <w:pPr>
        <w:pStyle w:val="ListParagraph"/>
        <w:numPr>
          <w:ilvl w:val="0"/>
          <w:numId w:val="39"/>
        </w:numPr>
        <w:spacing w:before="120"/>
        <w:ind w:left="357" w:hanging="357"/>
        <w:contextualSpacing w:val="0"/>
        <w:rPr>
          <w:rFonts w:ascii="Arial" w:hAnsi="Arial" w:cs="Times New Roman"/>
          <w:sz w:val="24"/>
        </w:rPr>
      </w:pPr>
      <w:r w:rsidRPr="0038314C">
        <w:rPr>
          <w:rFonts w:ascii="Arial" w:hAnsi="Arial" w:cs="Times New Roman"/>
          <w:sz w:val="24"/>
        </w:rPr>
        <w:t>The Commission will not ‘approve’ dates identified by approved providers.</w:t>
      </w:r>
    </w:p>
    <w:p w14:paraId="03F20FFC" w14:textId="77777777" w:rsidR="00CE6B25" w:rsidRPr="0038314C" w:rsidRDefault="00CE6B25" w:rsidP="00CE6B25">
      <w:pPr>
        <w:pStyle w:val="ListParagraph"/>
        <w:numPr>
          <w:ilvl w:val="0"/>
          <w:numId w:val="39"/>
        </w:numPr>
        <w:spacing w:before="120"/>
        <w:ind w:left="357" w:hanging="357"/>
        <w:contextualSpacing w:val="0"/>
        <w:rPr>
          <w:rFonts w:ascii="Arial" w:hAnsi="Arial" w:cs="Times New Roman"/>
          <w:sz w:val="24"/>
        </w:rPr>
      </w:pPr>
      <w:r w:rsidRPr="0038314C">
        <w:rPr>
          <w:rFonts w:ascii="Arial" w:hAnsi="Arial" w:cs="Times New Roman"/>
          <w:sz w:val="24"/>
        </w:rPr>
        <w:t>Approved providers are required to ensure that the excluded dates meet certain criteria as outlined in this Regulatory Bulletin.</w:t>
      </w:r>
    </w:p>
    <w:p w14:paraId="7633FC1F" w14:textId="39671F32" w:rsidR="00CE6B25" w:rsidRPr="005752E5" w:rsidRDefault="00CE6B25" w:rsidP="0038314C">
      <w:pPr>
        <w:pStyle w:val="ListParagraph"/>
        <w:numPr>
          <w:ilvl w:val="0"/>
          <w:numId w:val="39"/>
        </w:numPr>
        <w:spacing w:before="120"/>
        <w:ind w:left="357" w:hanging="357"/>
        <w:contextualSpacing w:val="0"/>
        <w:rPr>
          <w:rFonts w:ascii="Arial" w:hAnsi="Arial" w:cs="Times New Roman"/>
          <w:sz w:val="24"/>
        </w:rPr>
      </w:pPr>
      <w:r w:rsidRPr="005752E5">
        <w:rPr>
          <w:rFonts w:ascii="Arial" w:hAnsi="Arial" w:cs="Times New Roman"/>
          <w:sz w:val="24"/>
        </w:rPr>
        <w:t>If required, the Commission may conduct an unannounced</w:t>
      </w:r>
      <w:r w:rsidR="00627440" w:rsidRPr="005752E5">
        <w:rPr>
          <w:rFonts w:ascii="Arial" w:hAnsi="Arial" w:cs="Times New Roman"/>
          <w:sz w:val="24"/>
        </w:rPr>
        <w:t xml:space="preserve"> activity on an excluded date.</w:t>
      </w:r>
      <w:r w:rsidR="0038314C" w:rsidRPr="005752E5">
        <w:rPr>
          <w:rFonts w:ascii="Arial" w:hAnsi="Arial" w:cs="Times New Roman"/>
          <w:sz w:val="24"/>
        </w:rPr>
        <w:br w:type="page"/>
      </w:r>
    </w:p>
    <w:p w14:paraId="435C1CA2" w14:textId="77777777" w:rsidR="001E2715" w:rsidRPr="001E2715" w:rsidRDefault="001E2715" w:rsidP="00CE6B25">
      <w:pPr>
        <w:keepNext/>
        <w:keepLines/>
        <w:pBdr>
          <w:top w:val="single" w:sz="4" w:space="1" w:color="auto"/>
        </w:pBdr>
        <w:spacing w:before="360"/>
        <w:outlineLvl w:val="0"/>
        <w:rPr>
          <w:rFonts w:ascii="Arial" w:hAnsi="Arial" w:cs="Times New Roman"/>
          <w:b/>
          <w:sz w:val="32"/>
          <w:lang w:val="en-US"/>
        </w:rPr>
      </w:pPr>
      <w:r w:rsidRPr="001E2715">
        <w:rPr>
          <w:rFonts w:ascii="Arial" w:hAnsi="Arial" w:cs="Times New Roman"/>
          <w:b/>
          <w:sz w:val="32"/>
          <w:lang w:val="en-US"/>
        </w:rPr>
        <w:lastRenderedPageBreak/>
        <w:t>Aged Care Quality and Safety Commission Rules 2018</w:t>
      </w:r>
    </w:p>
    <w:p w14:paraId="3FC357EE" w14:textId="49A41298" w:rsidR="001E2715" w:rsidRPr="0038314C" w:rsidRDefault="001E2715" w:rsidP="001E2715">
      <w:pPr>
        <w:pBdr>
          <w:bottom w:val="single" w:sz="4" w:space="1" w:color="auto"/>
        </w:pBdr>
        <w:spacing w:before="120"/>
        <w:rPr>
          <w:rFonts w:ascii="Arial" w:hAnsi="Arial" w:cs="Times New Roman"/>
          <w:sz w:val="24"/>
        </w:rPr>
      </w:pPr>
      <w:r w:rsidRPr="0038314C">
        <w:rPr>
          <w:rFonts w:ascii="Arial" w:hAnsi="Arial" w:cs="Times New Roman"/>
          <w:sz w:val="24"/>
        </w:rPr>
        <w:t>The Aged Care Quality and Safety Commission Rules 2018 (Rules) do not require the Commission to notify an approved provider of the date(s) that a site audit will be conducted. In addition, under the Rules assessment contacts or a review audit with the approved provider of an accredited service may be made without notice.</w:t>
      </w:r>
    </w:p>
    <w:p w14:paraId="44112093" w14:textId="77777777" w:rsidR="001E2715" w:rsidRPr="001E2715" w:rsidRDefault="001E2715" w:rsidP="001E2715">
      <w:pPr>
        <w:keepNext/>
        <w:keepLines/>
        <w:spacing w:before="360"/>
        <w:outlineLvl w:val="0"/>
        <w:rPr>
          <w:rFonts w:ascii="Arial" w:hAnsi="Arial" w:cs="Times New Roman"/>
          <w:b/>
          <w:sz w:val="32"/>
        </w:rPr>
      </w:pPr>
      <w:r w:rsidRPr="001E2715">
        <w:rPr>
          <w:rFonts w:ascii="Arial" w:hAnsi="Arial" w:cs="Times New Roman"/>
          <w:b/>
          <w:sz w:val="32"/>
        </w:rPr>
        <w:t>Frequently asked questions</w:t>
      </w:r>
    </w:p>
    <w:p w14:paraId="601B7C72"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How many days are approved providers able to request be excluded from an unannounced activity?</w:t>
      </w:r>
    </w:p>
    <w:p w14:paraId="1982017A" w14:textId="123034DF" w:rsidR="001E2715" w:rsidRPr="0038314C" w:rsidRDefault="001E2715" w:rsidP="001E2715">
      <w:pPr>
        <w:spacing w:before="120"/>
        <w:rPr>
          <w:rFonts w:ascii="Arial" w:hAnsi="Arial" w:cs="Times New Roman"/>
          <w:sz w:val="24"/>
        </w:rPr>
      </w:pPr>
      <w:r w:rsidRPr="0038314C">
        <w:rPr>
          <w:rFonts w:ascii="Arial" w:hAnsi="Arial" w:cs="Times New Roman"/>
          <w:sz w:val="24"/>
        </w:rPr>
        <w:t xml:space="preserve">Approved providers are able to request that up to five specific dates be excluded for an unannounced visit to a service. The </w:t>
      </w:r>
      <w:proofErr w:type="gramStart"/>
      <w:r w:rsidRPr="0038314C">
        <w:rPr>
          <w:rFonts w:ascii="Arial" w:hAnsi="Arial" w:cs="Times New Roman"/>
          <w:sz w:val="24"/>
        </w:rPr>
        <w:t>five</w:t>
      </w:r>
      <w:r w:rsidR="00682FC3">
        <w:rPr>
          <w:rFonts w:ascii="Arial" w:hAnsi="Arial" w:cs="Times New Roman"/>
          <w:sz w:val="24"/>
        </w:rPr>
        <w:t xml:space="preserve"> </w:t>
      </w:r>
      <w:r w:rsidRPr="0038314C">
        <w:rPr>
          <w:rFonts w:ascii="Arial" w:hAnsi="Arial" w:cs="Times New Roman"/>
          <w:sz w:val="24"/>
        </w:rPr>
        <w:t>day</w:t>
      </w:r>
      <w:proofErr w:type="gramEnd"/>
      <w:r w:rsidRPr="0038314C">
        <w:rPr>
          <w:rFonts w:ascii="Arial" w:hAnsi="Arial" w:cs="Times New Roman"/>
          <w:sz w:val="24"/>
        </w:rPr>
        <w:t xml:space="preserve"> limit applies to a calendar year. </w:t>
      </w:r>
    </w:p>
    <w:p w14:paraId="2B7F538D" w14:textId="77777777" w:rsidR="001E2715" w:rsidRPr="0038314C" w:rsidRDefault="001E2715" w:rsidP="001E2715">
      <w:pPr>
        <w:spacing w:before="120"/>
        <w:rPr>
          <w:rFonts w:ascii="Arial" w:hAnsi="Arial" w:cs="Times New Roman"/>
          <w:sz w:val="24"/>
        </w:rPr>
      </w:pPr>
      <w:r w:rsidRPr="0038314C">
        <w:rPr>
          <w:rFonts w:ascii="Arial" w:hAnsi="Arial" w:cs="Times New Roman"/>
          <w:sz w:val="24"/>
        </w:rPr>
        <w:t>Unless an approved provider requests a change to the excluded dates for a service, the dates will remain the same for future calendar years.</w:t>
      </w:r>
    </w:p>
    <w:p w14:paraId="4EB524D5"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When determining excluded dates are there any criteria that must be met?</w:t>
      </w:r>
    </w:p>
    <w:p w14:paraId="1652ECB4" w14:textId="77777777" w:rsidR="001E2715" w:rsidRPr="0038314C" w:rsidRDefault="001E2715" w:rsidP="001E2715">
      <w:pPr>
        <w:spacing w:before="120"/>
        <w:rPr>
          <w:rFonts w:ascii="Arial" w:hAnsi="Arial" w:cs="Times New Roman"/>
          <w:sz w:val="24"/>
        </w:rPr>
      </w:pPr>
      <w:r w:rsidRPr="0038314C">
        <w:rPr>
          <w:rFonts w:ascii="Arial" w:hAnsi="Arial" w:cs="Times New Roman"/>
          <w:sz w:val="24"/>
        </w:rPr>
        <w:t>Approved providers should ensure that any excluded dates meet the following criteria:</w:t>
      </w:r>
    </w:p>
    <w:p w14:paraId="064F6965" w14:textId="77777777" w:rsidR="001E2715" w:rsidRPr="0038314C" w:rsidRDefault="001E2715" w:rsidP="00CE6B25">
      <w:pPr>
        <w:pStyle w:val="ListParagraph"/>
        <w:numPr>
          <w:ilvl w:val="0"/>
          <w:numId w:val="40"/>
        </w:numPr>
        <w:spacing w:after="120"/>
        <w:ind w:left="357" w:hanging="357"/>
        <w:contextualSpacing w:val="0"/>
        <w:rPr>
          <w:rFonts w:ascii="Arial" w:hAnsi="Arial" w:cs="Times New Roman"/>
          <w:sz w:val="24"/>
        </w:rPr>
      </w:pPr>
      <w:r w:rsidRPr="0038314C">
        <w:rPr>
          <w:rFonts w:ascii="Arial" w:hAnsi="Arial" w:cs="Times New Roman"/>
          <w:sz w:val="24"/>
        </w:rPr>
        <w:t xml:space="preserve">The dates are of </w:t>
      </w:r>
      <w:r w:rsidRPr="0038314C">
        <w:rPr>
          <w:rFonts w:ascii="Arial" w:hAnsi="Arial" w:cs="Times New Roman"/>
          <w:b/>
          <w:sz w:val="24"/>
        </w:rPr>
        <w:t>significance to consumers</w:t>
      </w:r>
      <w:r w:rsidRPr="0038314C">
        <w:rPr>
          <w:rFonts w:ascii="Arial" w:hAnsi="Arial" w:cs="Times New Roman"/>
          <w:sz w:val="24"/>
        </w:rPr>
        <w:t xml:space="preserve"> and if an unannounced activity was to proceed on that date, it would have a </w:t>
      </w:r>
      <w:r w:rsidRPr="0038314C">
        <w:rPr>
          <w:rFonts w:ascii="Arial" w:hAnsi="Arial" w:cs="Times New Roman"/>
          <w:b/>
          <w:sz w:val="24"/>
        </w:rPr>
        <w:t>direct impact on consumers</w:t>
      </w:r>
    </w:p>
    <w:p w14:paraId="2F8AFD6B" w14:textId="77777777" w:rsidR="001E2715" w:rsidRPr="0038314C" w:rsidRDefault="001E2715" w:rsidP="00CE6B25">
      <w:pPr>
        <w:pStyle w:val="ListParagraph"/>
        <w:numPr>
          <w:ilvl w:val="0"/>
          <w:numId w:val="40"/>
        </w:numPr>
        <w:spacing w:after="120"/>
        <w:ind w:left="357" w:hanging="357"/>
        <w:contextualSpacing w:val="0"/>
        <w:rPr>
          <w:rFonts w:ascii="Arial" w:hAnsi="Arial" w:cs="Times New Roman"/>
          <w:sz w:val="24"/>
        </w:rPr>
      </w:pPr>
      <w:r w:rsidRPr="0038314C">
        <w:rPr>
          <w:rFonts w:ascii="Arial" w:hAnsi="Arial" w:cs="Times New Roman"/>
          <w:sz w:val="24"/>
        </w:rPr>
        <w:t>The dates fall under one or more of these categories:</w:t>
      </w:r>
    </w:p>
    <w:p w14:paraId="0228AE6B" w14:textId="77777777" w:rsidR="001E2715" w:rsidRPr="0038314C" w:rsidRDefault="001E2715" w:rsidP="00CE6B25">
      <w:pPr>
        <w:pStyle w:val="ListParagraph"/>
        <w:numPr>
          <w:ilvl w:val="1"/>
          <w:numId w:val="40"/>
        </w:numPr>
        <w:spacing w:after="120"/>
        <w:ind w:left="1077" w:hanging="357"/>
        <w:contextualSpacing w:val="0"/>
        <w:rPr>
          <w:rFonts w:ascii="Arial" w:hAnsi="Arial" w:cs="Times New Roman"/>
          <w:sz w:val="24"/>
        </w:rPr>
      </w:pPr>
      <w:r w:rsidRPr="0038314C">
        <w:rPr>
          <w:rFonts w:ascii="Arial" w:hAnsi="Arial" w:cs="Arial"/>
          <w:i/>
          <w:sz w:val="24"/>
        </w:rPr>
        <w:t>Cultural:</w:t>
      </w:r>
      <w:r w:rsidRPr="0038314C">
        <w:rPr>
          <w:rFonts w:ascii="Arial" w:hAnsi="Arial" w:cs="Arial"/>
          <w:sz w:val="24"/>
        </w:rPr>
        <w:t xml:space="preserve"> The day has cultural significance to a large proportion of consumers of the service.</w:t>
      </w:r>
    </w:p>
    <w:p w14:paraId="6DB7E95A" w14:textId="77777777" w:rsidR="001E2715" w:rsidRPr="0038314C" w:rsidRDefault="001E2715" w:rsidP="00CE6B25">
      <w:pPr>
        <w:pStyle w:val="ListParagraph"/>
        <w:numPr>
          <w:ilvl w:val="1"/>
          <w:numId w:val="40"/>
        </w:numPr>
        <w:spacing w:after="120"/>
        <w:ind w:left="1077" w:hanging="357"/>
        <w:contextualSpacing w:val="0"/>
        <w:rPr>
          <w:rFonts w:ascii="Arial" w:hAnsi="Arial" w:cs="Times New Roman"/>
          <w:sz w:val="24"/>
        </w:rPr>
      </w:pPr>
      <w:r w:rsidRPr="0038314C">
        <w:rPr>
          <w:rFonts w:ascii="Arial" w:hAnsi="Arial" w:cs="Arial"/>
          <w:i/>
          <w:sz w:val="24"/>
        </w:rPr>
        <w:t>Religious:</w:t>
      </w:r>
      <w:r w:rsidRPr="0038314C">
        <w:rPr>
          <w:rFonts w:ascii="Arial" w:hAnsi="Arial" w:cs="Arial"/>
          <w:sz w:val="24"/>
        </w:rPr>
        <w:t xml:space="preserve"> The day has religious significance to a large proportion of consumers of the service.</w:t>
      </w:r>
    </w:p>
    <w:p w14:paraId="43802187" w14:textId="5D67A037" w:rsidR="001E2715" w:rsidRPr="0038314C" w:rsidRDefault="001E2715" w:rsidP="00CE6B25">
      <w:pPr>
        <w:pStyle w:val="ListParagraph"/>
        <w:numPr>
          <w:ilvl w:val="1"/>
          <w:numId w:val="40"/>
        </w:numPr>
        <w:spacing w:after="120"/>
        <w:ind w:left="1077" w:hanging="357"/>
        <w:contextualSpacing w:val="0"/>
        <w:rPr>
          <w:rFonts w:ascii="Arial" w:hAnsi="Arial" w:cs="Times New Roman"/>
          <w:sz w:val="24"/>
        </w:rPr>
      </w:pPr>
      <w:r w:rsidRPr="0038314C">
        <w:rPr>
          <w:rFonts w:ascii="Arial" w:hAnsi="Arial" w:cs="Arial"/>
          <w:i/>
          <w:sz w:val="24"/>
        </w:rPr>
        <w:t>Consumer unavailability:</w:t>
      </w:r>
      <w:r w:rsidRPr="0038314C">
        <w:rPr>
          <w:rFonts w:ascii="Arial" w:hAnsi="Arial" w:cs="Arial"/>
          <w:sz w:val="24"/>
        </w:rPr>
        <w:t xml:space="preserve"> Consumers are attending an event or function away from the service and this will limit consumer participation in </w:t>
      </w:r>
      <w:r w:rsidR="006B2179">
        <w:rPr>
          <w:rFonts w:ascii="Arial" w:hAnsi="Arial" w:cs="Arial"/>
          <w:sz w:val="24"/>
        </w:rPr>
        <w:t>A</w:t>
      </w:r>
      <w:r w:rsidRPr="0038314C">
        <w:rPr>
          <w:rFonts w:ascii="Arial" w:hAnsi="Arial" w:cs="Arial"/>
          <w:sz w:val="24"/>
        </w:rPr>
        <w:t xml:space="preserve">ssessment </w:t>
      </w:r>
      <w:r w:rsidR="006B2179">
        <w:rPr>
          <w:rFonts w:ascii="Arial" w:hAnsi="Arial" w:cs="Arial"/>
          <w:sz w:val="24"/>
        </w:rPr>
        <w:t>T</w:t>
      </w:r>
      <w:r w:rsidRPr="0038314C">
        <w:rPr>
          <w:rFonts w:ascii="Arial" w:hAnsi="Arial" w:cs="Arial"/>
          <w:sz w:val="24"/>
        </w:rPr>
        <w:t>eam interviews during a visit on a particular date.</w:t>
      </w:r>
    </w:p>
    <w:p w14:paraId="2592FDF4" w14:textId="77777777" w:rsidR="001E2715" w:rsidRPr="0038314C" w:rsidRDefault="001E2715" w:rsidP="00CE6B25">
      <w:pPr>
        <w:pStyle w:val="ListParagraph"/>
        <w:numPr>
          <w:ilvl w:val="1"/>
          <w:numId w:val="40"/>
        </w:numPr>
        <w:spacing w:after="240"/>
        <w:ind w:left="1077" w:hanging="357"/>
        <w:contextualSpacing w:val="0"/>
        <w:rPr>
          <w:rFonts w:ascii="Arial" w:hAnsi="Arial" w:cs="Times New Roman"/>
          <w:sz w:val="24"/>
        </w:rPr>
      </w:pPr>
      <w:r w:rsidRPr="0038314C">
        <w:rPr>
          <w:rFonts w:ascii="Arial" w:hAnsi="Arial" w:cs="Arial"/>
          <w:i/>
          <w:sz w:val="24"/>
        </w:rPr>
        <w:t>Other regulatory:</w:t>
      </w:r>
      <w:r w:rsidRPr="0038314C">
        <w:rPr>
          <w:rFonts w:ascii="Arial" w:hAnsi="Arial" w:cs="Arial"/>
          <w:sz w:val="24"/>
        </w:rPr>
        <w:t xml:space="preserve"> Another regulatory authority has scheduled an audit or visit to a service on a particular date.</w:t>
      </w:r>
    </w:p>
    <w:p w14:paraId="13253F2D"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What are examples of dates that would not meet the above criteria?</w:t>
      </w:r>
    </w:p>
    <w:p w14:paraId="16F56A68" w14:textId="77777777" w:rsidR="001E2715" w:rsidRPr="0038314C" w:rsidRDefault="001E2715" w:rsidP="001E2715">
      <w:pPr>
        <w:spacing w:before="120"/>
        <w:rPr>
          <w:rFonts w:ascii="Arial" w:hAnsi="Arial" w:cs="Times New Roman"/>
          <w:sz w:val="24"/>
        </w:rPr>
      </w:pPr>
      <w:r w:rsidRPr="0038314C">
        <w:rPr>
          <w:rFonts w:ascii="Arial" w:hAnsi="Arial" w:cs="Times New Roman"/>
          <w:sz w:val="24"/>
        </w:rPr>
        <w:t>Examples of dates that would not meet the above criteria include:</w:t>
      </w:r>
    </w:p>
    <w:p w14:paraId="5FFFCF14" w14:textId="77777777" w:rsidR="001E2715" w:rsidRPr="0038314C" w:rsidRDefault="001E2715" w:rsidP="00CE6B25">
      <w:pPr>
        <w:pStyle w:val="ListParagraph"/>
        <w:numPr>
          <w:ilvl w:val="0"/>
          <w:numId w:val="41"/>
        </w:numPr>
        <w:spacing w:after="120"/>
        <w:ind w:left="357" w:hanging="357"/>
        <w:contextualSpacing w:val="0"/>
        <w:rPr>
          <w:rFonts w:ascii="Arial" w:hAnsi="Arial" w:cs="Times New Roman"/>
          <w:sz w:val="24"/>
        </w:rPr>
      </w:pPr>
      <w:r w:rsidRPr="0038314C">
        <w:rPr>
          <w:rFonts w:ascii="Arial" w:hAnsi="Arial" w:cs="Times New Roman"/>
          <w:sz w:val="24"/>
        </w:rPr>
        <w:t>days where service personnel are attending a Commission workshop or training event</w:t>
      </w:r>
    </w:p>
    <w:p w14:paraId="73B80E0D" w14:textId="77777777" w:rsidR="001E2715" w:rsidRPr="0038314C" w:rsidRDefault="001E2715" w:rsidP="00CE6B25">
      <w:pPr>
        <w:pStyle w:val="ListParagraph"/>
        <w:numPr>
          <w:ilvl w:val="0"/>
          <w:numId w:val="41"/>
        </w:numPr>
        <w:spacing w:after="120"/>
        <w:ind w:left="357" w:hanging="357"/>
        <w:contextualSpacing w:val="0"/>
        <w:rPr>
          <w:rFonts w:ascii="Arial" w:hAnsi="Arial" w:cs="Times New Roman"/>
          <w:sz w:val="24"/>
        </w:rPr>
      </w:pPr>
      <w:r w:rsidRPr="0038314C">
        <w:rPr>
          <w:rFonts w:ascii="Arial" w:hAnsi="Arial" w:cs="Times New Roman"/>
          <w:sz w:val="24"/>
        </w:rPr>
        <w:t>dates where key personnel are taking annual leave</w:t>
      </w:r>
    </w:p>
    <w:p w14:paraId="76FFF61D" w14:textId="77777777" w:rsidR="001E2715" w:rsidRPr="0038314C" w:rsidRDefault="001E2715" w:rsidP="00CE6B25">
      <w:pPr>
        <w:pStyle w:val="ListParagraph"/>
        <w:numPr>
          <w:ilvl w:val="0"/>
          <w:numId w:val="41"/>
        </w:numPr>
        <w:spacing w:after="240"/>
        <w:ind w:left="357" w:hanging="357"/>
        <w:contextualSpacing w:val="0"/>
        <w:rPr>
          <w:rFonts w:ascii="Arial" w:hAnsi="Arial" w:cs="Times New Roman"/>
          <w:sz w:val="24"/>
        </w:rPr>
      </w:pPr>
      <w:r w:rsidRPr="0038314C">
        <w:rPr>
          <w:rFonts w:ascii="Arial" w:hAnsi="Arial" w:cs="Times New Roman"/>
          <w:sz w:val="24"/>
        </w:rPr>
        <w:lastRenderedPageBreak/>
        <w:t>cultural day with significance to personnel of the service but with limited significance to consumers of the service.</w:t>
      </w:r>
    </w:p>
    <w:p w14:paraId="5491BE3B"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What regulatory activities are covered by this Regulatory Bulletin?</w:t>
      </w:r>
    </w:p>
    <w:p w14:paraId="763BB579" w14:textId="77777777" w:rsidR="001E2715" w:rsidRPr="0038314C" w:rsidRDefault="001E2715" w:rsidP="001E2715">
      <w:pPr>
        <w:spacing w:before="120"/>
        <w:rPr>
          <w:rFonts w:ascii="Arial" w:hAnsi="Arial" w:cs="Times New Roman"/>
          <w:b/>
          <w:sz w:val="24"/>
        </w:rPr>
      </w:pPr>
      <w:r w:rsidRPr="0038314C">
        <w:rPr>
          <w:rFonts w:ascii="Arial" w:hAnsi="Arial" w:cs="Times New Roman"/>
          <w:sz w:val="24"/>
        </w:rPr>
        <w:t>Excluded dates requested by providers may be considered by the Commission when scheduling unannounced site audits, review audits and assessment contacts.</w:t>
      </w:r>
    </w:p>
    <w:p w14:paraId="6BADCD34"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How do approved providers notify the Commission of excluded dates?</w:t>
      </w:r>
    </w:p>
    <w:p w14:paraId="05A6339D" w14:textId="44249216" w:rsidR="001E2715" w:rsidRPr="0038314C" w:rsidRDefault="001E2715" w:rsidP="001E2715">
      <w:pPr>
        <w:spacing w:before="120"/>
        <w:rPr>
          <w:rFonts w:ascii="Arial" w:hAnsi="Arial" w:cs="Times New Roman"/>
          <w:sz w:val="24"/>
        </w:rPr>
      </w:pPr>
      <w:r w:rsidRPr="0038314C">
        <w:rPr>
          <w:rFonts w:ascii="Arial" w:hAnsi="Arial" w:cs="Times New Roman"/>
          <w:sz w:val="24"/>
        </w:rPr>
        <w:t xml:space="preserve">Approved providers may notify the Commission of excluded dates when completing the </w:t>
      </w:r>
      <w:hyperlink r:id="rId10" w:history="1">
        <w:r w:rsidRPr="0038314C">
          <w:rPr>
            <w:rFonts w:ascii="Arial" w:hAnsi="Arial" w:cs="Times New Roman"/>
            <w:color w:val="0000FF" w:themeColor="hyperlink"/>
            <w:sz w:val="24"/>
            <w:u w:val="single"/>
          </w:rPr>
          <w:t>application for re-accreditation</w:t>
        </w:r>
      </w:hyperlink>
      <w:r w:rsidR="005752E5">
        <w:rPr>
          <w:rStyle w:val="FootnoteReference"/>
          <w:rFonts w:ascii="Arial" w:hAnsi="Arial" w:cs="Times New Roman"/>
          <w:color w:val="0000FF" w:themeColor="hyperlink"/>
          <w:sz w:val="24"/>
          <w:u w:val="single"/>
        </w:rPr>
        <w:footnoteReference w:id="2"/>
      </w:r>
      <w:r w:rsidRPr="0038314C">
        <w:rPr>
          <w:rFonts w:ascii="Arial" w:hAnsi="Arial" w:cs="Times New Roman"/>
          <w:sz w:val="24"/>
        </w:rPr>
        <w:t xml:space="preserve">. The application form includes a ‘Dates considered not suitable’ section where providers are able to list any excluded dates together with the reason on why the date is not suitable. </w:t>
      </w:r>
    </w:p>
    <w:p w14:paraId="5416BAEB" w14:textId="77777777" w:rsidR="001E2715" w:rsidRPr="0038314C" w:rsidRDefault="001E2715" w:rsidP="001E2715">
      <w:pPr>
        <w:spacing w:before="120"/>
        <w:rPr>
          <w:rFonts w:ascii="Arial" w:hAnsi="Arial" w:cs="Times New Roman"/>
          <w:sz w:val="24"/>
        </w:rPr>
      </w:pPr>
      <w:r w:rsidRPr="0038314C">
        <w:rPr>
          <w:rFonts w:ascii="Arial" w:hAnsi="Arial" w:cs="Times New Roman"/>
          <w:sz w:val="24"/>
        </w:rPr>
        <w:t xml:space="preserve">Approved providers are also able to advise the Regional Director of the relevant regional office of the identified excluded dates and the reasons at any time by sending an email to: </w:t>
      </w:r>
    </w:p>
    <w:p w14:paraId="070D9BA5" w14:textId="44EB3DD0"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Adelaide:</w:t>
      </w:r>
      <w:r w:rsidRPr="0038314C">
        <w:rPr>
          <w:rFonts w:ascii="Arial" w:hAnsi="Arial" w:cs="Times New Roman"/>
          <w:sz w:val="24"/>
        </w:rPr>
        <w:tab/>
      </w:r>
      <w:hyperlink r:id="rId11" w:history="1">
        <w:r w:rsidRPr="0038314C">
          <w:rPr>
            <w:rFonts w:ascii="Arial" w:hAnsi="Arial" w:cs="Arial"/>
            <w:color w:val="0000FF" w:themeColor="hyperlink"/>
            <w:sz w:val="24"/>
            <w:u w:val="single"/>
          </w:rPr>
          <w:t>sa_nt@agedcarequality.gov.au</w:t>
        </w:r>
      </w:hyperlink>
    </w:p>
    <w:p w14:paraId="3018CD5A" w14:textId="1F3D7271"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Brisbane:</w:t>
      </w:r>
      <w:r w:rsidRPr="0038314C">
        <w:rPr>
          <w:rFonts w:ascii="Arial" w:hAnsi="Arial" w:cs="Times New Roman"/>
          <w:sz w:val="24"/>
        </w:rPr>
        <w:tab/>
      </w:r>
      <w:hyperlink r:id="rId12" w:history="1">
        <w:r w:rsidR="00682FC3" w:rsidRPr="00682FC3">
          <w:rPr>
            <w:rStyle w:val="Hyperlink"/>
            <w:rFonts w:ascii="Arial" w:hAnsi="Arial" w:cs="Arial"/>
            <w:sz w:val="24"/>
          </w:rPr>
          <w:t>queensland@agedcarequality.gov.au</w:t>
        </w:r>
      </w:hyperlink>
    </w:p>
    <w:p w14:paraId="428AC951" w14:textId="6C682847"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Melbourne:</w:t>
      </w:r>
      <w:r w:rsidRPr="0038314C">
        <w:rPr>
          <w:rFonts w:ascii="Arial" w:hAnsi="Arial" w:cs="Times New Roman"/>
          <w:sz w:val="24"/>
        </w:rPr>
        <w:tab/>
      </w:r>
      <w:hyperlink r:id="rId13" w:history="1">
        <w:r w:rsidRPr="0038314C">
          <w:rPr>
            <w:rFonts w:ascii="Arial" w:hAnsi="Arial" w:cs="Arial"/>
            <w:color w:val="0000FF" w:themeColor="hyperlink"/>
            <w:sz w:val="24"/>
            <w:u w:val="single"/>
          </w:rPr>
          <w:t>vic_tas@agedcarequality.gov.au</w:t>
        </w:r>
      </w:hyperlink>
    </w:p>
    <w:p w14:paraId="6159F72C" w14:textId="72DE0A20"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Perth:</w:t>
      </w:r>
      <w:r w:rsidRPr="0038314C">
        <w:rPr>
          <w:rFonts w:ascii="Arial" w:hAnsi="Arial" w:cs="Times New Roman"/>
          <w:sz w:val="24"/>
        </w:rPr>
        <w:tab/>
      </w:r>
      <w:hyperlink r:id="rId14" w:history="1">
        <w:r w:rsidRPr="0038314C">
          <w:rPr>
            <w:rFonts w:ascii="Arial" w:hAnsi="Arial" w:cs="Arial"/>
            <w:color w:val="0000FF" w:themeColor="hyperlink"/>
            <w:sz w:val="24"/>
            <w:u w:val="single"/>
          </w:rPr>
          <w:t>wa@agedcarequality.gov.au</w:t>
        </w:r>
      </w:hyperlink>
    </w:p>
    <w:p w14:paraId="536C4F84" w14:textId="4B3761D7" w:rsidR="001E2715" w:rsidRPr="0038314C" w:rsidRDefault="001E2715" w:rsidP="001E2715">
      <w:pPr>
        <w:tabs>
          <w:tab w:val="left" w:pos="1276"/>
        </w:tabs>
        <w:spacing w:before="120"/>
        <w:rPr>
          <w:rFonts w:ascii="Arial" w:hAnsi="Arial" w:cs="Times New Roman"/>
          <w:sz w:val="24"/>
        </w:rPr>
      </w:pPr>
      <w:r w:rsidRPr="0038314C">
        <w:rPr>
          <w:rFonts w:ascii="Arial" w:hAnsi="Arial" w:cs="Times New Roman"/>
          <w:sz w:val="24"/>
        </w:rPr>
        <w:t>Sydney:</w:t>
      </w:r>
      <w:r w:rsidRPr="0038314C">
        <w:rPr>
          <w:rFonts w:ascii="Arial" w:hAnsi="Arial" w:cs="Times New Roman"/>
          <w:sz w:val="24"/>
        </w:rPr>
        <w:tab/>
      </w:r>
      <w:hyperlink r:id="rId15" w:history="1">
        <w:r w:rsidRPr="0038314C">
          <w:rPr>
            <w:rFonts w:ascii="Arial" w:hAnsi="Arial" w:cs="Arial"/>
            <w:color w:val="0000FF" w:themeColor="hyperlink"/>
            <w:sz w:val="24"/>
            <w:u w:val="single"/>
          </w:rPr>
          <w:t>nsw_act@agedcarequality.gov.au</w:t>
        </w:r>
      </w:hyperlink>
    </w:p>
    <w:p w14:paraId="7D335071" w14:textId="77777777" w:rsidR="001E2715" w:rsidRPr="0038314C" w:rsidRDefault="001E2715" w:rsidP="001E2715">
      <w:pPr>
        <w:spacing w:before="120"/>
        <w:rPr>
          <w:rFonts w:ascii="Arial" w:hAnsi="Arial" w:cs="Times New Roman"/>
          <w:sz w:val="24"/>
        </w:rPr>
      </w:pPr>
      <w:r w:rsidRPr="0038314C">
        <w:rPr>
          <w:rFonts w:ascii="Arial" w:hAnsi="Arial" w:cs="Times New Roman"/>
          <w:sz w:val="24"/>
        </w:rPr>
        <w:t>Ensure that the email subject is ‘ATT: REGIONAL DIRECTOR Excluded dates for unannounced activity’.</w:t>
      </w:r>
    </w:p>
    <w:p w14:paraId="34A208EB" w14:textId="77777777" w:rsidR="001E2715" w:rsidRPr="0038314C" w:rsidRDefault="001E2715" w:rsidP="001E2715">
      <w:pPr>
        <w:spacing w:before="120"/>
        <w:rPr>
          <w:rFonts w:ascii="Arial" w:hAnsi="Arial" w:cs="Times New Roman"/>
          <w:sz w:val="24"/>
        </w:rPr>
      </w:pPr>
      <w:r w:rsidRPr="0038314C">
        <w:rPr>
          <w:rFonts w:ascii="Arial" w:hAnsi="Arial" w:cs="Times New Roman"/>
          <w:sz w:val="24"/>
        </w:rPr>
        <w:t>If there are any changes or additions to the excluded dates previously notified to the Commission, these should also be emailed to the Regional Director (refer to question 7 for further details on changes and additions).</w:t>
      </w:r>
    </w:p>
    <w:p w14:paraId="473D019A"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Will the Commission provide approval for notified dates?</w:t>
      </w:r>
    </w:p>
    <w:p w14:paraId="0A734FCF" w14:textId="77777777" w:rsidR="001E2715" w:rsidRPr="0038314C" w:rsidRDefault="001E2715" w:rsidP="001E2715">
      <w:pPr>
        <w:spacing w:before="120"/>
        <w:rPr>
          <w:rFonts w:ascii="Arial" w:hAnsi="Arial" w:cs="Times New Roman"/>
          <w:sz w:val="24"/>
          <w:lang w:val="en-US"/>
        </w:rPr>
      </w:pPr>
      <w:r w:rsidRPr="0038314C">
        <w:rPr>
          <w:rFonts w:ascii="Arial" w:hAnsi="Arial" w:cs="Times New Roman"/>
          <w:sz w:val="24"/>
          <w:lang w:val="en-US"/>
        </w:rPr>
        <w:t>No. The Commission will not approve excluded dates that have been requested by approved providers. It is the responsibility of approved providers to ensure that the above criteria are met prior to submitting any dates.</w:t>
      </w:r>
    </w:p>
    <w:p w14:paraId="04C96A08" w14:textId="77777777" w:rsidR="001E2715" w:rsidRPr="0038314C" w:rsidRDefault="001E2715" w:rsidP="001E2715">
      <w:pPr>
        <w:spacing w:before="120"/>
        <w:rPr>
          <w:rFonts w:ascii="Arial" w:hAnsi="Arial" w:cs="Times New Roman"/>
          <w:sz w:val="24"/>
          <w:lang w:val="en-US"/>
        </w:rPr>
      </w:pPr>
      <w:r w:rsidRPr="0038314C">
        <w:rPr>
          <w:rFonts w:ascii="Arial" w:hAnsi="Arial" w:cs="Times New Roman"/>
          <w:sz w:val="24"/>
          <w:lang w:val="en-US"/>
        </w:rPr>
        <w:t xml:space="preserve">If the Commission identifies a pattern or issues related to dates submitted by an approved provider, an assessment contact may be conducted via a phone call to the provider to discuss the dates and how they meet the criteria. </w:t>
      </w:r>
    </w:p>
    <w:p w14:paraId="3DF5605D" w14:textId="77777777" w:rsidR="001E2715" w:rsidRPr="0038314C" w:rsidRDefault="001E2715" w:rsidP="001E2715">
      <w:pPr>
        <w:spacing w:before="120"/>
        <w:rPr>
          <w:rFonts w:ascii="Arial" w:hAnsi="Arial" w:cs="Times New Roman"/>
          <w:sz w:val="24"/>
        </w:rPr>
      </w:pPr>
      <w:r w:rsidRPr="0038314C">
        <w:rPr>
          <w:rFonts w:ascii="Arial" w:hAnsi="Arial" w:cs="Times New Roman"/>
          <w:sz w:val="24"/>
          <w:lang w:val="en-US"/>
        </w:rPr>
        <w:lastRenderedPageBreak/>
        <w:t xml:space="preserve">For example, the Commission may conduct an assessment contact where an approved provider identifies five excluded </w:t>
      </w:r>
      <w:proofErr w:type="gramStart"/>
      <w:r w:rsidRPr="0038314C">
        <w:rPr>
          <w:rFonts w:ascii="Arial" w:hAnsi="Arial" w:cs="Times New Roman"/>
          <w:sz w:val="24"/>
          <w:lang w:val="en-US"/>
        </w:rPr>
        <w:t>dates</w:t>
      </w:r>
      <w:proofErr w:type="gramEnd"/>
      <w:r w:rsidRPr="0038314C">
        <w:rPr>
          <w:rFonts w:ascii="Arial" w:hAnsi="Arial" w:cs="Times New Roman"/>
          <w:sz w:val="24"/>
          <w:lang w:val="en-US"/>
        </w:rPr>
        <w:t xml:space="preserve"> and </w:t>
      </w:r>
      <w:proofErr w:type="gramStart"/>
      <w:r w:rsidRPr="0038314C">
        <w:rPr>
          <w:rFonts w:ascii="Arial" w:hAnsi="Arial" w:cs="Times New Roman"/>
          <w:sz w:val="24"/>
          <w:lang w:val="en-US"/>
        </w:rPr>
        <w:t>all of</w:t>
      </w:r>
      <w:proofErr w:type="gramEnd"/>
      <w:r w:rsidRPr="0038314C">
        <w:rPr>
          <w:rFonts w:ascii="Arial" w:hAnsi="Arial" w:cs="Times New Roman"/>
          <w:sz w:val="24"/>
          <w:lang w:val="en-US"/>
        </w:rPr>
        <w:t xml:space="preserve"> the dates fall within the period following an application for re-accreditation and accreditation expiry.</w:t>
      </w:r>
    </w:p>
    <w:p w14:paraId="097EB71D"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Are approved providers able to change excluded dates or add additional dates?</w:t>
      </w:r>
    </w:p>
    <w:p w14:paraId="5D439984" w14:textId="77777777" w:rsidR="001E2715" w:rsidRPr="0038314C" w:rsidRDefault="001E2715" w:rsidP="001E2715">
      <w:pPr>
        <w:spacing w:before="120"/>
        <w:rPr>
          <w:rFonts w:ascii="Arial" w:hAnsi="Arial" w:cs="Arial"/>
          <w:sz w:val="24"/>
        </w:rPr>
      </w:pPr>
      <w:r w:rsidRPr="0038314C">
        <w:rPr>
          <w:rFonts w:ascii="Arial" w:hAnsi="Arial" w:cs="Arial"/>
          <w:sz w:val="24"/>
        </w:rPr>
        <w:t>Yes. Approved providers are able to amend future excluded dates. Approved providers may also add additional dates as long as the total dates are no more than five per calendar year per service.</w:t>
      </w:r>
    </w:p>
    <w:p w14:paraId="05654FD2" w14:textId="77777777" w:rsidR="001E2715" w:rsidRPr="0038314C" w:rsidRDefault="001E2715" w:rsidP="001E2715">
      <w:pPr>
        <w:spacing w:before="120" w:after="120"/>
        <w:rPr>
          <w:rFonts w:ascii="Arial" w:hAnsi="Arial" w:cs="Arial"/>
          <w:sz w:val="24"/>
        </w:rPr>
      </w:pPr>
      <w:r w:rsidRPr="0038314C">
        <w:rPr>
          <w:rFonts w:ascii="Arial" w:hAnsi="Arial" w:cs="Arial"/>
          <w:sz w:val="24"/>
        </w:rPr>
        <w:t>For example, an approved provider has notified the Commission of the following excluded dates:</w:t>
      </w:r>
    </w:p>
    <w:p w14:paraId="1AB3F03A" w14:textId="77777777" w:rsidR="001E2715" w:rsidRPr="0038314C" w:rsidRDefault="001E2715" w:rsidP="00CE6B25">
      <w:pPr>
        <w:pStyle w:val="ListParagraph"/>
        <w:numPr>
          <w:ilvl w:val="0"/>
          <w:numId w:val="42"/>
        </w:numPr>
        <w:spacing w:after="120"/>
        <w:ind w:left="357" w:hanging="357"/>
        <w:contextualSpacing w:val="0"/>
        <w:rPr>
          <w:rFonts w:ascii="Arial" w:hAnsi="Arial" w:cs="Times New Roman"/>
          <w:sz w:val="24"/>
        </w:rPr>
      </w:pPr>
      <w:r w:rsidRPr="0038314C">
        <w:rPr>
          <w:rFonts w:ascii="Arial" w:hAnsi="Arial" w:cs="Times New Roman"/>
          <w:sz w:val="24"/>
        </w:rPr>
        <w:t>1 January</w:t>
      </w:r>
    </w:p>
    <w:p w14:paraId="041398BF" w14:textId="77777777" w:rsidR="001E2715" w:rsidRPr="0038314C" w:rsidRDefault="001E2715" w:rsidP="00CE6B25">
      <w:pPr>
        <w:pStyle w:val="ListParagraph"/>
        <w:numPr>
          <w:ilvl w:val="0"/>
          <w:numId w:val="42"/>
        </w:numPr>
        <w:spacing w:after="120"/>
        <w:ind w:left="357" w:hanging="357"/>
        <w:contextualSpacing w:val="0"/>
        <w:rPr>
          <w:rFonts w:ascii="Arial" w:hAnsi="Arial" w:cs="Times New Roman"/>
          <w:sz w:val="24"/>
        </w:rPr>
      </w:pPr>
      <w:r w:rsidRPr="0038314C">
        <w:rPr>
          <w:rFonts w:ascii="Arial" w:hAnsi="Arial" w:cs="Times New Roman"/>
          <w:sz w:val="24"/>
        </w:rPr>
        <w:t>1 March</w:t>
      </w:r>
    </w:p>
    <w:p w14:paraId="7ED78949" w14:textId="77777777" w:rsidR="001E2715" w:rsidRPr="0038314C" w:rsidRDefault="001E2715" w:rsidP="00CE6B25">
      <w:pPr>
        <w:pStyle w:val="ListParagraph"/>
        <w:numPr>
          <w:ilvl w:val="0"/>
          <w:numId w:val="42"/>
        </w:numPr>
        <w:spacing w:after="120"/>
        <w:ind w:left="357" w:hanging="357"/>
        <w:contextualSpacing w:val="0"/>
        <w:rPr>
          <w:rFonts w:ascii="Arial" w:hAnsi="Arial" w:cs="Times New Roman"/>
          <w:sz w:val="24"/>
        </w:rPr>
      </w:pPr>
      <w:r w:rsidRPr="0038314C">
        <w:rPr>
          <w:rFonts w:ascii="Arial" w:hAnsi="Arial" w:cs="Times New Roman"/>
          <w:sz w:val="24"/>
        </w:rPr>
        <w:t xml:space="preserve">1 June </w:t>
      </w:r>
    </w:p>
    <w:p w14:paraId="2DBAB4AD" w14:textId="77777777" w:rsidR="001E2715" w:rsidRPr="0038314C" w:rsidRDefault="001E2715" w:rsidP="00467EA7">
      <w:pPr>
        <w:pStyle w:val="ListParagraph"/>
        <w:numPr>
          <w:ilvl w:val="0"/>
          <w:numId w:val="42"/>
        </w:numPr>
        <w:spacing w:after="120"/>
        <w:ind w:left="357" w:hanging="357"/>
        <w:contextualSpacing w:val="0"/>
        <w:rPr>
          <w:rFonts w:ascii="Arial" w:hAnsi="Arial" w:cs="Times New Roman"/>
          <w:sz w:val="24"/>
        </w:rPr>
      </w:pPr>
      <w:r w:rsidRPr="0038314C">
        <w:rPr>
          <w:rFonts w:ascii="Arial" w:hAnsi="Arial" w:cs="Times New Roman"/>
          <w:sz w:val="24"/>
        </w:rPr>
        <w:t>1 July</w:t>
      </w:r>
    </w:p>
    <w:p w14:paraId="6EB20DC3" w14:textId="655CC87E" w:rsidR="001E2715" w:rsidRPr="0038314C" w:rsidRDefault="001E2715" w:rsidP="00055AD1">
      <w:pPr>
        <w:spacing w:before="120"/>
        <w:rPr>
          <w:rFonts w:ascii="Arial" w:hAnsi="Arial" w:cs="Arial"/>
          <w:sz w:val="24"/>
        </w:rPr>
      </w:pPr>
      <w:r w:rsidRPr="0038314C">
        <w:rPr>
          <w:rFonts w:ascii="Arial" w:hAnsi="Arial" w:cs="Arial"/>
          <w:sz w:val="24"/>
        </w:rPr>
        <w:t>Following the initial notification</w:t>
      </w:r>
      <w:r w:rsidR="003912F1">
        <w:rPr>
          <w:rFonts w:ascii="Arial" w:hAnsi="Arial" w:cs="Arial"/>
          <w:sz w:val="24"/>
        </w:rPr>
        <w:t>,</w:t>
      </w:r>
      <w:r w:rsidRPr="0038314C">
        <w:rPr>
          <w:rFonts w:ascii="Arial" w:hAnsi="Arial" w:cs="Arial"/>
          <w:sz w:val="24"/>
        </w:rPr>
        <w:t xml:space="preserve"> the approved provider identifies 1 November as an additional excluded date in accordance with the criteria. As the provider has previously identified four days, they notify the Commission of the additional date.</w:t>
      </w:r>
    </w:p>
    <w:p w14:paraId="3FC6E588" w14:textId="77777777" w:rsidR="001E2715" w:rsidRPr="0038314C" w:rsidRDefault="001E2715" w:rsidP="00055AD1">
      <w:pPr>
        <w:spacing w:before="120"/>
        <w:rPr>
          <w:rFonts w:ascii="Arial" w:hAnsi="Arial" w:cs="Arial"/>
          <w:sz w:val="24"/>
        </w:rPr>
      </w:pPr>
      <w:r w:rsidRPr="0038314C">
        <w:rPr>
          <w:rFonts w:ascii="Arial" w:hAnsi="Arial" w:cs="Arial"/>
          <w:sz w:val="24"/>
        </w:rPr>
        <w:t xml:space="preserve">Due to changes in the service, the approved provider would like to remove the 1 January and 1 March dates from the excluded dates. Instead, they would like to include 1 August and 1 December as excluded dates. The provider notifies the Commission of this change in September and the amendments are made for the following calendar years. </w:t>
      </w:r>
    </w:p>
    <w:p w14:paraId="4C605744" w14:textId="77777777" w:rsidR="001E2715" w:rsidRPr="0038314C" w:rsidRDefault="001E2715" w:rsidP="001E2715">
      <w:pPr>
        <w:spacing w:before="120"/>
        <w:rPr>
          <w:rFonts w:ascii="Arial" w:hAnsi="Arial" w:cs="Arial"/>
          <w:sz w:val="24"/>
        </w:rPr>
      </w:pPr>
      <w:r w:rsidRPr="0038314C">
        <w:rPr>
          <w:rFonts w:ascii="Arial" w:hAnsi="Arial" w:cs="Arial"/>
          <w:sz w:val="24"/>
        </w:rPr>
        <w:t>Approved providers are able to advise the Regional Director of the relevant regional office of any changes or additions to the excluded dates by sending an email to:</w:t>
      </w:r>
    </w:p>
    <w:p w14:paraId="2700A2C6" w14:textId="26B14475"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Adelaide:</w:t>
      </w:r>
      <w:r w:rsidRPr="0038314C">
        <w:rPr>
          <w:rFonts w:ascii="Arial" w:hAnsi="Arial" w:cs="Times New Roman"/>
          <w:sz w:val="24"/>
        </w:rPr>
        <w:tab/>
      </w:r>
      <w:hyperlink r:id="rId16" w:history="1">
        <w:r w:rsidRPr="0038314C">
          <w:rPr>
            <w:rFonts w:ascii="Arial" w:hAnsi="Arial" w:cs="Arial"/>
            <w:color w:val="0000FF" w:themeColor="hyperlink"/>
            <w:sz w:val="24"/>
            <w:u w:val="single"/>
          </w:rPr>
          <w:t>sa_nt@agedcarequality.gov.au</w:t>
        </w:r>
      </w:hyperlink>
    </w:p>
    <w:p w14:paraId="5E713BF4" w14:textId="799BFDB0"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Brisbane:</w:t>
      </w:r>
      <w:r w:rsidRPr="0038314C">
        <w:rPr>
          <w:rFonts w:ascii="Arial" w:hAnsi="Arial" w:cs="Times New Roman"/>
          <w:sz w:val="24"/>
        </w:rPr>
        <w:tab/>
      </w:r>
      <w:hyperlink r:id="rId17" w:history="1">
        <w:r w:rsidRPr="0038314C">
          <w:rPr>
            <w:rFonts w:ascii="Arial" w:hAnsi="Arial" w:cs="Arial"/>
            <w:color w:val="0000FF" w:themeColor="hyperlink"/>
            <w:sz w:val="24"/>
            <w:u w:val="single"/>
          </w:rPr>
          <w:t>queensland@agedcarequality.gov.au</w:t>
        </w:r>
      </w:hyperlink>
    </w:p>
    <w:p w14:paraId="3915D80F" w14:textId="70604A30"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Melbourne:</w:t>
      </w:r>
      <w:r w:rsidRPr="0038314C">
        <w:rPr>
          <w:rFonts w:ascii="Arial" w:hAnsi="Arial" w:cs="Times New Roman"/>
          <w:sz w:val="24"/>
        </w:rPr>
        <w:tab/>
      </w:r>
      <w:hyperlink r:id="rId18" w:history="1">
        <w:r w:rsidRPr="0038314C">
          <w:rPr>
            <w:rFonts w:ascii="Arial" w:hAnsi="Arial" w:cs="Arial"/>
            <w:color w:val="0000FF" w:themeColor="hyperlink"/>
            <w:sz w:val="24"/>
            <w:u w:val="single"/>
          </w:rPr>
          <w:t>vic_tas@agedcarequality.gov.au</w:t>
        </w:r>
      </w:hyperlink>
    </w:p>
    <w:p w14:paraId="160E77D1" w14:textId="390AFA04" w:rsidR="001E2715" w:rsidRPr="0038314C" w:rsidRDefault="001E2715" w:rsidP="001E2715">
      <w:pPr>
        <w:tabs>
          <w:tab w:val="left" w:pos="1276"/>
        </w:tabs>
        <w:spacing w:before="120" w:after="120"/>
        <w:rPr>
          <w:rFonts w:ascii="Arial" w:hAnsi="Arial" w:cs="Times New Roman"/>
          <w:sz w:val="24"/>
        </w:rPr>
      </w:pPr>
      <w:r w:rsidRPr="0038314C">
        <w:rPr>
          <w:rFonts w:ascii="Arial" w:hAnsi="Arial" w:cs="Times New Roman"/>
          <w:sz w:val="24"/>
        </w:rPr>
        <w:t>Perth:</w:t>
      </w:r>
      <w:r w:rsidRPr="0038314C">
        <w:rPr>
          <w:rFonts w:ascii="Arial" w:hAnsi="Arial" w:cs="Times New Roman"/>
          <w:sz w:val="24"/>
        </w:rPr>
        <w:tab/>
      </w:r>
      <w:hyperlink r:id="rId19" w:history="1">
        <w:r w:rsidRPr="0038314C">
          <w:rPr>
            <w:rFonts w:ascii="Arial" w:hAnsi="Arial" w:cs="Times New Roman"/>
            <w:color w:val="0000FF" w:themeColor="hyperlink"/>
            <w:sz w:val="24"/>
            <w:u w:val="single"/>
          </w:rPr>
          <w:t>wa@agedcarequality.go</w:t>
        </w:r>
        <w:r w:rsidRPr="0038314C">
          <w:rPr>
            <w:rFonts w:ascii="Arial" w:hAnsi="Arial" w:cs="Arial"/>
            <w:color w:val="0000FF" w:themeColor="hyperlink"/>
            <w:sz w:val="24"/>
            <w:u w:val="single"/>
          </w:rPr>
          <w:t>v.au</w:t>
        </w:r>
      </w:hyperlink>
      <w:r w:rsidRPr="0038314C">
        <w:rPr>
          <w:rFonts w:ascii="Arial" w:hAnsi="Arial" w:cs="Arial"/>
          <w:sz w:val="24"/>
        </w:rPr>
        <w:t xml:space="preserve"> </w:t>
      </w:r>
    </w:p>
    <w:p w14:paraId="44174187" w14:textId="7526388D" w:rsidR="001E2715" w:rsidRPr="0038314C" w:rsidRDefault="001E2715" w:rsidP="001E2715">
      <w:pPr>
        <w:tabs>
          <w:tab w:val="left" w:pos="1276"/>
        </w:tabs>
        <w:spacing w:before="120"/>
        <w:rPr>
          <w:rFonts w:ascii="Arial" w:hAnsi="Arial" w:cs="Times New Roman"/>
          <w:sz w:val="24"/>
        </w:rPr>
      </w:pPr>
      <w:r w:rsidRPr="0038314C">
        <w:rPr>
          <w:rFonts w:ascii="Arial" w:hAnsi="Arial" w:cs="Times New Roman"/>
          <w:sz w:val="24"/>
        </w:rPr>
        <w:t>Sydney:</w:t>
      </w:r>
      <w:r w:rsidRPr="0038314C">
        <w:rPr>
          <w:rFonts w:ascii="Arial" w:hAnsi="Arial" w:cs="Times New Roman"/>
          <w:sz w:val="24"/>
        </w:rPr>
        <w:tab/>
      </w:r>
      <w:hyperlink r:id="rId20" w:history="1">
        <w:r w:rsidRPr="0038314C">
          <w:rPr>
            <w:rFonts w:ascii="Arial" w:hAnsi="Arial" w:cs="Arial"/>
            <w:color w:val="0000FF" w:themeColor="hyperlink"/>
            <w:sz w:val="24"/>
            <w:u w:val="single"/>
          </w:rPr>
          <w:t>nsw_act@agedcarequality.gov.au</w:t>
        </w:r>
      </w:hyperlink>
    </w:p>
    <w:p w14:paraId="4B399F26" w14:textId="77777777" w:rsidR="001E2715" w:rsidRPr="0038314C" w:rsidRDefault="001E2715" w:rsidP="001E2715">
      <w:pPr>
        <w:spacing w:before="120"/>
        <w:rPr>
          <w:rFonts w:ascii="Arial" w:hAnsi="Arial" w:cs="Arial"/>
          <w:sz w:val="24"/>
        </w:rPr>
      </w:pPr>
      <w:r w:rsidRPr="0038314C">
        <w:rPr>
          <w:rFonts w:ascii="Arial" w:hAnsi="Arial" w:cs="Arial"/>
          <w:sz w:val="24"/>
        </w:rPr>
        <w:t>Ensure that the email subject is ‘ATT: REGIONAL DIRECTOR Changes to excluded dates for unannounced activity’.</w:t>
      </w:r>
    </w:p>
    <w:p w14:paraId="7C9B5D1A" w14:textId="7777777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Will the Commission conduct regulatory activities on notified excluded dates?</w:t>
      </w:r>
    </w:p>
    <w:p w14:paraId="6F4FA8A7" w14:textId="77777777" w:rsidR="001E2715" w:rsidRPr="0038314C" w:rsidRDefault="001E2715" w:rsidP="001E2715">
      <w:pPr>
        <w:spacing w:before="120" w:after="120"/>
        <w:rPr>
          <w:rFonts w:ascii="Arial" w:hAnsi="Arial" w:cs="Arial"/>
          <w:sz w:val="24"/>
          <w:szCs w:val="28"/>
        </w:rPr>
      </w:pPr>
      <w:r w:rsidRPr="0038314C">
        <w:rPr>
          <w:rFonts w:ascii="Arial" w:hAnsi="Arial" w:cs="Arial"/>
          <w:sz w:val="24"/>
          <w:szCs w:val="28"/>
        </w:rPr>
        <w:t>The Commission may conduct a regulatory activity at any time, including outside of business hours and on weekends, for example:</w:t>
      </w:r>
    </w:p>
    <w:p w14:paraId="5E05F265" w14:textId="77777777" w:rsidR="001E2715" w:rsidRPr="0038314C" w:rsidRDefault="001E2715" w:rsidP="00CE6B25">
      <w:pPr>
        <w:pStyle w:val="ListParagraph"/>
        <w:numPr>
          <w:ilvl w:val="0"/>
          <w:numId w:val="43"/>
        </w:numPr>
        <w:spacing w:after="120"/>
        <w:ind w:left="357" w:hanging="357"/>
        <w:contextualSpacing w:val="0"/>
        <w:rPr>
          <w:rFonts w:ascii="Arial" w:hAnsi="Arial" w:cs="Times New Roman"/>
          <w:sz w:val="24"/>
        </w:rPr>
      </w:pPr>
      <w:r w:rsidRPr="0038314C">
        <w:rPr>
          <w:rFonts w:ascii="Arial" w:hAnsi="Arial" w:cs="Times New Roman"/>
          <w:sz w:val="24"/>
        </w:rPr>
        <w:lastRenderedPageBreak/>
        <w:t xml:space="preserve">where necessity for an activity arises due to regulatory intelligence about concerns regarding the quality of care and services </w:t>
      </w:r>
    </w:p>
    <w:p w14:paraId="253103E7" w14:textId="77777777" w:rsidR="001E2715" w:rsidRPr="0038314C" w:rsidRDefault="001E2715" w:rsidP="00CE6B25">
      <w:pPr>
        <w:pStyle w:val="ListParagraph"/>
        <w:numPr>
          <w:ilvl w:val="0"/>
          <w:numId w:val="43"/>
        </w:numPr>
        <w:spacing w:after="120"/>
        <w:ind w:left="357" w:hanging="357"/>
        <w:contextualSpacing w:val="0"/>
        <w:rPr>
          <w:rFonts w:ascii="Arial" w:hAnsi="Arial" w:cs="Times New Roman"/>
          <w:sz w:val="24"/>
        </w:rPr>
      </w:pPr>
      <w:r w:rsidRPr="0038314C">
        <w:rPr>
          <w:rFonts w:ascii="Arial" w:hAnsi="Arial" w:cs="Times New Roman"/>
          <w:sz w:val="24"/>
        </w:rPr>
        <w:t>where the Commission has concerns that the approved provider may not be complying with the Quality Standards</w:t>
      </w:r>
    </w:p>
    <w:p w14:paraId="646F8E61" w14:textId="77777777" w:rsidR="001E2715" w:rsidRPr="0038314C" w:rsidRDefault="001E2715" w:rsidP="00CE6B25">
      <w:pPr>
        <w:pStyle w:val="ListParagraph"/>
        <w:numPr>
          <w:ilvl w:val="0"/>
          <w:numId w:val="43"/>
        </w:numPr>
        <w:spacing w:after="120"/>
        <w:ind w:left="357" w:hanging="357"/>
        <w:contextualSpacing w:val="0"/>
        <w:rPr>
          <w:rFonts w:ascii="Arial" w:hAnsi="Arial" w:cs="Times New Roman"/>
          <w:sz w:val="24"/>
        </w:rPr>
      </w:pPr>
      <w:r w:rsidRPr="0038314C">
        <w:rPr>
          <w:rFonts w:ascii="Arial" w:hAnsi="Arial" w:cs="Times New Roman"/>
          <w:sz w:val="24"/>
        </w:rPr>
        <w:t xml:space="preserve">notified ‘dates considered not suitable’ and reasons provided are noted by the Commission as being inconsistent with the criteria. </w:t>
      </w:r>
    </w:p>
    <w:p w14:paraId="26B61ACC" w14:textId="77777777" w:rsidR="001E2715" w:rsidRPr="0038314C" w:rsidRDefault="001E2715" w:rsidP="001E2715">
      <w:pPr>
        <w:spacing w:before="120"/>
        <w:rPr>
          <w:rFonts w:ascii="Arial" w:hAnsi="Arial" w:cs="Times New Roman"/>
          <w:sz w:val="24"/>
        </w:rPr>
      </w:pPr>
      <w:r w:rsidRPr="0038314C">
        <w:rPr>
          <w:rFonts w:ascii="Arial" w:hAnsi="Arial" w:cs="Arial"/>
          <w:sz w:val="24"/>
          <w:szCs w:val="28"/>
        </w:rPr>
        <w:t xml:space="preserve">The Commission will not consider </w:t>
      </w:r>
      <w:r w:rsidRPr="0038314C">
        <w:rPr>
          <w:rFonts w:ascii="Arial" w:hAnsi="Arial" w:cs="Arial"/>
          <w:sz w:val="24"/>
        </w:rPr>
        <w:t xml:space="preserve">excluded dates </w:t>
      </w:r>
      <w:r w:rsidRPr="0038314C">
        <w:rPr>
          <w:rFonts w:ascii="Arial" w:hAnsi="Arial" w:cs="Arial"/>
          <w:sz w:val="24"/>
          <w:szCs w:val="28"/>
        </w:rPr>
        <w:t>in these circumstances.</w:t>
      </w:r>
    </w:p>
    <w:p w14:paraId="332ECBBE" w14:textId="565475E7" w:rsidR="001E2715" w:rsidRPr="001E2715" w:rsidRDefault="001E2715" w:rsidP="001E2715">
      <w:pPr>
        <w:keepNext/>
        <w:keepLines/>
        <w:numPr>
          <w:ilvl w:val="0"/>
          <w:numId w:val="38"/>
        </w:numPr>
        <w:spacing w:before="120"/>
        <w:ind w:left="567" w:hanging="567"/>
        <w:outlineLvl w:val="1"/>
        <w:rPr>
          <w:rFonts w:ascii="Arial" w:hAnsi="Arial" w:cs="Times New Roman"/>
          <w:b/>
          <w:sz w:val="28"/>
        </w:rPr>
      </w:pPr>
      <w:r w:rsidRPr="001E2715">
        <w:rPr>
          <w:rFonts w:ascii="Arial" w:hAnsi="Arial" w:cs="Times New Roman"/>
          <w:b/>
          <w:sz w:val="28"/>
        </w:rPr>
        <w:t xml:space="preserve">Do these </w:t>
      </w:r>
      <w:r w:rsidR="002F7A01">
        <w:rPr>
          <w:rFonts w:ascii="Arial" w:hAnsi="Arial" w:cs="Times New Roman"/>
          <w:b/>
          <w:sz w:val="28"/>
        </w:rPr>
        <w:t>arrangements</w:t>
      </w:r>
      <w:r w:rsidR="002F7A01" w:rsidRPr="001E2715">
        <w:rPr>
          <w:rFonts w:ascii="Arial" w:hAnsi="Arial" w:cs="Times New Roman"/>
          <w:b/>
          <w:sz w:val="28"/>
        </w:rPr>
        <w:t xml:space="preserve"> </w:t>
      </w:r>
      <w:r w:rsidRPr="001E2715">
        <w:rPr>
          <w:rFonts w:ascii="Arial" w:hAnsi="Arial" w:cs="Times New Roman"/>
          <w:b/>
          <w:sz w:val="28"/>
        </w:rPr>
        <w:t>apply to home services?</w:t>
      </w:r>
    </w:p>
    <w:p w14:paraId="49F3B43C" w14:textId="1A850934" w:rsidR="00A34F27" w:rsidRDefault="001E2715" w:rsidP="00A34F27">
      <w:pPr>
        <w:spacing w:before="120"/>
        <w:rPr>
          <w:rFonts w:ascii="Arial" w:hAnsi="Arial" w:cs="Times New Roman"/>
          <w:sz w:val="24"/>
        </w:rPr>
      </w:pPr>
      <w:r w:rsidRPr="0038314C">
        <w:rPr>
          <w:rFonts w:ascii="Arial" w:hAnsi="Arial" w:cs="Times New Roman"/>
          <w:sz w:val="24"/>
        </w:rPr>
        <w:t xml:space="preserve">The majority of visits to home services are ‘announced’ and the date of the visit is scheduled in consultation with the home service provider. The Aged Care Quality and Safety Commissioner (Commissioner) may organise a </w:t>
      </w:r>
      <w:r w:rsidR="00D86CCB">
        <w:rPr>
          <w:rFonts w:ascii="Arial" w:hAnsi="Arial" w:cs="Times New Roman"/>
          <w:sz w:val="24"/>
        </w:rPr>
        <w:t>quality audit</w:t>
      </w:r>
      <w:r w:rsidRPr="0038314C">
        <w:rPr>
          <w:rFonts w:ascii="Arial" w:hAnsi="Arial" w:cs="Times New Roman"/>
          <w:sz w:val="24"/>
        </w:rPr>
        <w:t xml:space="preserve"> site visit without written notice under the Rules if the Commissioner considers on reasonable grounds that the home service may not be complying with the Quality Standards. The Commissioner may also make an assessment contact with a home service provider at any time and without notice. </w:t>
      </w:r>
    </w:p>
    <w:p w14:paraId="25564813" w14:textId="77777777" w:rsidR="001E2715" w:rsidRPr="001E2715" w:rsidRDefault="001E2715" w:rsidP="008F3FAB">
      <w:pPr>
        <w:spacing w:before="120"/>
        <w:rPr>
          <w:rFonts w:ascii="Arial" w:hAnsi="Arial" w:cs="Times New Roman"/>
          <w:b/>
          <w:sz w:val="32"/>
        </w:rPr>
      </w:pPr>
      <w:r w:rsidRPr="001E2715">
        <w:rPr>
          <w:rFonts w:ascii="Arial" w:hAnsi="Arial" w:cs="Times New Roman"/>
          <w:b/>
          <w:sz w:val="32"/>
        </w:rPr>
        <w:t>Need to know more?</w:t>
      </w:r>
    </w:p>
    <w:p w14:paraId="7A17D86A" w14:textId="77777777" w:rsidR="001E2715" w:rsidRPr="0038314C" w:rsidRDefault="001E2715" w:rsidP="001E2715">
      <w:pPr>
        <w:spacing w:before="120"/>
        <w:rPr>
          <w:rFonts w:ascii="Arial" w:hAnsi="Arial" w:cs="Times New Roman"/>
          <w:sz w:val="24"/>
        </w:rPr>
      </w:pPr>
      <w:r w:rsidRPr="0038314C">
        <w:rPr>
          <w:rFonts w:ascii="Arial" w:hAnsi="Arial" w:cs="Arial"/>
          <w:b/>
          <w:sz w:val="24"/>
          <w:szCs w:val="24"/>
        </w:rPr>
        <w:t xml:space="preserve">If you have any </w:t>
      </w:r>
      <w:proofErr w:type="gramStart"/>
      <w:r w:rsidRPr="0038314C">
        <w:rPr>
          <w:rFonts w:ascii="Arial" w:hAnsi="Arial" w:cs="Arial"/>
          <w:b/>
          <w:sz w:val="24"/>
          <w:szCs w:val="24"/>
        </w:rPr>
        <w:t>questions</w:t>
      </w:r>
      <w:proofErr w:type="gramEnd"/>
      <w:r w:rsidRPr="0038314C">
        <w:rPr>
          <w:rFonts w:ascii="Arial" w:hAnsi="Arial" w:cs="Arial"/>
          <w:b/>
          <w:sz w:val="24"/>
          <w:szCs w:val="24"/>
        </w:rPr>
        <w:t xml:space="preserve"> contact our policy helpdesk by email on: </w:t>
      </w:r>
      <w:hyperlink r:id="rId21" w:history="1">
        <w:r w:rsidRPr="0038314C">
          <w:rPr>
            <w:rFonts w:ascii="Arial" w:hAnsi="Arial" w:cs="Arial"/>
            <w:b/>
            <w:color w:val="0000FF" w:themeColor="hyperlink"/>
            <w:sz w:val="24"/>
            <w:szCs w:val="24"/>
            <w:u w:val="single"/>
          </w:rPr>
          <w:t>regulatorypolicy@agedcarequality.gov.au</w:t>
        </w:r>
      </w:hyperlink>
    </w:p>
    <w:p w14:paraId="7FD660B3" w14:textId="77777777" w:rsidR="001E2715" w:rsidRPr="0038314C" w:rsidRDefault="001E2715" w:rsidP="001E2715">
      <w:pPr>
        <w:spacing w:before="120"/>
        <w:rPr>
          <w:rFonts w:ascii="Arial" w:hAnsi="Arial" w:cs="Times New Roman"/>
          <w:b/>
          <w:sz w:val="24"/>
        </w:rPr>
      </w:pPr>
      <w:r w:rsidRPr="0038314C">
        <w:rPr>
          <w:rFonts w:ascii="Arial" w:hAnsi="Arial" w:cs="Times New Roman"/>
          <w:b/>
          <w:sz w:val="24"/>
        </w:rPr>
        <w:t xml:space="preserve">Stay up to date with Regulatory Bulletin releases by subscribing to the Commission’s newsletter. </w:t>
      </w:r>
    </w:p>
    <w:p w14:paraId="5E48BF84" w14:textId="77777777" w:rsidR="00703958" w:rsidRPr="00C047E6" w:rsidRDefault="00703958" w:rsidP="001B7744">
      <w:pPr>
        <w:spacing w:before="120"/>
        <w:rPr>
          <w:rFonts w:ascii="Arial" w:hAnsi="Arial" w:cs="Arial"/>
          <w:sz w:val="14"/>
          <w:szCs w:val="14"/>
        </w:rPr>
      </w:pPr>
    </w:p>
    <w:sectPr w:rsidR="00703958" w:rsidRPr="00C047E6" w:rsidSect="00227AF7">
      <w:headerReference w:type="default" r:id="rId22"/>
      <w:footerReference w:type="default" r:id="rId23"/>
      <w:headerReference w:type="first" r:id="rId24"/>
      <w:footerReference w:type="first" r:id="rId25"/>
      <w:pgSz w:w="11906" w:h="16838"/>
      <w:pgMar w:top="1559" w:right="1134" w:bottom="992" w:left="1134"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9517" w14:textId="77777777" w:rsidR="00B55087" w:rsidRDefault="00B55087" w:rsidP="00491F2B">
      <w:pPr>
        <w:spacing w:after="0" w:line="240" w:lineRule="auto"/>
      </w:pPr>
      <w:r>
        <w:separator/>
      </w:r>
    </w:p>
  </w:endnote>
  <w:endnote w:type="continuationSeparator" w:id="0">
    <w:p w14:paraId="0314A698" w14:textId="77777777" w:rsidR="00B55087" w:rsidRDefault="00B55087" w:rsidP="0049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E162" w14:textId="77777777" w:rsidR="003B2E79" w:rsidRPr="00C74995" w:rsidRDefault="00981A1C" w:rsidP="00227AF7">
    <w:pPr>
      <w:pStyle w:val="Footer"/>
      <w:tabs>
        <w:tab w:val="clear" w:pos="4513"/>
        <w:tab w:val="clear" w:pos="9026"/>
        <w:tab w:val="right" w:pos="9923"/>
      </w:tabs>
      <w:rPr>
        <w:rFonts w:ascii="Arial" w:eastAsia="Calibri" w:hAnsi="Arial" w:cs="Times New Roman"/>
        <w:sz w:val="16"/>
        <w:szCs w:val="16"/>
      </w:rPr>
    </w:pPr>
    <w:r w:rsidRPr="00981A1C">
      <w:rPr>
        <w:rFonts w:ascii="Arial" w:eastAsia="Calibri" w:hAnsi="Arial" w:cs="Times New Roman"/>
        <w:sz w:val="16"/>
        <w:szCs w:val="16"/>
      </w:rPr>
      <w:t>Exclusion of specific dates for unannounced visits</w:t>
    </w:r>
    <w:r w:rsidR="004F4E72">
      <w:rPr>
        <w:rFonts w:ascii="Arial" w:eastAsia="Calibri" w:hAnsi="Arial" w:cs="Times New Roman"/>
        <w:sz w:val="16"/>
        <w:szCs w:val="16"/>
      </w:rPr>
      <w:t xml:space="preserve"> </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3B2E79">
      <w:rPr>
        <w:rFonts w:ascii="Arial" w:eastAsia="Calibri" w:hAnsi="Arial" w:cs="Times New Roman"/>
        <w:sz w:val="16"/>
        <w:szCs w:val="16"/>
      </w:rPr>
      <w:t>0</w:t>
    </w:r>
    <w:r w:rsidR="00CF53E6">
      <w:rPr>
        <w:rFonts w:ascii="Arial" w:eastAsia="Calibri" w:hAnsi="Arial" w:cs="Times New Roman"/>
        <w:sz w:val="16"/>
        <w:szCs w:val="16"/>
      </w:rPr>
      <w:t>60</w:t>
    </w:r>
    <w:r>
      <w:rPr>
        <w:rFonts w:ascii="Arial" w:eastAsia="Calibri" w:hAnsi="Arial" w:cs="Times New Roman"/>
        <w:sz w:val="16"/>
        <w:szCs w:val="16"/>
      </w:rPr>
      <w:t>3</w:t>
    </w:r>
    <w:r w:rsidR="003B2E79" w:rsidRPr="00C74995">
      <w:rPr>
        <w:rFonts w:ascii="Arial" w:eastAsia="Calibri" w:hAnsi="Arial" w:cs="Times New Roman"/>
        <w:sz w:val="16"/>
        <w:szCs w:val="16"/>
      </w:rPr>
      <w:t xml:space="preserve"> v</w:t>
    </w:r>
    <w:r w:rsidR="002F2F77">
      <w:rPr>
        <w:rFonts w:ascii="Arial" w:eastAsia="Calibri" w:hAnsi="Arial" w:cs="Times New Roman"/>
        <w:sz w:val="16"/>
        <w:szCs w:val="16"/>
      </w:rPr>
      <w:t>3.0</w:t>
    </w:r>
  </w:p>
  <w:p w14:paraId="1AB95847" w14:textId="77777777" w:rsidR="003B2E79" w:rsidRPr="003B2E79" w:rsidRDefault="003B2E79"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D1FA" w14:textId="77777777" w:rsidR="003B2E79" w:rsidRPr="00C74995" w:rsidRDefault="00981A1C" w:rsidP="00227AF7">
    <w:pPr>
      <w:pStyle w:val="Footer"/>
      <w:tabs>
        <w:tab w:val="clear" w:pos="4513"/>
        <w:tab w:val="clear" w:pos="9026"/>
        <w:tab w:val="right" w:pos="9923"/>
      </w:tabs>
      <w:rPr>
        <w:rFonts w:ascii="Arial" w:eastAsia="Calibri" w:hAnsi="Arial" w:cs="Times New Roman"/>
        <w:sz w:val="16"/>
        <w:szCs w:val="16"/>
      </w:rPr>
    </w:pPr>
    <w:r w:rsidRPr="00981A1C">
      <w:rPr>
        <w:rFonts w:ascii="Arial" w:eastAsia="Calibri" w:hAnsi="Arial" w:cs="Times New Roman"/>
        <w:sz w:val="16"/>
        <w:szCs w:val="16"/>
      </w:rPr>
      <w:t>Exclusion of specific dates for unannounced visits</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82030D">
      <w:rPr>
        <w:rFonts w:ascii="Arial" w:eastAsia="Calibri" w:hAnsi="Arial" w:cs="Times New Roman"/>
        <w:sz w:val="16"/>
        <w:szCs w:val="16"/>
      </w:rPr>
      <w:t>0</w:t>
    </w:r>
    <w:r w:rsidR="00E12EF9">
      <w:rPr>
        <w:rFonts w:ascii="Arial" w:eastAsia="Calibri" w:hAnsi="Arial" w:cs="Times New Roman"/>
        <w:sz w:val="16"/>
        <w:szCs w:val="16"/>
      </w:rPr>
      <w:t>60</w:t>
    </w:r>
    <w:r>
      <w:rPr>
        <w:rFonts w:ascii="Arial" w:eastAsia="Calibri" w:hAnsi="Arial" w:cs="Times New Roman"/>
        <w:sz w:val="16"/>
        <w:szCs w:val="16"/>
      </w:rPr>
      <w:t>3</w:t>
    </w:r>
    <w:r w:rsidR="003B2E79" w:rsidRPr="00C74995">
      <w:rPr>
        <w:rFonts w:ascii="Arial" w:eastAsia="Calibri" w:hAnsi="Arial" w:cs="Times New Roman"/>
        <w:sz w:val="16"/>
        <w:szCs w:val="16"/>
      </w:rPr>
      <w:t xml:space="preserve"> v</w:t>
    </w:r>
    <w:r w:rsidR="002F2F77">
      <w:rPr>
        <w:rFonts w:ascii="Arial" w:eastAsia="Calibri" w:hAnsi="Arial" w:cs="Times New Roman"/>
        <w:sz w:val="16"/>
        <w:szCs w:val="16"/>
      </w:rPr>
      <w:t>3.0</w:t>
    </w:r>
  </w:p>
  <w:p w14:paraId="121E32DF" w14:textId="77777777" w:rsidR="003B2E79" w:rsidRPr="003B2E79" w:rsidRDefault="003B2E79"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1</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DB00" w14:textId="77777777" w:rsidR="00B55087" w:rsidRDefault="00B55087" w:rsidP="00491F2B">
      <w:pPr>
        <w:spacing w:after="0" w:line="240" w:lineRule="auto"/>
      </w:pPr>
      <w:r>
        <w:separator/>
      </w:r>
    </w:p>
  </w:footnote>
  <w:footnote w:type="continuationSeparator" w:id="0">
    <w:p w14:paraId="04BDCF8B" w14:textId="77777777" w:rsidR="00B55087" w:rsidRDefault="00B55087" w:rsidP="00491F2B">
      <w:pPr>
        <w:spacing w:after="0" w:line="240" w:lineRule="auto"/>
      </w:pPr>
      <w:r>
        <w:continuationSeparator/>
      </w:r>
    </w:p>
  </w:footnote>
  <w:footnote w:id="1">
    <w:p w14:paraId="154B7F9E" w14:textId="77777777" w:rsidR="000A3988" w:rsidRPr="000A3988" w:rsidRDefault="000A3988" w:rsidP="000A3988">
      <w:pPr>
        <w:pStyle w:val="FootnoteText"/>
        <w:rPr>
          <w:rFonts w:ascii="Arial" w:hAnsi="Arial" w:cs="Arial"/>
        </w:rPr>
      </w:pPr>
      <w:r w:rsidRPr="000A3988">
        <w:rPr>
          <w:rStyle w:val="FootnoteReference"/>
          <w:rFonts w:ascii="Arial" w:hAnsi="Arial" w:cs="Arial"/>
        </w:rPr>
        <w:footnoteRef/>
      </w:r>
      <w:r w:rsidRPr="000A3988">
        <w:rPr>
          <w:rFonts w:ascii="Arial" w:hAnsi="Arial" w:cs="Arial"/>
        </w:rPr>
        <w:t xml:space="preserve"> </w:t>
      </w:r>
      <w:hyperlink r:id="rId1" w:history="1">
        <w:r w:rsidRPr="000A3988">
          <w:rPr>
            <w:rStyle w:val="Hyperlink"/>
            <w:rFonts w:ascii="Arial" w:hAnsi="Arial" w:cs="Arial"/>
          </w:rPr>
          <w:t>https://www.agedcarequality.gov.au/resources/aged-care-quality-and-safety-commission-glossary</w:t>
        </w:r>
      </w:hyperlink>
    </w:p>
  </w:footnote>
  <w:footnote w:id="2">
    <w:p w14:paraId="4A05366D" w14:textId="49391710" w:rsidR="005752E5" w:rsidRPr="005752E5" w:rsidRDefault="005752E5">
      <w:pPr>
        <w:pStyle w:val="FootnoteText"/>
        <w:rPr>
          <w:rFonts w:ascii="Arial" w:hAnsi="Arial" w:cs="Arial"/>
        </w:rPr>
      </w:pPr>
      <w:r w:rsidRPr="005752E5">
        <w:rPr>
          <w:rStyle w:val="FootnoteReference"/>
          <w:rFonts w:ascii="Arial" w:hAnsi="Arial" w:cs="Arial"/>
        </w:rPr>
        <w:footnoteRef/>
      </w:r>
      <w:r w:rsidRPr="005752E5">
        <w:rPr>
          <w:rFonts w:ascii="Arial" w:hAnsi="Arial" w:cs="Arial"/>
        </w:rPr>
        <w:t xml:space="preserve"> https://www.agedcarequality.gov.au/providers/assessment-processes/re-accreditation-of-residential-services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F3F5" w14:textId="77777777" w:rsidR="00227AF7" w:rsidRDefault="00262942" w:rsidP="00262942">
    <w:pPr>
      <w:pStyle w:val="Header"/>
      <w:spacing w:after="840"/>
    </w:pPr>
    <w:r>
      <w:rPr>
        <w:noProof/>
        <w:sz w:val="20"/>
      </w:rPr>
      <w:drawing>
        <wp:anchor distT="0" distB="0" distL="114300" distR="114300" simplePos="0" relativeHeight="251663360" behindDoc="1" locked="0" layoutInCell="1" allowOverlap="1" wp14:anchorId="344E5AB4" wp14:editId="3CFA7F89">
          <wp:simplePos x="0" y="0"/>
          <wp:positionH relativeFrom="page">
            <wp:posOffset>15240</wp:posOffset>
          </wp:positionH>
          <wp:positionV relativeFrom="paragraph">
            <wp:posOffset>-429260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A71" w14:textId="77777777" w:rsidR="00C74995" w:rsidRDefault="00227AF7">
    <w:pPr>
      <w:pStyle w:val="Header"/>
    </w:pPr>
    <w:r>
      <w:rPr>
        <w:noProof/>
        <w:sz w:val="20"/>
        <w:lang w:eastAsia="en-AU"/>
      </w:rPr>
      <w:drawing>
        <wp:anchor distT="0" distB="0" distL="114300" distR="114300" simplePos="0" relativeHeight="251661312" behindDoc="1" locked="0" layoutInCell="1" allowOverlap="1" wp14:anchorId="70FB83EE" wp14:editId="7C014781">
          <wp:simplePos x="0" y="0"/>
          <wp:positionH relativeFrom="column">
            <wp:posOffset>6993255</wp:posOffset>
          </wp:positionH>
          <wp:positionV relativeFrom="paragraph">
            <wp:posOffset>-459740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456"/>
    <w:multiLevelType w:val="hybridMultilevel"/>
    <w:tmpl w:val="7862D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B0BDC"/>
    <w:multiLevelType w:val="hybridMultilevel"/>
    <w:tmpl w:val="6DC6B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36070"/>
    <w:multiLevelType w:val="hybridMultilevel"/>
    <w:tmpl w:val="07E895F6"/>
    <w:lvl w:ilvl="0" w:tplc="733C26A2">
      <w:start w:val="1"/>
      <w:numFmt w:val="lowerLetter"/>
      <w:lvlText w:val="(%1)"/>
      <w:lvlJc w:val="left"/>
      <w:pPr>
        <w:ind w:left="720" w:hanging="360"/>
      </w:pPr>
      <w:rPr>
        <w:rFonts w:hint="default"/>
      </w:rPr>
    </w:lvl>
    <w:lvl w:ilvl="1" w:tplc="F2DA443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47BF3"/>
    <w:multiLevelType w:val="hybridMultilevel"/>
    <w:tmpl w:val="C4741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6333A2"/>
    <w:multiLevelType w:val="hybridMultilevel"/>
    <w:tmpl w:val="08A8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331CE"/>
    <w:multiLevelType w:val="hybridMultilevel"/>
    <w:tmpl w:val="EAA0A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271CE6"/>
    <w:multiLevelType w:val="hybridMultilevel"/>
    <w:tmpl w:val="B70E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94794"/>
    <w:multiLevelType w:val="hybridMultilevel"/>
    <w:tmpl w:val="5ABC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4B444B"/>
    <w:multiLevelType w:val="hybridMultilevel"/>
    <w:tmpl w:val="8CBA410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347C9"/>
    <w:multiLevelType w:val="hybridMultilevel"/>
    <w:tmpl w:val="4D96E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382BCF"/>
    <w:multiLevelType w:val="hybridMultilevel"/>
    <w:tmpl w:val="ABCA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AF5F02"/>
    <w:multiLevelType w:val="hybridMultilevel"/>
    <w:tmpl w:val="41D2860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2" w15:restartNumberingAfterBreak="0">
    <w:nsid w:val="1B7056FF"/>
    <w:multiLevelType w:val="hybridMultilevel"/>
    <w:tmpl w:val="5B3EE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AA6F66"/>
    <w:multiLevelType w:val="hybridMultilevel"/>
    <w:tmpl w:val="CFBCF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7C653D"/>
    <w:multiLevelType w:val="hybridMultilevel"/>
    <w:tmpl w:val="849836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325493"/>
    <w:multiLevelType w:val="hybridMultilevel"/>
    <w:tmpl w:val="899C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0D2791"/>
    <w:multiLevelType w:val="hybridMultilevel"/>
    <w:tmpl w:val="27DEC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1D6EAD"/>
    <w:multiLevelType w:val="hybridMultilevel"/>
    <w:tmpl w:val="6B8AE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BD6A57"/>
    <w:multiLevelType w:val="hybridMultilevel"/>
    <w:tmpl w:val="D7A0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B803D3"/>
    <w:multiLevelType w:val="hybridMultilevel"/>
    <w:tmpl w:val="D5A0F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8E7A08"/>
    <w:multiLevelType w:val="hybridMultilevel"/>
    <w:tmpl w:val="CD861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191D87"/>
    <w:multiLevelType w:val="hybridMultilevel"/>
    <w:tmpl w:val="459CC1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3D62FFE"/>
    <w:multiLevelType w:val="hybridMultilevel"/>
    <w:tmpl w:val="D368D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FF6759"/>
    <w:multiLevelType w:val="hybridMultilevel"/>
    <w:tmpl w:val="72DCE3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683700"/>
    <w:multiLevelType w:val="hybridMultilevel"/>
    <w:tmpl w:val="57B65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D2023A"/>
    <w:multiLevelType w:val="hybridMultilevel"/>
    <w:tmpl w:val="2B70B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9141B"/>
    <w:multiLevelType w:val="hybridMultilevel"/>
    <w:tmpl w:val="14E606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F42BED"/>
    <w:multiLevelType w:val="hybridMultilevel"/>
    <w:tmpl w:val="A45A942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8" w15:restartNumberingAfterBreak="0">
    <w:nsid w:val="4D5922E0"/>
    <w:multiLevelType w:val="hybridMultilevel"/>
    <w:tmpl w:val="43A0E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F63138"/>
    <w:multiLevelType w:val="hybridMultilevel"/>
    <w:tmpl w:val="036C8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CD65A02"/>
    <w:multiLevelType w:val="hybridMultilevel"/>
    <w:tmpl w:val="409E65AC"/>
    <w:lvl w:ilvl="0" w:tplc="4E86E3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25155"/>
    <w:multiLevelType w:val="hybridMultilevel"/>
    <w:tmpl w:val="336881F6"/>
    <w:lvl w:ilvl="0" w:tplc="CB2609C6">
      <w:start w:val="1"/>
      <w:numFmt w:val="lowerLetter"/>
      <w:lvlText w:val="(%1)"/>
      <w:lvlJc w:val="left"/>
      <w:pPr>
        <w:ind w:left="427" w:hanging="360"/>
      </w:pPr>
      <w:rPr>
        <w:rFonts w:hint="default"/>
      </w:rPr>
    </w:lvl>
    <w:lvl w:ilvl="1" w:tplc="0C090019" w:tentative="1">
      <w:start w:val="1"/>
      <w:numFmt w:val="lowerLetter"/>
      <w:lvlText w:val="%2."/>
      <w:lvlJc w:val="left"/>
      <w:pPr>
        <w:ind w:left="1147" w:hanging="360"/>
      </w:pPr>
    </w:lvl>
    <w:lvl w:ilvl="2" w:tplc="0C09001B" w:tentative="1">
      <w:start w:val="1"/>
      <w:numFmt w:val="lowerRoman"/>
      <w:lvlText w:val="%3."/>
      <w:lvlJc w:val="right"/>
      <w:pPr>
        <w:ind w:left="1867" w:hanging="180"/>
      </w:pPr>
    </w:lvl>
    <w:lvl w:ilvl="3" w:tplc="0C09000F" w:tentative="1">
      <w:start w:val="1"/>
      <w:numFmt w:val="decimal"/>
      <w:lvlText w:val="%4."/>
      <w:lvlJc w:val="left"/>
      <w:pPr>
        <w:ind w:left="2587" w:hanging="360"/>
      </w:pPr>
    </w:lvl>
    <w:lvl w:ilvl="4" w:tplc="0C090019" w:tentative="1">
      <w:start w:val="1"/>
      <w:numFmt w:val="lowerLetter"/>
      <w:lvlText w:val="%5."/>
      <w:lvlJc w:val="left"/>
      <w:pPr>
        <w:ind w:left="3307" w:hanging="360"/>
      </w:pPr>
    </w:lvl>
    <w:lvl w:ilvl="5" w:tplc="0C09001B" w:tentative="1">
      <w:start w:val="1"/>
      <w:numFmt w:val="lowerRoman"/>
      <w:lvlText w:val="%6."/>
      <w:lvlJc w:val="right"/>
      <w:pPr>
        <w:ind w:left="4027" w:hanging="180"/>
      </w:pPr>
    </w:lvl>
    <w:lvl w:ilvl="6" w:tplc="0C09000F" w:tentative="1">
      <w:start w:val="1"/>
      <w:numFmt w:val="decimal"/>
      <w:lvlText w:val="%7."/>
      <w:lvlJc w:val="left"/>
      <w:pPr>
        <w:ind w:left="4747" w:hanging="360"/>
      </w:pPr>
    </w:lvl>
    <w:lvl w:ilvl="7" w:tplc="0C090019" w:tentative="1">
      <w:start w:val="1"/>
      <w:numFmt w:val="lowerLetter"/>
      <w:lvlText w:val="%8."/>
      <w:lvlJc w:val="left"/>
      <w:pPr>
        <w:ind w:left="5467" w:hanging="360"/>
      </w:pPr>
    </w:lvl>
    <w:lvl w:ilvl="8" w:tplc="0C09001B" w:tentative="1">
      <w:start w:val="1"/>
      <w:numFmt w:val="lowerRoman"/>
      <w:lvlText w:val="%9."/>
      <w:lvlJc w:val="right"/>
      <w:pPr>
        <w:ind w:left="6187" w:hanging="180"/>
      </w:pPr>
    </w:lvl>
  </w:abstractNum>
  <w:abstractNum w:abstractNumId="33" w15:restartNumberingAfterBreak="0">
    <w:nsid w:val="609743F8"/>
    <w:multiLevelType w:val="hybridMultilevel"/>
    <w:tmpl w:val="DD5EEDF2"/>
    <w:lvl w:ilvl="0" w:tplc="66240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8207BF"/>
    <w:multiLevelType w:val="hybridMultilevel"/>
    <w:tmpl w:val="CB946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59F40D3"/>
    <w:multiLevelType w:val="hybridMultilevel"/>
    <w:tmpl w:val="5B72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A850E4"/>
    <w:multiLevelType w:val="hybridMultilevel"/>
    <w:tmpl w:val="AE3259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E2309F8"/>
    <w:multiLevelType w:val="hybridMultilevel"/>
    <w:tmpl w:val="64EAD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B417ED"/>
    <w:multiLevelType w:val="hybridMultilevel"/>
    <w:tmpl w:val="36A6F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463217"/>
    <w:multiLevelType w:val="hybridMultilevel"/>
    <w:tmpl w:val="92961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707881"/>
    <w:multiLevelType w:val="hybridMultilevel"/>
    <w:tmpl w:val="B69CEF90"/>
    <w:lvl w:ilvl="0" w:tplc="880CA204">
      <w:start w:val="1"/>
      <w:numFmt w:val="lowerRoman"/>
      <w:lvlText w:val="%1)"/>
      <w:lvlJc w:val="left"/>
      <w:pPr>
        <w:ind w:left="720" w:hanging="360"/>
      </w:pPr>
      <w:rPr>
        <w:rFonts w:hint="default"/>
      </w:rPr>
    </w:lvl>
    <w:lvl w:ilvl="1" w:tplc="F2DA443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F83CE4"/>
    <w:multiLevelType w:val="hybridMultilevel"/>
    <w:tmpl w:val="7580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6060AE"/>
    <w:multiLevelType w:val="hybridMultilevel"/>
    <w:tmpl w:val="9DE02F1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3"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64054029">
    <w:abstractNumId w:val="43"/>
  </w:num>
  <w:num w:numId="2" w16cid:durableId="1498615207">
    <w:abstractNumId w:val="33"/>
  </w:num>
  <w:num w:numId="3" w16cid:durableId="1299414498">
    <w:abstractNumId w:val="31"/>
  </w:num>
  <w:num w:numId="4" w16cid:durableId="1230068833">
    <w:abstractNumId w:val="27"/>
  </w:num>
  <w:num w:numId="5" w16cid:durableId="1651712032">
    <w:abstractNumId w:val="1"/>
  </w:num>
  <w:num w:numId="6" w16cid:durableId="1797797874">
    <w:abstractNumId w:val="4"/>
  </w:num>
  <w:num w:numId="7" w16cid:durableId="239798680">
    <w:abstractNumId w:val="11"/>
  </w:num>
  <w:num w:numId="8" w16cid:durableId="776944340">
    <w:abstractNumId w:val="42"/>
  </w:num>
  <w:num w:numId="9" w16cid:durableId="415976749">
    <w:abstractNumId w:val="30"/>
  </w:num>
  <w:num w:numId="10" w16cid:durableId="875577870">
    <w:abstractNumId w:val="23"/>
  </w:num>
  <w:num w:numId="11" w16cid:durableId="1110391847">
    <w:abstractNumId w:val="10"/>
  </w:num>
  <w:num w:numId="12" w16cid:durableId="169878679">
    <w:abstractNumId w:val="35"/>
  </w:num>
  <w:num w:numId="13" w16cid:durableId="373039294">
    <w:abstractNumId w:val="41"/>
  </w:num>
  <w:num w:numId="14" w16cid:durableId="1886331402">
    <w:abstractNumId w:val="20"/>
  </w:num>
  <w:num w:numId="15" w16cid:durableId="36589229">
    <w:abstractNumId w:val="15"/>
  </w:num>
  <w:num w:numId="16" w16cid:durableId="1926718153">
    <w:abstractNumId w:val="38"/>
  </w:num>
  <w:num w:numId="17" w16cid:durableId="1854563544">
    <w:abstractNumId w:val="37"/>
  </w:num>
  <w:num w:numId="18" w16cid:durableId="134949824">
    <w:abstractNumId w:val="16"/>
  </w:num>
  <w:num w:numId="19" w16cid:durableId="1346207409">
    <w:abstractNumId w:val="18"/>
  </w:num>
  <w:num w:numId="20" w16cid:durableId="998801405">
    <w:abstractNumId w:val="24"/>
  </w:num>
  <w:num w:numId="21" w16cid:durableId="291639013">
    <w:abstractNumId w:val="40"/>
  </w:num>
  <w:num w:numId="22" w16cid:durableId="1656957657">
    <w:abstractNumId w:val="2"/>
  </w:num>
  <w:num w:numId="23" w16cid:durableId="1508642323">
    <w:abstractNumId w:val="25"/>
  </w:num>
  <w:num w:numId="24" w16cid:durableId="1247422600">
    <w:abstractNumId w:val="7"/>
  </w:num>
  <w:num w:numId="25" w16cid:durableId="171191801">
    <w:abstractNumId w:val="28"/>
  </w:num>
  <w:num w:numId="26" w16cid:durableId="1666787650">
    <w:abstractNumId w:val="0"/>
  </w:num>
  <w:num w:numId="27" w16cid:durableId="281228954">
    <w:abstractNumId w:val="14"/>
  </w:num>
  <w:num w:numId="28" w16cid:durableId="707800462">
    <w:abstractNumId w:val="13"/>
  </w:num>
  <w:num w:numId="29" w16cid:durableId="471872783">
    <w:abstractNumId w:val="9"/>
  </w:num>
  <w:num w:numId="30" w16cid:durableId="1010108186">
    <w:abstractNumId w:val="19"/>
  </w:num>
  <w:num w:numId="31" w16cid:durableId="362292767">
    <w:abstractNumId w:val="36"/>
  </w:num>
  <w:num w:numId="32" w16cid:durableId="37164534">
    <w:abstractNumId w:val="34"/>
  </w:num>
  <w:num w:numId="33" w16cid:durableId="1759785078">
    <w:abstractNumId w:val="32"/>
  </w:num>
  <w:num w:numId="34" w16cid:durableId="1122113810">
    <w:abstractNumId w:val="22"/>
  </w:num>
  <w:num w:numId="35" w16cid:durableId="291178004">
    <w:abstractNumId w:val="6"/>
  </w:num>
  <w:num w:numId="36" w16cid:durableId="328410954">
    <w:abstractNumId w:val="8"/>
  </w:num>
  <w:num w:numId="37" w16cid:durableId="1777676148">
    <w:abstractNumId w:val="29"/>
  </w:num>
  <w:num w:numId="38" w16cid:durableId="724987769">
    <w:abstractNumId w:val="21"/>
  </w:num>
  <w:num w:numId="39" w16cid:durableId="1315136836">
    <w:abstractNumId w:val="5"/>
  </w:num>
  <w:num w:numId="40" w16cid:durableId="894586446">
    <w:abstractNumId w:val="26"/>
  </w:num>
  <w:num w:numId="41" w16cid:durableId="113598165">
    <w:abstractNumId w:val="39"/>
  </w:num>
  <w:num w:numId="42" w16cid:durableId="1568612383">
    <w:abstractNumId w:val="12"/>
  </w:num>
  <w:num w:numId="43" w16cid:durableId="41562092">
    <w:abstractNumId w:val="17"/>
  </w:num>
  <w:num w:numId="44" w16cid:durableId="73551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EF"/>
    <w:rsid w:val="00004957"/>
    <w:rsid w:val="00007542"/>
    <w:rsid w:val="00017078"/>
    <w:rsid w:val="00024418"/>
    <w:rsid w:val="000533C1"/>
    <w:rsid w:val="000558D6"/>
    <w:rsid w:val="00055AD1"/>
    <w:rsid w:val="0006133F"/>
    <w:rsid w:val="0007066D"/>
    <w:rsid w:val="00075063"/>
    <w:rsid w:val="0009715B"/>
    <w:rsid w:val="000A0979"/>
    <w:rsid w:val="000A3988"/>
    <w:rsid w:val="000B1D2D"/>
    <w:rsid w:val="000B3B48"/>
    <w:rsid w:val="000B4DEA"/>
    <w:rsid w:val="000B7151"/>
    <w:rsid w:val="000D0604"/>
    <w:rsid w:val="000D0FC7"/>
    <w:rsid w:val="000E5B62"/>
    <w:rsid w:val="000E67F8"/>
    <w:rsid w:val="000F29AD"/>
    <w:rsid w:val="000F2A78"/>
    <w:rsid w:val="000F5774"/>
    <w:rsid w:val="0010051F"/>
    <w:rsid w:val="001064C6"/>
    <w:rsid w:val="00107E87"/>
    <w:rsid w:val="00110665"/>
    <w:rsid w:val="00111081"/>
    <w:rsid w:val="00112ECD"/>
    <w:rsid w:val="00115507"/>
    <w:rsid w:val="00117C01"/>
    <w:rsid w:val="00122006"/>
    <w:rsid w:val="0013591B"/>
    <w:rsid w:val="00142939"/>
    <w:rsid w:val="0015342A"/>
    <w:rsid w:val="00162166"/>
    <w:rsid w:val="0018228D"/>
    <w:rsid w:val="001825CF"/>
    <w:rsid w:val="00187CBD"/>
    <w:rsid w:val="001955FB"/>
    <w:rsid w:val="00196E7E"/>
    <w:rsid w:val="001B019F"/>
    <w:rsid w:val="001B136F"/>
    <w:rsid w:val="001B456E"/>
    <w:rsid w:val="001B5841"/>
    <w:rsid w:val="001B706D"/>
    <w:rsid w:val="001B7744"/>
    <w:rsid w:val="001C6019"/>
    <w:rsid w:val="001E2715"/>
    <w:rsid w:val="001E3064"/>
    <w:rsid w:val="001F4E42"/>
    <w:rsid w:val="0020705C"/>
    <w:rsid w:val="002105C7"/>
    <w:rsid w:val="00211426"/>
    <w:rsid w:val="00212697"/>
    <w:rsid w:val="00212C40"/>
    <w:rsid w:val="002222D4"/>
    <w:rsid w:val="00222556"/>
    <w:rsid w:val="00227AF7"/>
    <w:rsid w:val="00236C2C"/>
    <w:rsid w:val="0024470E"/>
    <w:rsid w:val="00250F5F"/>
    <w:rsid w:val="00253645"/>
    <w:rsid w:val="00261A51"/>
    <w:rsid w:val="00262719"/>
    <w:rsid w:val="00262942"/>
    <w:rsid w:val="00263DB4"/>
    <w:rsid w:val="00276C8B"/>
    <w:rsid w:val="00276E2C"/>
    <w:rsid w:val="00283C39"/>
    <w:rsid w:val="00290A55"/>
    <w:rsid w:val="00297F3A"/>
    <w:rsid w:val="002A43C4"/>
    <w:rsid w:val="002A5FD5"/>
    <w:rsid w:val="002B4029"/>
    <w:rsid w:val="002C40B8"/>
    <w:rsid w:val="002C4B05"/>
    <w:rsid w:val="002C504F"/>
    <w:rsid w:val="002C582B"/>
    <w:rsid w:val="002C5DEA"/>
    <w:rsid w:val="002C7175"/>
    <w:rsid w:val="002D336B"/>
    <w:rsid w:val="002D55B5"/>
    <w:rsid w:val="002D7409"/>
    <w:rsid w:val="002E43BD"/>
    <w:rsid w:val="002E561C"/>
    <w:rsid w:val="002F2F77"/>
    <w:rsid w:val="002F4E1A"/>
    <w:rsid w:val="002F50B1"/>
    <w:rsid w:val="002F7A01"/>
    <w:rsid w:val="0030519F"/>
    <w:rsid w:val="0030732F"/>
    <w:rsid w:val="00325293"/>
    <w:rsid w:val="0032775F"/>
    <w:rsid w:val="00327F21"/>
    <w:rsid w:val="003339A3"/>
    <w:rsid w:val="003441DE"/>
    <w:rsid w:val="0034605C"/>
    <w:rsid w:val="00360BFF"/>
    <w:rsid w:val="003641AE"/>
    <w:rsid w:val="00364FCD"/>
    <w:rsid w:val="00366078"/>
    <w:rsid w:val="003741FC"/>
    <w:rsid w:val="00380F6A"/>
    <w:rsid w:val="0038314C"/>
    <w:rsid w:val="003912F1"/>
    <w:rsid w:val="0039664F"/>
    <w:rsid w:val="003A1BD5"/>
    <w:rsid w:val="003A7BC1"/>
    <w:rsid w:val="003B07BE"/>
    <w:rsid w:val="003B2E79"/>
    <w:rsid w:val="003B3D04"/>
    <w:rsid w:val="003C1385"/>
    <w:rsid w:val="003C6490"/>
    <w:rsid w:val="003D3AD2"/>
    <w:rsid w:val="003D72FC"/>
    <w:rsid w:val="003E7A79"/>
    <w:rsid w:val="00404BC4"/>
    <w:rsid w:val="00412739"/>
    <w:rsid w:val="0042279F"/>
    <w:rsid w:val="004245EB"/>
    <w:rsid w:val="00427E9E"/>
    <w:rsid w:val="004350E9"/>
    <w:rsid w:val="00443B13"/>
    <w:rsid w:val="0044497B"/>
    <w:rsid w:val="0046283E"/>
    <w:rsid w:val="00466ED7"/>
    <w:rsid w:val="00467EA7"/>
    <w:rsid w:val="00472F4B"/>
    <w:rsid w:val="004754B6"/>
    <w:rsid w:val="004820D5"/>
    <w:rsid w:val="00483E25"/>
    <w:rsid w:val="00486A3D"/>
    <w:rsid w:val="00486C9F"/>
    <w:rsid w:val="00487163"/>
    <w:rsid w:val="00487504"/>
    <w:rsid w:val="00491F2B"/>
    <w:rsid w:val="004A0487"/>
    <w:rsid w:val="004A62B5"/>
    <w:rsid w:val="004B378C"/>
    <w:rsid w:val="004C21A5"/>
    <w:rsid w:val="004C4970"/>
    <w:rsid w:val="004D72DE"/>
    <w:rsid w:val="004E08DD"/>
    <w:rsid w:val="004E14BA"/>
    <w:rsid w:val="004F4E72"/>
    <w:rsid w:val="00520761"/>
    <w:rsid w:val="00525568"/>
    <w:rsid w:val="00531681"/>
    <w:rsid w:val="005320D1"/>
    <w:rsid w:val="005328FA"/>
    <w:rsid w:val="00533059"/>
    <w:rsid w:val="005334FA"/>
    <w:rsid w:val="00541093"/>
    <w:rsid w:val="00541CF1"/>
    <w:rsid w:val="00545AD9"/>
    <w:rsid w:val="0056115E"/>
    <w:rsid w:val="00567C0B"/>
    <w:rsid w:val="0057210A"/>
    <w:rsid w:val="00573171"/>
    <w:rsid w:val="005752E5"/>
    <w:rsid w:val="00576FC4"/>
    <w:rsid w:val="005806F2"/>
    <w:rsid w:val="005828A2"/>
    <w:rsid w:val="00591D52"/>
    <w:rsid w:val="005A168D"/>
    <w:rsid w:val="005C1247"/>
    <w:rsid w:val="005C4B53"/>
    <w:rsid w:val="005D2943"/>
    <w:rsid w:val="005E2C80"/>
    <w:rsid w:val="005F04E4"/>
    <w:rsid w:val="005F6FCD"/>
    <w:rsid w:val="006159CC"/>
    <w:rsid w:val="006215E4"/>
    <w:rsid w:val="0062285F"/>
    <w:rsid w:val="00627440"/>
    <w:rsid w:val="00627E0F"/>
    <w:rsid w:val="006315F9"/>
    <w:rsid w:val="00631709"/>
    <w:rsid w:val="006326D6"/>
    <w:rsid w:val="00634B4F"/>
    <w:rsid w:val="006504AC"/>
    <w:rsid w:val="00660FE1"/>
    <w:rsid w:val="00671756"/>
    <w:rsid w:val="006809AD"/>
    <w:rsid w:val="00682FC3"/>
    <w:rsid w:val="00693E2D"/>
    <w:rsid w:val="00695905"/>
    <w:rsid w:val="006A1CC1"/>
    <w:rsid w:val="006A6C7A"/>
    <w:rsid w:val="006A6F35"/>
    <w:rsid w:val="006B2179"/>
    <w:rsid w:val="006C0C07"/>
    <w:rsid w:val="006C0D9D"/>
    <w:rsid w:val="006C1E79"/>
    <w:rsid w:val="006D7415"/>
    <w:rsid w:val="006E0ADC"/>
    <w:rsid w:val="006E5E88"/>
    <w:rsid w:val="006F0508"/>
    <w:rsid w:val="006F49D5"/>
    <w:rsid w:val="007006BB"/>
    <w:rsid w:val="007033D9"/>
    <w:rsid w:val="00703958"/>
    <w:rsid w:val="007100B4"/>
    <w:rsid w:val="0071053B"/>
    <w:rsid w:val="00713EC2"/>
    <w:rsid w:val="0071552C"/>
    <w:rsid w:val="00726A2D"/>
    <w:rsid w:val="007274C1"/>
    <w:rsid w:val="00730AC1"/>
    <w:rsid w:val="0073355B"/>
    <w:rsid w:val="00736B80"/>
    <w:rsid w:val="00745529"/>
    <w:rsid w:val="0075074F"/>
    <w:rsid w:val="00751972"/>
    <w:rsid w:val="0076083A"/>
    <w:rsid w:val="00762490"/>
    <w:rsid w:val="00764432"/>
    <w:rsid w:val="00771A18"/>
    <w:rsid w:val="00773ABF"/>
    <w:rsid w:val="007804E1"/>
    <w:rsid w:val="00780685"/>
    <w:rsid w:val="007911E3"/>
    <w:rsid w:val="00792C54"/>
    <w:rsid w:val="00793680"/>
    <w:rsid w:val="00796A5B"/>
    <w:rsid w:val="007A1EA5"/>
    <w:rsid w:val="007B74AB"/>
    <w:rsid w:val="007C6099"/>
    <w:rsid w:val="007D2519"/>
    <w:rsid w:val="007E5061"/>
    <w:rsid w:val="007F678B"/>
    <w:rsid w:val="008004F2"/>
    <w:rsid w:val="00816832"/>
    <w:rsid w:val="00816B67"/>
    <w:rsid w:val="00817553"/>
    <w:rsid w:val="0081769F"/>
    <w:rsid w:val="00817816"/>
    <w:rsid w:val="0082030D"/>
    <w:rsid w:val="00830976"/>
    <w:rsid w:val="008336F7"/>
    <w:rsid w:val="00844D18"/>
    <w:rsid w:val="008455A5"/>
    <w:rsid w:val="00845BDE"/>
    <w:rsid w:val="00852EE4"/>
    <w:rsid w:val="00854170"/>
    <w:rsid w:val="00857D81"/>
    <w:rsid w:val="00867019"/>
    <w:rsid w:val="00872561"/>
    <w:rsid w:val="008A43A8"/>
    <w:rsid w:val="008B4A3D"/>
    <w:rsid w:val="008C145B"/>
    <w:rsid w:val="008C707F"/>
    <w:rsid w:val="008D2645"/>
    <w:rsid w:val="008D64EC"/>
    <w:rsid w:val="008D7CD8"/>
    <w:rsid w:val="008F05F3"/>
    <w:rsid w:val="008F3FAB"/>
    <w:rsid w:val="00900392"/>
    <w:rsid w:val="00902AFA"/>
    <w:rsid w:val="00907D9D"/>
    <w:rsid w:val="0091496F"/>
    <w:rsid w:val="00914EAA"/>
    <w:rsid w:val="00922C05"/>
    <w:rsid w:val="0092575F"/>
    <w:rsid w:val="00926555"/>
    <w:rsid w:val="0092725D"/>
    <w:rsid w:val="00927828"/>
    <w:rsid w:val="009307F5"/>
    <w:rsid w:val="00931AB3"/>
    <w:rsid w:val="009332E4"/>
    <w:rsid w:val="0094398A"/>
    <w:rsid w:val="00944E51"/>
    <w:rsid w:val="00963BAD"/>
    <w:rsid w:val="00981A1C"/>
    <w:rsid w:val="00986A96"/>
    <w:rsid w:val="009964FD"/>
    <w:rsid w:val="009B6706"/>
    <w:rsid w:val="009C298C"/>
    <w:rsid w:val="009D21BA"/>
    <w:rsid w:val="009D4328"/>
    <w:rsid w:val="009E5800"/>
    <w:rsid w:val="009E63A5"/>
    <w:rsid w:val="00A02560"/>
    <w:rsid w:val="00A028E5"/>
    <w:rsid w:val="00A07B89"/>
    <w:rsid w:val="00A11525"/>
    <w:rsid w:val="00A13E28"/>
    <w:rsid w:val="00A17020"/>
    <w:rsid w:val="00A33D3B"/>
    <w:rsid w:val="00A34F27"/>
    <w:rsid w:val="00A3785B"/>
    <w:rsid w:val="00A41B1E"/>
    <w:rsid w:val="00A46A57"/>
    <w:rsid w:val="00A47DE8"/>
    <w:rsid w:val="00A512BA"/>
    <w:rsid w:val="00A521E8"/>
    <w:rsid w:val="00A57276"/>
    <w:rsid w:val="00A64FEA"/>
    <w:rsid w:val="00A654D7"/>
    <w:rsid w:val="00A72C57"/>
    <w:rsid w:val="00A7660B"/>
    <w:rsid w:val="00A93836"/>
    <w:rsid w:val="00A93B29"/>
    <w:rsid w:val="00AA030A"/>
    <w:rsid w:val="00AA5BE9"/>
    <w:rsid w:val="00AA6183"/>
    <w:rsid w:val="00AC260D"/>
    <w:rsid w:val="00AC52C1"/>
    <w:rsid w:val="00AD25DB"/>
    <w:rsid w:val="00AF6E2F"/>
    <w:rsid w:val="00B00759"/>
    <w:rsid w:val="00B049AC"/>
    <w:rsid w:val="00B23346"/>
    <w:rsid w:val="00B30817"/>
    <w:rsid w:val="00B328B4"/>
    <w:rsid w:val="00B35CEA"/>
    <w:rsid w:val="00B36159"/>
    <w:rsid w:val="00B55087"/>
    <w:rsid w:val="00B57883"/>
    <w:rsid w:val="00B64CBD"/>
    <w:rsid w:val="00B71A62"/>
    <w:rsid w:val="00B77A76"/>
    <w:rsid w:val="00B969AC"/>
    <w:rsid w:val="00B97ADF"/>
    <w:rsid w:val="00BA2684"/>
    <w:rsid w:val="00BA29A4"/>
    <w:rsid w:val="00BA3CB0"/>
    <w:rsid w:val="00BA3FE7"/>
    <w:rsid w:val="00BB40E1"/>
    <w:rsid w:val="00BB7940"/>
    <w:rsid w:val="00BD0141"/>
    <w:rsid w:val="00BE2FCF"/>
    <w:rsid w:val="00BE337E"/>
    <w:rsid w:val="00BF0E45"/>
    <w:rsid w:val="00BF781A"/>
    <w:rsid w:val="00C047E6"/>
    <w:rsid w:val="00C13F15"/>
    <w:rsid w:val="00C30BF2"/>
    <w:rsid w:val="00C350D7"/>
    <w:rsid w:val="00C40082"/>
    <w:rsid w:val="00C43029"/>
    <w:rsid w:val="00C53A5A"/>
    <w:rsid w:val="00C551DC"/>
    <w:rsid w:val="00C72070"/>
    <w:rsid w:val="00C725B0"/>
    <w:rsid w:val="00C74995"/>
    <w:rsid w:val="00C834D4"/>
    <w:rsid w:val="00C862A0"/>
    <w:rsid w:val="00C8662B"/>
    <w:rsid w:val="00C929F6"/>
    <w:rsid w:val="00C92DAF"/>
    <w:rsid w:val="00C95A59"/>
    <w:rsid w:val="00C96A5F"/>
    <w:rsid w:val="00CA4237"/>
    <w:rsid w:val="00CA4EC3"/>
    <w:rsid w:val="00CA5998"/>
    <w:rsid w:val="00CA5A03"/>
    <w:rsid w:val="00CB6BEB"/>
    <w:rsid w:val="00CB721C"/>
    <w:rsid w:val="00CC3FA8"/>
    <w:rsid w:val="00CC474D"/>
    <w:rsid w:val="00CD19A6"/>
    <w:rsid w:val="00CE1EF0"/>
    <w:rsid w:val="00CE6B25"/>
    <w:rsid w:val="00CF53E6"/>
    <w:rsid w:val="00D05904"/>
    <w:rsid w:val="00D135A0"/>
    <w:rsid w:val="00D14838"/>
    <w:rsid w:val="00D21C4A"/>
    <w:rsid w:val="00D240B8"/>
    <w:rsid w:val="00D24E05"/>
    <w:rsid w:val="00D27547"/>
    <w:rsid w:val="00D300CF"/>
    <w:rsid w:val="00D32403"/>
    <w:rsid w:val="00D54352"/>
    <w:rsid w:val="00D54818"/>
    <w:rsid w:val="00D55F45"/>
    <w:rsid w:val="00D60F64"/>
    <w:rsid w:val="00D747BB"/>
    <w:rsid w:val="00D751CC"/>
    <w:rsid w:val="00D84E0A"/>
    <w:rsid w:val="00D85038"/>
    <w:rsid w:val="00D86CCB"/>
    <w:rsid w:val="00D901C3"/>
    <w:rsid w:val="00D9141E"/>
    <w:rsid w:val="00DB1D9B"/>
    <w:rsid w:val="00DB3D65"/>
    <w:rsid w:val="00DB5564"/>
    <w:rsid w:val="00DB6362"/>
    <w:rsid w:val="00DD13C4"/>
    <w:rsid w:val="00DD19E2"/>
    <w:rsid w:val="00DD4126"/>
    <w:rsid w:val="00DE23E2"/>
    <w:rsid w:val="00DE3FD3"/>
    <w:rsid w:val="00DF40CF"/>
    <w:rsid w:val="00E00499"/>
    <w:rsid w:val="00E12EF9"/>
    <w:rsid w:val="00E14E19"/>
    <w:rsid w:val="00E32A1E"/>
    <w:rsid w:val="00E347AB"/>
    <w:rsid w:val="00E43373"/>
    <w:rsid w:val="00E51CBF"/>
    <w:rsid w:val="00E53357"/>
    <w:rsid w:val="00E57EDE"/>
    <w:rsid w:val="00E611EF"/>
    <w:rsid w:val="00E62910"/>
    <w:rsid w:val="00E778CD"/>
    <w:rsid w:val="00E832DC"/>
    <w:rsid w:val="00E87894"/>
    <w:rsid w:val="00E91382"/>
    <w:rsid w:val="00E93790"/>
    <w:rsid w:val="00EA640F"/>
    <w:rsid w:val="00EB5C2B"/>
    <w:rsid w:val="00EC0355"/>
    <w:rsid w:val="00ED053A"/>
    <w:rsid w:val="00ED098D"/>
    <w:rsid w:val="00ED24B6"/>
    <w:rsid w:val="00ED31AA"/>
    <w:rsid w:val="00ED69BE"/>
    <w:rsid w:val="00EE47EF"/>
    <w:rsid w:val="00EF4C7C"/>
    <w:rsid w:val="00F116A4"/>
    <w:rsid w:val="00F171E7"/>
    <w:rsid w:val="00F20DA0"/>
    <w:rsid w:val="00F3552C"/>
    <w:rsid w:val="00F3650D"/>
    <w:rsid w:val="00F50D55"/>
    <w:rsid w:val="00F56A7A"/>
    <w:rsid w:val="00F57408"/>
    <w:rsid w:val="00F65460"/>
    <w:rsid w:val="00F657F3"/>
    <w:rsid w:val="00F76FC0"/>
    <w:rsid w:val="00F96221"/>
    <w:rsid w:val="00FA2F52"/>
    <w:rsid w:val="00FA54FE"/>
    <w:rsid w:val="00FA6B4D"/>
    <w:rsid w:val="00FB4670"/>
    <w:rsid w:val="00FC5A78"/>
    <w:rsid w:val="00FE4E25"/>
    <w:rsid w:val="00FE58E4"/>
    <w:rsid w:val="00FE62E9"/>
    <w:rsid w:val="00FE6943"/>
    <w:rsid w:val="00FE74B6"/>
    <w:rsid w:val="00FE7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QSCTitle">
    <w:name w:val="ACQSC Title"/>
    <w:basedOn w:val="Title"/>
    <w:rsid w:val="00B36159"/>
    <w:pPr>
      <w:pBdr>
        <w:bottom w:val="none" w:sz="0" w:space="0" w:color="auto"/>
      </w:pBdr>
      <w:spacing w:after="0" w:line="276" w:lineRule="auto"/>
      <w:contextualSpacing w:val="0"/>
      <w:jc w:val="center"/>
      <w:outlineLvl w:val="2"/>
    </w:pPr>
    <w:rPr>
      <w:rFonts w:ascii="Arial" w:eastAsia="Times New Roman" w:hAnsi="Arial" w:cs="Times New Roman"/>
      <w:b/>
      <w:color w:val="00577D"/>
      <w:spacing w:val="0"/>
      <w:kern w:val="0"/>
      <w:sz w:val="40"/>
      <w:szCs w:val="20"/>
      <w:lang w:eastAsia="en-AU"/>
    </w:rPr>
  </w:style>
  <w:style w:type="paragraph" w:styleId="Title">
    <w:name w:val="Title"/>
    <w:basedOn w:val="Normal"/>
    <w:next w:val="Normal"/>
    <w:link w:val="TitleChar"/>
    <w:uiPriority w:val="10"/>
    <w:qFormat/>
    <w:rsid w:val="00B36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1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36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hAnsi="Tahoma" w:cs="Tahoma"/>
      <w:sz w:val="16"/>
      <w:szCs w:val="16"/>
    </w:rPr>
  </w:style>
  <w:style w:type="paragraph" w:styleId="Header">
    <w:name w:val="header"/>
    <w:basedOn w:val="Normal"/>
    <w:link w:val="HeaderChar"/>
    <w:uiPriority w:val="99"/>
    <w:unhideWhenUsed/>
    <w:rsid w:val="0049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2B"/>
  </w:style>
  <w:style w:type="paragraph" w:styleId="Footer">
    <w:name w:val="footer"/>
    <w:basedOn w:val="Normal"/>
    <w:link w:val="FooterChar"/>
    <w:uiPriority w:val="99"/>
    <w:unhideWhenUsed/>
    <w:rsid w:val="0049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2B"/>
  </w:style>
  <w:style w:type="character" w:styleId="CommentReference">
    <w:name w:val="annotation reference"/>
    <w:basedOn w:val="DefaultParagraphFont"/>
    <w:uiPriority w:val="99"/>
    <w:semiHidden/>
    <w:unhideWhenUsed/>
    <w:rsid w:val="00D901C3"/>
    <w:rPr>
      <w:sz w:val="16"/>
      <w:szCs w:val="16"/>
    </w:rPr>
  </w:style>
  <w:style w:type="paragraph" w:styleId="CommentText">
    <w:name w:val="annotation text"/>
    <w:basedOn w:val="Normal"/>
    <w:link w:val="CommentTextChar"/>
    <w:uiPriority w:val="99"/>
    <w:semiHidden/>
    <w:unhideWhenUsed/>
    <w:rsid w:val="00D901C3"/>
    <w:pPr>
      <w:spacing w:line="240" w:lineRule="auto"/>
    </w:pPr>
    <w:rPr>
      <w:sz w:val="20"/>
      <w:szCs w:val="20"/>
    </w:rPr>
  </w:style>
  <w:style w:type="character" w:customStyle="1" w:styleId="CommentTextChar">
    <w:name w:val="Comment Text Char"/>
    <w:basedOn w:val="DefaultParagraphFont"/>
    <w:link w:val="CommentText"/>
    <w:uiPriority w:val="99"/>
    <w:semiHidden/>
    <w:rsid w:val="00D901C3"/>
    <w:rPr>
      <w:sz w:val="20"/>
      <w:szCs w:val="20"/>
    </w:rPr>
  </w:style>
  <w:style w:type="paragraph" w:styleId="CommentSubject">
    <w:name w:val="annotation subject"/>
    <w:basedOn w:val="CommentText"/>
    <w:next w:val="CommentText"/>
    <w:link w:val="CommentSubjectChar"/>
    <w:uiPriority w:val="99"/>
    <w:semiHidden/>
    <w:unhideWhenUsed/>
    <w:rsid w:val="00D901C3"/>
    <w:rPr>
      <w:b/>
      <w:bCs/>
    </w:rPr>
  </w:style>
  <w:style w:type="character" w:customStyle="1" w:styleId="CommentSubjectChar">
    <w:name w:val="Comment Subject Char"/>
    <w:basedOn w:val="CommentTextChar"/>
    <w:link w:val="CommentSubject"/>
    <w:uiPriority w:val="99"/>
    <w:semiHidden/>
    <w:rsid w:val="00D901C3"/>
    <w:rPr>
      <w:b/>
      <w:bCs/>
      <w:sz w:val="20"/>
      <w:szCs w:val="20"/>
    </w:rPr>
  </w:style>
  <w:style w:type="paragraph" w:styleId="ListParagraph">
    <w:name w:val="List Paragraph"/>
    <w:basedOn w:val="Normal"/>
    <w:uiPriority w:val="34"/>
    <w:qFormat/>
    <w:rsid w:val="006504AC"/>
    <w:pPr>
      <w:ind w:left="720"/>
      <w:contextualSpacing/>
    </w:pPr>
  </w:style>
  <w:style w:type="paragraph" w:styleId="Revision">
    <w:name w:val="Revision"/>
    <w:hidden/>
    <w:uiPriority w:val="99"/>
    <w:semiHidden/>
    <w:rsid w:val="00364FCD"/>
    <w:pPr>
      <w:spacing w:after="0" w:line="240" w:lineRule="auto"/>
    </w:pPr>
  </w:style>
  <w:style w:type="table" w:styleId="TableGrid">
    <w:name w:val="Table Grid"/>
    <w:basedOn w:val="TableNormal"/>
    <w:uiPriority w:val="5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AF7"/>
    <w:pPr>
      <w:spacing w:after="0" w:line="240" w:lineRule="auto"/>
    </w:pPr>
  </w:style>
  <w:style w:type="table" w:customStyle="1" w:styleId="TableGrid1">
    <w:name w:val="Table Grid1"/>
    <w:basedOn w:val="TableNormal"/>
    <w:next w:val="TableGrid"/>
    <w:uiPriority w:val="59"/>
    <w:rsid w:val="0039664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141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942"/>
    <w:rPr>
      <w:color w:val="0000FF" w:themeColor="hyperlink"/>
      <w:u w:val="single"/>
    </w:rPr>
  </w:style>
  <w:style w:type="character" w:styleId="UnresolvedMention">
    <w:name w:val="Unresolved Mention"/>
    <w:basedOn w:val="DefaultParagraphFont"/>
    <w:uiPriority w:val="99"/>
    <w:semiHidden/>
    <w:unhideWhenUsed/>
    <w:rsid w:val="00262942"/>
    <w:rPr>
      <w:color w:val="605E5C"/>
      <w:shd w:val="clear" w:color="auto" w:fill="E1DFDD"/>
    </w:rPr>
  </w:style>
  <w:style w:type="character" w:styleId="FollowedHyperlink">
    <w:name w:val="FollowedHyperlink"/>
    <w:basedOn w:val="DefaultParagraphFont"/>
    <w:uiPriority w:val="99"/>
    <w:semiHidden/>
    <w:unhideWhenUsed/>
    <w:rsid w:val="00AA5BE9"/>
    <w:rPr>
      <w:color w:val="800080" w:themeColor="followedHyperlink"/>
      <w:u w:val="single"/>
    </w:rPr>
  </w:style>
  <w:style w:type="paragraph" w:styleId="FootnoteText">
    <w:name w:val="footnote text"/>
    <w:basedOn w:val="Normal"/>
    <w:link w:val="FootnoteTextChar"/>
    <w:uiPriority w:val="99"/>
    <w:semiHidden/>
    <w:unhideWhenUsed/>
    <w:rsid w:val="00307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32F"/>
    <w:rPr>
      <w:sz w:val="20"/>
      <w:szCs w:val="20"/>
    </w:rPr>
  </w:style>
  <w:style w:type="character" w:styleId="FootnoteReference">
    <w:name w:val="footnote reference"/>
    <w:basedOn w:val="DefaultParagraphFont"/>
    <w:uiPriority w:val="99"/>
    <w:semiHidden/>
    <w:unhideWhenUsed/>
    <w:rsid w:val="00307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_tas@agedcarequality.gov.au?subject=ATT:%20REGIONAL%20DIRECTOR%20Excluded%20dates%20for%20unannounced%20activity" TargetMode="External"/><Relationship Id="rId18" Type="http://schemas.openxmlformats.org/officeDocument/2006/relationships/hyperlink" Target="mailto:vic_tas@agedcarequality.gov.au?subject=ATT:%20REGIONAL%20DIRECTOR%20Excluded%20dates%20for%20unannounced%20activ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gulatorypolicy@agedcarequality.gov.au" TargetMode="External"/><Relationship Id="rId7" Type="http://schemas.openxmlformats.org/officeDocument/2006/relationships/endnotes" Target="endnotes.xml"/><Relationship Id="rId12" Type="http://schemas.openxmlformats.org/officeDocument/2006/relationships/hyperlink" Target="mailto:queensland@agedcarequality.gov.au?subject=ATT:%20REGIONAL%20DIRECTOR%20Excluded%20dates%20for%20unannounced%20activity" TargetMode="External"/><Relationship Id="rId17" Type="http://schemas.openxmlformats.org/officeDocument/2006/relationships/hyperlink" Target="mailto:queensland@agedcarequality.gov.au?subject=ATT:%20REGIONAL%20DIRECTOR%20Excluded%20dates%20for%20unannounced%20activit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a_nt@agedcarequality.gov.au?subject=ATT:%20REGIONAL%20DIRECTOR%20Excluded%20dates%20for%20unannounced%20activity" TargetMode="External"/><Relationship Id="rId20" Type="http://schemas.openxmlformats.org/officeDocument/2006/relationships/hyperlink" Target="mailto:nsw_act@agedcarequality.gov.au?subject=ATT:%20REGIONAL%20DIRECTOR%20Excluded%20dates%20for%20unannounced%20activ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_nt@agedcarequality.gov.au?subject=ATT:%20REGIONAL%20DIRECTOR%20Excluded%20dates%20for%20unannounced%20activit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nsw_act@agedcarequality.gov.au?subject=ATT:%20REGIONAL%20DIRECTOR%20Excluded%20dates%20for%20unannounced%20activity" TargetMode="External"/><Relationship Id="rId23" Type="http://schemas.openxmlformats.org/officeDocument/2006/relationships/footer" Target="footer1.xml"/><Relationship Id="rId10" Type="http://schemas.openxmlformats.org/officeDocument/2006/relationships/hyperlink" Target="https://www.agedcarequality.gov.au/providers/assessment-processes/re-accreditation-of-residential-services" TargetMode="External"/><Relationship Id="rId19" Type="http://schemas.openxmlformats.org/officeDocument/2006/relationships/hyperlink" Target="mailto:wa@agedcarequality.gov.au?subject=ATT:%20REGIONAL%20DIRECTOR%20Excluded%20dates%20for%20unannounced%20activity" TargetMode="External"/><Relationship Id="rId4" Type="http://schemas.openxmlformats.org/officeDocument/2006/relationships/settings" Target="settings.xml"/><Relationship Id="rId9" Type="http://schemas.openxmlformats.org/officeDocument/2006/relationships/hyperlink" Target="https://www.agedcarequality.gov.au/resources/aged-care-quality-and-safety-commission-glossary" TargetMode="External"/><Relationship Id="rId14" Type="http://schemas.openxmlformats.org/officeDocument/2006/relationships/hyperlink" Target="mailto:wa@agedcarequality.gov.au?subject=ATT:%20REGIONAL%20DIRECTOR%20Excluded%20dates%20for%20unannounced%20activity"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edcarequality.gov.au/resources/aged-care-quality-and-safety-commission-gloss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AF2BC-63CF-46BD-BFA4-3583EB20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2025-09-22T02:03:00Z</dcterms:created>
  <dcterms:modified xsi:type="dcterms:W3CDTF">2025-09-22T02:03:00Z</dcterms:modified>
</cp:coreProperties>
</file>