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149D3520" w:rsidR="003C6EC2" w:rsidRPr="003C6EC2" w:rsidRDefault="003C6EC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60287" behindDoc="1" locked="0" layoutInCell="1" allowOverlap="1" wp14:anchorId="7A137D16" wp14:editId="2EDA194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66D63640" wp14:editId="01AB2E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9D5149">
        <w:rPr>
          <w:rFonts w:ascii="Arial Black" w:hAnsi="Arial Black"/>
        </w:rPr>
        <w:t>Riddell Gardens Hostel</w:t>
      </w:r>
      <w:r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471F54C0" w14:textId="77777777" w:rsidR="00D63D73" w:rsidRDefault="00D63D73" w:rsidP="001E6954">
      <w:pPr>
        <w:tabs>
          <w:tab w:val="left" w:pos="2127"/>
        </w:tabs>
        <w:spacing w:before="120"/>
        <w:rPr>
          <w:color w:val="FFFFFF" w:themeColor="background1"/>
          <w:sz w:val="28"/>
        </w:rPr>
      </w:pPr>
      <w:r>
        <w:rPr>
          <w:color w:val="FFFFFF" w:themeColor="background1"/>
          <w:sz w:val="28"/>
        </w:rPr>
        <w:t>10 Spavin Drive</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Sunbury VIC 3429</w:t>
      </w:r>
    </w:p>
    <w:p w14:paraId="5082D1D9" w14:textId="64AD39D9"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color w:val="FFFFFF" w:themeColor="background1"/>
          <w:sz w:val="28"/>
          <w:szCs w:val="56"/>
          <w:lang w:eastAsia="en-US"/>
        </w:rPr>
        <w:t xml:space="preserve">Phone number: </w:t>
      </w:r>
      <w:r w:rsidR="007112F6" w:rsidRPr="007112F6">
        <w:rPr>
          <w:rFonts w:eastAsia="Calibri"/>
          <w:color w:val="FFFFFF" w:themeColor="background1"/>
          <w:sz w:val="28"/>
          <w:szCs w:val="56"/>
          <w:lang w:eastAsia="en-US"/>
        </w:rPr>
        <w:t>03 9218 5200</w:t>
      </w:r>
    </w:p>
    <w:p w14:paraId="1CD9B515" w14:textId="16B53DDC"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7112F6">
        <w:rPr>
          <w:rFonts w:eastAsia="Calibri"/>
          <w:color w:val="FFFFFF" w:themeColor="background1"/>
          <w:sz w:val="28"/>
          <w:szCs w:val="56"/>
          <w:lang w:eastAsia="en-US"/>
        </w:rPr>
        <w:t>3674</w:t>
      </w:r>
      <w:r w:rsidRPr="003C6EC2">
        <w:rPr>
          <w:rFonts w:eastAsia="Calibri"/>
          <w:color w:val="FFFFFF" w:themeColor="background1"/>
          <w:sz w:val="28"/>
          <w:szCs w:val="56"/>
          <w:lang w:eastAsia="en-US"/>
        </w:rPr>
        <w:t xml:space="preserve"> </w:t>
      </w:r>
    </w:p>
    <w:p w14:paraId="45B95749" w14:textId="3C6E074A"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7112F6">
        <w:rPr>
          <w:rFonts w:eastAsia="Calibri"/>
          <w:color w:val="FFFFFF" w:themeColor="background1"/>
          <w:sz w:val="28"/>
          <w:szCs w:val="56"/>
          <w:lang w:eastAsia="en-US"/>
        </w:rPr>
        <w:t xml:space="preserve">Allity </w:t>
      </w:r>
      <w:r w:rsidR="00242201">
        <w:rPr>
          <w:rFonts w:eastAsia="Calibri"/>
          <w:color w:val="FFFFFF" w:themeColor="background1"/>
          <w:sz w:val="28"/>
          <w:szCs w:val="56"/>
          <w:lang w:eastAsia="en-US"/>
        </w:rPr>
        <w:t>Pty Ltd</w:t>
      </w:r>
    </w:p>
    <w:p w14:paraId="7256631C" w14:textId="77B853E7" w:rsidR="001E6954" w:rsidRPr="003C6EC2" w:rsidRDefault="00242201"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Pr>
          <w:rFonts w:eastAsia="Calibri"/>
          <w:b/>
          <w:color w:val="FFFFFF" w:themeColor="background1"/>
          <w:sz w:val="28"/>
          <w:szCs w:val="56"/>
          <w:lang w:eastAsia="en-US"/>
        </w:rPr>
        <w:t xml:space="preserve"> 10-12 December 2019</w:t>
      </w:r>
    </w:p>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361D7CA" w14:textId="6E4265C2" w:rsidR="007F5256" w:rsidRPr="0094564F" w:rsidRDefault="001E6954"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284573C3" w14:textId="5085F2F3"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3DC6354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77F7FA2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7F449DE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066BA5B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6AC1AA8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22B90F8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3096B219"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203B380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77777777"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1AE25C2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77777777"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78F65A0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1DE87CD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7073F994" w14:textId="7B08E8F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1FDD33EE"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1A474AFD" w14:textId="77777777" w:rsidR="001E6954" w:rsidRPr="001E6954" w:rsidRDefault="001E6954" w:rsidP="004C55D8">
            <w:pPr>
              <w:spacing w:before="40" w:after="40" w:line="240" w:lineRule="auto"/>
              <w:ind w:left="318" w:hanging="7"/>
            </w:pPr>
            <w:r w:rsidRPr="001E6954">
              <w:t>Requirement 3(3)(a)</w:t>
            </w:r>
          </w:p>
        </w:tc>
        <w:tc>
          <w:tcPr>
            <w:tcW w:w="1058" w:type="pct"/>
            <w:shd w:val="clear" w:color="auto" w:fill="auto"/>
          </w:tcPr>
          <w:p w14:paraId="3C1485FB" w14:textId="041DE4F1"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09E49CD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22627D5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376E344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19D8C6A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2C49273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0D7163B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520A0518"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65723F5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6AF59DD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6BB6014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t>Requirement 4(3)(d)</w:t>
            </w:r>
          </w:p>
        </w:tc>
        <w:tc>
          <w:tcPr>
            <w:tcW w:w="1058" w:type="pct"/>
            <w:shd w:val="clear" w:color="auto" w:fill="auto"/>
          </w:tcPr>
          <w:p w14:paraId="2B600E8A" w14:textId="19FFC2B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03DE2B6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7D3382A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63D741A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53FF862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0CCA6D1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4CC907C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573BCB4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2BF37F20"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147C0B7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lastRenderedPageBreak/>
              <w:t>Requirement 6(3)(b)</w:t>
            </w:r>
          </w:p>
        </w:tc>
        <w:tc>
          <w:tcPr>
            <w:tcW w:w="1058" w:type="pct"/>
            <w:shd w:val="clear" w:color="auto" w:fill="auto"/>
          </w:tcPr>
          <w:p w14:paraId="40069490" w14:textId="75D1637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7CE1E11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0085EC6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2CCA0CCC"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5E59B37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3247D5C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08E041B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1E45622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66D2F16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458476C1"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05CC9EA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15EE827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7A110D3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77777777"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7B34D0F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77777777"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344199C7"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1"/>
    </w:tbl>
    <w:p w14:paraId="10AB3775"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54234504" w:rsidR="004B33E7" w:rsidRDefault="004B33E7" w:rsidP="004B33E7">
      <w:pPr>
        <w:pStyle w:val="ListBullet"/>
      </w:pPr>
      <w:r>
        <w:t>t</w:t>
      </w:r>
      <w:r w:rsidRPr="00D63989">
        <w:t xml:space="preserve">he Assessment Team’s report for the </w:t>
      </w:r>
      <w:r w:rsidR="00242201">
        <w:t>Site Audit</w:t>
      </w:r>
      <w:r w:rsidRPr="00D63989">
        <w:t xml:space="preserve">; the </w:t>
      </w:r>
      <w:r w:rsidR="00242201">
        <w:t>Site Audit</w:t>
      </w:r>
      <w:r>
        <w:t xml:space="preserve"> </w:t>
      </w:r>
      <w:r w:rsidRPr="00D63989">
        <w:t>report was informed by</w:t>
      </w:r>
      <w:r w:rsidR="00242201">
        <w:t xml:space="preserve"> </w:t>
      </w:r>
      <w:r w:rsidRPr="005D25E8">
        <w:t>a site assessment, observations at the service, review of documents and interviews with staff, consumers/representatives and others</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6C8BFE92" w14:textId="56F4CDDA"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5F6687F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5D25E8" w:rsidRPr="00703E80">
        <w:rPr>
          <w:color w:val="FFFFFF" w:themeColor="background1"/>
        </w:rPr>
        <w:t xml:space="preserve"> </w:t>
      </w:r>
      <w:r w:rsidRPr="00703E80">
        <w:rPr>
          <w:color w:val="FFFFFF" w:themeColor="background1"/>
        </w:rPr>
        <w:br/>
        <w:t>Consumer dignity and choice</w:t>
      </w:r>
    </w:p>
    <w:p w14:paraId="43734E89" w14:textId="66ADED1C" w:rsidR="0004322A" w:rsidRPr="00D63989" w:rsidRDefault="0004322A" w:rsidP="0004322A">
      <w:pPr>
        <w:pStyle w:val="Heading3"/>
        <w:shd w:val="clear" w:color="auto" w:fill="F2F2F2" w:themeFill="background1" w:themeFillShade="F2"/>
      </w:pPr>
      <w:r w:rsidRPr="00D63989">
        <w:t>Consumer outcome:</w:t>
      </w:r>
    </w:p>
    <w:p w14:paraId="3998A939" w14:textId="0C04DAED"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15982672" w:rsidR="0004322A" w:rsidRPr="00D63989" w:rsidRDefault="0004322A" w:rsidP="0004322A">
      <w:pPr>
        <w:pStyle w:val="Heading3"/>
        <w:shd w:val="clear" w:color="auto" w:fill="F2F2F2" w:themeFill="background1" w:themeFillShade="F2"/>
      </w:pPr>
      <w:r w:rsidRPr="00D63989">
        <w:t>Organisation statement:</w:t>
      </w:r>
    </w:p>
    <w:p w14:paraId="22DF775A" w14:textId="2628E0B8"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1BC97C6A"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62E5C36B"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105BE2DE" w:rsidR="007F5256" w:rsidRDefault="007F5256" w:rsidP="00427817">
      <w:pPr>
        <w:pStyle w:val="Heading2"/>
      </w:pPr>
      <w:r>
        <w:t xml:space="preserve">Assessment </w:t>
      </w:r>
      <w:r w:rsidRPr="002B2C0F">
        <w:t>of Standard</w:t>
      </w:r>
      <w:r>
        <w:t xml:space="preserve"> </w:t>
      </w:r>
      <w:r w:rsidR="00AB336B">
        <w:t>1</w:t>
      </w:r>
    </w:p>
    <w:p w14:paraId="7AC8E7A7" w14:textId="0711E638" w:rsidR="005C05C5" w:rsidRPr="00B7579F" w:rsidRDefault="005B32AF" w:rsidP="00B7579F">
      <w:pPr>
        <w:rPr>
          <w:rFonts w:eastAsia="Calibri"/>
          <w:color w:val="auto"/>
          <w:lang w:eastAsia="en-US"/>
        </w:rPr>
      </w:pPr>
      <w:r>
        <w:rPr>
          <w:rFonts w:eastAsia="Calibri"/>
          <w:color w:val="auto"/>
          <w:lang w:eastAsia="en-US"/>
        </w:rPr>
        <w:t>C</w:t>
      </w:r>
      <w:r w:rsidR="005C05C5" w:rsidRPr="00F9307A">
        <w:rPr>
          <w:rFonts w:eastAsia="Calibri"/>
          <w:color w:val="auto"/>
          <w:lang w:eastAsia="en-US"/>
        </w:rPr>
        <w:t xml:space="preserve">onsumers sampled stated that they are treated with dignity and respect, </w:t>
      </w:r>
      <w:r w:rsidR="00866B9E">
        <w:rPr>
          <w:rFonts w:eastAsia="Calibri"/>
          <w:color w:val="auto"/>
          <w:lang w:eastAsia="en-US"/>
        </w:rPr>
        <w:t xml:space="preserve">their culture is recognised, </w:t>
      </w:r>
      <w:r w:rsidR="008927E5">
        <w:rPr>
          <w:rFonts w:eastAsia="Calibri"/>
          <w:color w:val="auto"/>
          <w:lang w:eastAsia="en-US"/>
        </w:rPr>
        <w:t xml:space="preserve">and </w:t>
      </w:r>
      <w:r>
        <w:rPr>
          <w:rFonts w:eastAsia="Calibri"/>
          <w:color w:val="auto"/>
          <w:lang w:eastAsia="en-US"/>
        </w:rPr>
        <w:t xml:space="preserve">they </w:t>
      </w:r>
      <w:r w:rsidR="005C05C5" w:rsidRPr="00F9307A">
        <w:rPr>
          <w:rFonts w:eastAsia="Calibri"/>
          <w:color w:val="auto"/>
          <w:lang w:eastAsia="en-US"/>
        </w:rPr>
        <w:t>can maintain their identity</w:t>
      </w:r>
      <w:r w:rsidR="008927E5">
        <w:rPr>
          <w:rFonts w:eastAsia="Calibri"/>
          <w:color w:val="auto"/>
          <w:lang w:eastAsia="en-US"/>
        </w:rPr>
        <w:t xml:space="preserve">. </w:t>
      </w:r>
      <w:r>
        <w:rPr>
          <w:rFonts w:eastAsia="Calibri"/>
          <w:color w:val="auto"/>
          <w:lang w:eastAsia="en-US"/>
        </w:rPr>
        <w:t xml:space="preserve">Consumers </w:t>
      </w:r>
      <w:r w:rsidRPr="000B4CEB">
        <w:rPr>
          <w:color w:val="000000" w:themeColor="text1"/>
        </w:rPr>
        <w:t>confirmed they feel safe and comfortable expressing their choices to staff and that they can have friends and family visit at any time.</w:t>
      </w:r>
      <w:r w:rsidR="00B7579F">
        <w:rPr>
          <w:color w:val="000000" w:themeColor="text1"/>
        </w:rPr>
        <w:t xml:space="preserve"> </w:t>
      </w:r>
      <w:r w:rsidR="007E3F5C" w:rsidRPr="00AB2AD4">
        <w:rPr>
          <w:rFonts w:eastAsia="Calibri"/>
          <w:color w:val="auto"/>
          <w:lang w:eastAsia="en-US"/>
        </w:rPr>
        <w:t>Information provided to each consumer is current, accurate and timely, and</w:t>
      </w:r>
      <w:r w:rsidR="00AB2AD4" w:rsidRPr="00AB2AD4">
        <w:rPr>
          <w:rFonts w:eastAsia="Calibri"/>
          <w:color w:val="auto"/>
          <w:lang w:eastAsia="en-US"/>
        </w:rPr>
        <w:t xml:space="preserve"> </w:t>
      </w:r>
      <w:r w:rsidR="007E3F5C" w:rsidRPr="00AB2AD4">
        <w:rPr>
          <w:rFonts w:eastAsia="Calibri"/>
          <w:color w:val="auto"/>
          <w:lang w:eastAsia="en-US"/>
        </w:rPr>
        <w:t xml:space="preserve">communicated in a way that is clear, easy to understand and enables them to exercise choice. </w:t>
      </w:r>
    </w:p>
    <w:p w14:paraId="086BF745" w14:textId="77777777" w:rsidR="005C05C5" w:rsidRPr="00F9307A" w:rsidRDefault="005C05C5" w:rsidP="005C05C5">
      <w:pPr>
        <w:rPr>
          <w:rFonts w:eastAsia="Calibri"/>
          <w:color w:val="auto"/>
          <w:lang w:eastAsia="en-US"/>
        </w:rPr>
      </w:pPr>
      <w:r w:rsidRPr="00F9307A">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0F9C073" w14:textId="7054FE57" w:rsidR="005C05C5" w:rsidRPr="009F3F1A" w:rsidRDefault="00AC58E1" w:rsidP="009F3F1A">
      <w:pPr>
        <w:rPr>
          <w:rFonts w:eastAsia="Calibri"/>
          <w:color w:val="auto"/>
          <w:lang w:eastAsia="en-US"/>
        </w:rPr>
      </w:pPr>
      <w:r>
        <w:rPr>
          <w:rFonts w:eastAsia="Calibri"/>
          <w:color w:val="auto"/>
          <w:lang w:eastAsia="en-US"/>
        </w:rPr>
        <w:t>S</w:t>
      </w:r>
      <w:r w:rsidR="005C05C5" w:rsidRPr="009F3F1A">
        <w:rPr>
          <w:rFonts w:eastAsia="Calibri"/>
          <w:color w:val="auto"/>
          <w:lang w:eastAsia="en-US"/>
        </w:rPr>
        <w:t>taff demonstrated knowledge of the consumers</w:t>
      </w:r>
      <w:r w:rsidR="009F3F1A" w:rsidRPr="009F3F1A">
        <w:rPr>
          <w:rFonts w:eastAsia="Calibri"/>
          <w:color w:val="auto"/>
          <w:lang w:eastAsia="en-US"/>
        </w:rPr>
        <w:t>’</w:t>
      </w:r>
      <w:r w:rsidR="005C05C5" w:rsidRPr="009F3F1A">
        <w:rPr>
          <w:rFonts w:eastAsia="Calibri"/>
          <w:color w:val="auto"/>
          <w:lang w:eastAsia="en-US"/>
        </w:rPr>
        <w:t xml:space="preserve"> preferences and were able to provide examples on how they support consumer choice and relationships important to them. Care planning documentation outlined consumers choice, preferences, history and relationships important to them.</w:t>
      </w:r>
    </w:p>
    <w:p w14:paraId="0863A32E" w14:textId="6A38FDF7" w:rsidR="007F5256" w:rsidRPr="00A06E61" w:rsidRDefault="0004322A" w:rsidP="0004322A">
      <w:pPr>
        <w:rPr>
          <w:rFonts w:eastAsia="Calibri"/>
          <w:i/>
          <w:color w:val="auto"/>
          <w:lang w:eastAsia="en-US"/>
        </w:rPr>
      </w:pPr>
      <w:r w:rsidRPr="00A06E61">
        <w:rPr>
          <w:rFonts w:eastAsiaTheme="minorHAnsi"/>
          <w:color w:val="auto"/>
        </w:rPr>
        <w:t xml:space="preserve">The Quality Standard is assessed as Compliant as </w:t>
      </w:r>
      <w:r w:rsidR="005D25E8" w:rsidRPr="00A06E61">
        <w:rPr>
          <w:rFonts w:eastAsiaTheme="minorHAnsi"/>
          <w:color w:val="auto"/>
        </w:rPr>
        <w:t>six</w:t>
      </w:r>
      <w:r w:rsidRPr="00A06E61">
        <w:rPr>
          <w:rFonts w:eastAsiaTheme="minorHAnsi"/>
          <w:color w:val="auto"/>
        </w:rPr>
        <w:t xml:space="preserve"> of the six specific requirements have been assessed as</w:t>
      </w:r>
      <w:r w:rsidR="005D25E8" w:rsidRPr="00A06E61">
        <w:rPr>
          <w:rFonts w:eastAsiaTheme="minorHAnsi"/>
          <w:color w:val="auto"/>
        </w:rPr>
        <w:t xml:space="preserve"> </w:t>
      </w:r>
      <w:r w:rsidRPr="00A06E61">
        <w:rPr>
          <w:rFonts w:eastAsiaTheme="minorHAnsi"/>
          <w:color w:val="auto"/>
        </w:rPr>
        <w:t>Compliant.</w:t>
      </w:r>
    </w:p>
    <w:p w14:paraId="5AF3A31A" w14:textId="38FBC71C" w:rsidR="006451BA" w:rsidRDefault="00EC5474" w:rsidP="00427817">
      <w:pPr>
        <w:pStyle w:val="Heading2"/>
      </w:pPr>
      <w:r w:rsidRPr="00D435F8">
        <w:lastRenderedPageBreak/>
        <w:t xml:space="preserve">Assessment of </w:t>
      </w:r>
      <w:r w:rsidR="0004322A" w:rsidRPr="00D435F8">
        <w:t xml:space="preserve">Standard 1 </w:t>
      </w:r>
      <w:r w:rsidR="006451BA" w:rsidRPr="00D435F8">
        <w:t>Requirements</w:t>
      </w:r>
    </w:p>
    <w:p w14:paraId="4B432225" w14:textId="2773E2D2" w:rsidR="00154403" w:rsidRDefault="00154403" w:rsidP="00154403">
      <w:pPr>
        <w:pStyle w:val="Heading3"/>
      </w:pPr>
      <w:r w:rsidRPr="00051035">
        <w:t>Requirement 1(3)(a)</w:t>
      </w:r>
      <w:r w:rsidRPr="00051035">
        <w:tab/>
        <w:t>Compliant</w:t>
      </w:r>
    </w:p>
    <w:p w14:paraId="7E131FF7" w14:textId="2D071E1F" w:rsidR="00154403" w:rsidRDefault="00154403" w:rsidP="00154403">
      <w:r w:rsidRPr="00154403">
        <w:t>Each consumer is treated with dignity and respect, with their identity, culture and diversity valued.</w:t>
      </w:r>
    </w:p>
    <w:p w14:paraId="337CA8D8" w14:textId="23D14FF5" w:rsidR="00154403" w:rsidRDefault="00154403" w:rsidP="00154403">
      <w:pPr>
        <w:pStyle w:val="Heading3"/>
      </w:pPr>
      <w:r>
        <w:t>Requirement 1(3)(b)</w:t>
      </w:r>
      <w:r>
        <w:tab/>
        <w:t>Compliant</w:t>
      </w:r>
    </w:p>
    <w:p w14:paraId="26C4F8C7" w14:textId="43070494" w:rsidR="00154403" w:rsidRPr="00154403" w:rsidRDefault="00154403" w:rsidP="00154403">
      <w:r w:rsidRPr="00154403">
        <w:t>Care and services are culturally safe.</w:t>
      </w:r>
    </w:p>
    <w:p w14:paraId="7C2B7A79" w14:textId="5AE106CF" w:rsidR="00154403" w:rsidRDefault="00154403" w:rsidP="00154403">
      <w:pPr>
        <w:pStyle w:val="Heading3"/>
      </w:pPr>
      <w:r>
        <w:t>Requirement 1(3)(c)</w:t>
      </w:r>
      <w:r>
        <w:tab/>
        <w:t>Compliant</w:t>
      </w:r>
    </w:p>
    <w:p w14:paraId="33563429" w14:textId="2FBA3396" w:rsidR="00154403" w:rsidRPr="00154403" w:rsidRDefault="00154403" w:rsidP="00154403">
      <w:pPr>
        <w:tabs>
          <w:tab w:val="right" w:pos="9026"/>
        </w:tabs>
        <w:spacing w:before="0" w:after="0"/>
        <w:outlineLvl w:val="4"/>
      </w:pPr>
      <w:r w:rsidRPr="00154403">
        <w:t xml:space="preserve">Each consumer is supported to exercise choice and independence, including to: </w:t>
      </w:r>
    </w:p>
    <w:p w14:paraId="0D1BE848"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02AACE67"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6DBCFA64"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communicate their decisions; and</w:t>
      </w:r>
    </w:p>
    <w:p w14:paraId="2F6C6578" w14:textId="05DEB848" w:rsidR="00154403" w:rsidRPr="00154403" w:rsidRDefault="00154403" w:rsidP="00154403">
      <w:r w:rsidRPr="00154403">
        <w:t>make connections with others and maintain relationships of choice, including intimate relationships.</w:t>
      </w:r>
    </w:p>
    <w:p w14:paraId="7E4B5520" w14:textId="56BF800B" w:rsidR="00154403" w:rsidRDefault="00154403" w:rsidP="00154403">
      <w:pPr>
        <w:pStyle w:val="Heading3"/>
      </w:pPr>
      <w:r>
        <w:t>Requirement 1(3)(d)</w:t>
      </w:r>
      <w:r>
        <w:tab/>
        <w:t>Compliant</w:t>
      </w:r>
    </w:p>
    <w:p w14:paraId="2530F24B" w14:textId="04EFF3A4" w:rsidR="00154403" w:rsidRPr="00154403" w:rsidRDefault="00154403" w:rsidP="00154403">
      <w:r w:rsidRPr="00154403">
        <w:t>Each consumer is supported to take risks to enable them to live the best life they can.</w:t>
      </w:r>
    </w:p>
    <w:p w14:paraId="2B0DBA8A" w14:textId="0BA007EE" w:rsidR="00154403" w:rsidRDefault="00154403" w:rsidP="00154403">
      <w:pPr>
        <w:pStyle w:val="Heading3"/>
      </w:pPr>
      <w:r>
        <w:t>Requirement 1(3)(e)</w:t>
      </w:r>
      <w:r>
        <w:tab/>
        <w:t>Compliant</w:t>
      </w:r>
    </w:p>
    <w:p w14:paraId="67951A38" w14:textId="37231D31" w:rsidR="00154403" w:rsidRPr="00154403" w:rsidRDefault="00154403" w:rsidP="00154403">
      <w:r w:rsidRPr="00154403">
        <w:t>Information provided to each consumer is current, accurate and timely, and communicated in a way that is clear, easy to understand and enables them to exercise choice.</w:t>
      </w:r>
    </w:p>
    <w:p w14:paraId="16C5C3E8" w14:textId="59C040AD" w:rsidR="00154403" w:rsidRDefault="00154403" w:rsidP="00154403">
      <w:pPr>
        <w:pStyle w:val="Heading3"/>
      </w:pPr>
      <w:r>
        <w:t>Requirement 1(3)(f)</w:t>
      </w:r>
      <w:r>
        <w:tab/>
        <w:t>Compliant</w:t>
      </w:r>
    </w:p>
    <w:p w14:paraId="435B0B1A" w14:textId="71BC51F5" w:rsidR="00154403" w:rsidRDefault="00154403" w:rsidP="00154403">
      <w:r w:rsidRPr="00154403">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2A5C27C4" w14:textId="09A027A9"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7CB92CB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005D25E8" w:rsidRPr="00703E80">
        <w:rPr>
          <w:color w:val="FFFFFF" w:themeColor="background1"/>
        </w:rPr>
        <w:t xml:space="preserve"> </w:t>
      </w:r>
      <w:r w:rsidRPr="00703E80">
        <w:rPr>
          <w:color w:val="FFFFFF" w:themeColor="background1"/>
        </w:rPr>
        <w:br/>
        <w:t>Ongoing assessment and planning with consumers</w:t>
      </w:r>
      <w:bookmarkEnd w:id="2"/>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1DE1B1A6" w14:textId="77777777" w:rsidR="00CC09B0" w:rsidRDefault="00CC09B0" w:rsidP="00CC09B0">
      <w:pPr>
        <w:pStyle w:val="ListBullet"/>
        <w:numPr>
          <w:ilvl w:val="0"/>
          <w:numId w:val="0"/>
        </w:numPr>
        <w:spacing w:before="0" w:after="240"/>
        <w:rPr>
          <w:rFonts w:eastAsia="Calibri"/>
          <w:color w:val="000000"/>
          <w:szCs w:val="24"/>
        </w:rPr>
      </w:pPr>
      <w:r w:rsidRPr="00CC09B0">
        <w:rPr>
          <w:rFonts w:eastAsia="Calibri"/>
          <w:color w:val="000000"/>
          <w:szCs w:val="24"/>
        </w:rPr>
        <w:t xml:space="preserve">Consumers and their representatives where applicable, are consulted and assessed upon entry to the service and a plan of care developed to meet the consumer’s individual needs and preferences. Regular reassessment occurs in line with the consumer’s changing needs to ensure plans of care remain current. </w:t>
      </w:r>
    </w:p>
    <w:p w14:paraId="7716D2EA" w14:textId="5BCADD0A" w:rsidR="00CC09B0" w:rsidRPr="000B4CEB" w:rsidRDefault="00CC09B0" w:rsidP="00CC09B0">
      <w:pPr>
        <w:pStyle w:val="ListBullet"/>
        <w:numPr>
          <w:ilvl w:val="0"/>
          <w:numId w:val="0"/>
        </w:numPr>
        <w:spacing w:before="0" w:after="240"/>
        <w:rPr>
          <w:color w:val="000000" w:themeColor="text1"/>
        </w:rPr>
      </w:pPr>
      <w:r w:rsidRPr="00CC09B0">
        <w:rPr>
          <w:rFonts w:eastAsia="Calibri"/>
          <w:color w:val="000000"/>
          <w:szCs w:val="24"/>
        </w:rPr>
        <w:t>Consumers confirmed they were involved in their care planning with their preferences taken into consideration.</w:t>
      </w:r>
      <w:r>
        <w:rPr>
          <w:rFonts w:eastAsia="Calibri"/>
          <w:color w:val="000000"/>
          <w:szCs w:val="24"/>
        </w:rPr>
        <w:t xml:space="preserve"> </w:t>
      </w:r>
      <w:r w:rsidRPr="000B4CEB">
        <w:rPr>
          <w:color w:val="000000" w:themeColor="text1"/>
        </w:rPr>
        <w:t xml:space="preserve">Consumers described ways they are involved in their care and representatives described consultation processes between the service and other providers of care for example specialists and other hospitals that provide such things as dialysis for individual consumers. </w:t>
      </w:r>
      <w:r w:rsidRPr="00CC09B0">
        <w:rPr>
          <w:rFonts w:eastAsia="Calibri"/>
          <w:color w:val="000000"/>
          <w:szCs w:val="24"/>
        </w:rPr>
        <w:t>Nominated representatives said staff keep them up to date with consumer incidents or changes in health status such as after a fall. Consumers interviewed stated that they are informed about the outcomes of assessment and planning and have ready access to their care and services plan.</w:t>
      </w:r>
    </w:p>
    <w:p w14:paraId="5477F2D4" w14:textId="77777777" w:rsidR="00CC09B0" w:rsidRPr="00CC09B0" w:rsidRDefault="00CC09B0" w:rsidP="00CC09B0">
      <w:pPr>
        <w:pStyle w:val="ListBullet"/>
        <w:numPr>
          <w:ilvl w:val="0"/>
          <w:numId w:val="0"/>
        </w:numPr>
        <w:spacing w:before="0" w:after="240"/>
        <w:rPr>
          <w:rFonts w:eastAsia="Calibri"/>
          <w:color w:val="000000"/>
          <w:szCs w:val="24"/>
        </w:rPr>
      </w:pPr>
      <w:r w:rsidRPr="00CC09B0">
        <w:rPr>
          <w:rFonts w:eastAsia="Calibri"/>
          <w:color w:val="000000"/>
          <w:szCs w:val="24"/>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8AB9C57" w14:textId="77777777" w:rsidR="00CC09B0" w:rsidRPr="00CC09B0" w:rsidRDefault="00CC09B0" w:rsidP="00CC09B0">
      <w:pPr>
        <w:pStyle w:val="ListBullet"/>
        <w:numPr>
          <w:ilvl w:val="0"/>
          <w:numId w:val="0"/>
        </w:numPr>
        <w:spacing w:before="0" w:after="240"/>
        <w:rPr>
          <w:rFonts w:eastAsia="Calibri"/>
          <w:color w:val="000000"/>
          <w:szCs w:val="24"/>
        </w:rPr>
      </w:pPr>
      <w:r w:rsidRPr="00CC09B0">
        <w:rPr>
          <w:rFonts w:eastAsia="Calibri"/>
          <w:color w:val="000000"/>
          <w:szCs w:val="24"/>
        </w:rPr>
        <w:t xml:space="preserve">The Assessment Team found up to date and consistent information in care planning and assessment documentation with evidence of ongoing consumer and representative consultation. Input from various members of the care team showed </w:t>
      </w:r>
      <w:proofErr w:type="gramStart"/>
      <w:r w:rsidRPr="00CC09B0">
        <w:rPr>
          <w:rFonts w:eastAsia="Calibri"/>
          <w:color w:val="000000"/>
          <w:szCs w:val="24"/>
        </w:rPr>
        <w:t>an</w:t>
      </w:r>
      <w:proofErr w:type="gramEnd"/>
      <w:r w:rsidRPr="00CC09B0">
        <w:rPr>
          <w:rFonts w:eastAsia="Calibri"/>
          <w:color w:val="000000"/>
          <w:szCs w:val="24"/>
        </w:rPr>
        <w:t xml:space="preserve"> holistic approach to care and services.</w:t>
      </w:r>
    </w:p>
    <w:p w14:paraId="66A3512C" w14:textId="0FF1F2A3" w:rsidR="00154403" w:rsidRPr="00A06E61" w:rsidRDefault="00154403" w:rsidP="00154403">
      <w:pPr>
        <w:rPr>
          <w:rFonts w:eastAsia="Calibri"/>
          <w:i/>
          <w:color w:val="auto"/>
          <w:lang w:eastAsia="en-US"/>
        </w:rPr>
      </w:pPr>
      <w:r w:rsidRPr="00A06E61">
        <w:rPr>
          <w:rFonts w:eastAsiaTheme="minorHAnsi"/>
          <w:color w:val="auto"/>
        </w:rPr>
        <w:lastRenderedPageBreak/>
        <w:t>The Quality Standard is assessed as Compliant</w:t>
      </w:r>
      <w:r w:rsidR="005D25E8" w:rsidRPr="00A06E61">
        <w:rPr>
          <w:rFonts w:eastAsiaTheme="minorHAnsi"/>
          <w:color w:val="auto"/>
        </w:rPr>
        <w:t xml:space="preserve"> </w:t>
      </w:r>
      <w:r w:rsidRPr="00A06E61">
        <w:rPr>
          <w:rFonts w:eastAsiaTheme="minorHAnsi"/>
          <w:color w:val="auto"/>
        </w:rPr>
        <w:t xml:space="preserve">as </w:t>
      </w:r>
      <w:r w:rsidR="005D25E8" w:rsidRPr="00A06E61">
        <w:rPr>
          <w:rFonts w:eastAsiaTheme="minorHAnsi"/>
          <w:color w:val="auto"/>
        </w:rPr>
        <w:t>five</w:t>
      </w:r>
      <w:r w:rsidRPr="00A06E61">
        <w:rPr>
          <w:rFonts w:eastAsiaTheme="minorHAnsi"/>
          <w:color w:val="auto"/>
        </w:rPr>
        <w:t xml:space="preserve"> of the five specific requirements have been assessed as Compliant.</w:t>
      </w:r>
    </w:p>
    <w:p w14:paraId="44D027DB" w14:textId="291B5C4B" w:rsidR="00ED6B57" w:rsidRDefault="00ED6B57" w:rsidP="00ED6B57">
      <w:pPr>
        <w:pStyle w:val="Heading2"/>
      </w:pPr>
      <w:r>
        <w:t>Assessment of Standard 2 Requirements</w:t>
      </w:r>
    </w:p>
    <w:p w14:paraId="42404DD8" w14:textId="4762FC77"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Default="00853601" w:rsidP="00853601">
      <w:r w:rsidRPr="00853601">
        <w:t>Assessment and planning, including consideration of risks to the consumer’s health and well-being, informs the delivery of safe and effective care and services.</w:t>
      </w:r>
    </w:p>
    <w:p w14:paraId="37F71DFA" w14:textId="3620F849" w:rsidR="00934888" w:rsidRDefault="00934888" w:rsidP="00934888">
      <w:pPr>
        <w:pStyle w:val="Heading3"/>
      </w:pPr>
      <w:r>
        <w:t>Requirement 2(3)(b)</w:t>
      </w:r>
      <w:r>
        <w:tab/>
        <w:t>Compliant</w:t>
      </w:r>
    </w:p>
    <w:p w14:paraId="13708752" w14:textId="6D385E51" w:rsidR="00853601" w:rsidRDefault="00853601" w:rsidP="00853601">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1E45D6BD" w14:textId="3A902249" w:rsidR="00934888" w:rsidRDefault="00934888" w:rsidP="00934888">
      <w:pPr>
        <w:pStyle w:val="Heading3"/>
      </w:pPr>
      <w:r>
        <w:t>Requirement 2(3)(c)</w:t>
      </w:r>
      <w:r>
        <w:tab/>
        <w:t>Compliant</w:t>
      </w:r>
    </w:p>
    <w:p w14:paraId="6D5EB42E" w14:textId="77777777" w:rsidR="00853601" w:rsidRDefault="00853601" w:rsidP="00853601">
      <w:r>
        <w:t>The organisation demonstrates that assessment and planning:</w:t>
      </w:r>
    </w:p>
    <w:p w14:paraId="65334B62" w14:textId="1947668C" w:rsidR="00853601" w:rsidRDefault="00853601"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3A5BD7C1" w14:textId="6E0AD357" w:rsidR="00853601" w:rsidRDefault="00853601"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784BDF1B" w14:textId="0E4A00AB" w:rsidR="00934888" w:rsidRDefault="00934888" w:rsidP="00934888">
      <w:pPr>
        <w:pStyle w:val="Heading3"/>
      </w:pPr>
      <w:r>
        <w:t>Requirement 2(3)(d)</w:t>
      </w:r>
      <w:r>
        <w:tab/>
        <w:t>Compliant</w:t>
      </w:r>
    </w:p>
    <w:p w14:paraId="32AFA221" w14:textId="74477555" w:rsidR="00853601" w:rsidRDefault="00853601" w:rsidP="00853601">
      <w:r w:rsidRPr="00853601">
        <w:t>The outcomes of assessment and planning are effectively communicated to the consumer and documented in a care and services plan that is readily available to the consumer, and where care and services are provided.</w:t>
      </w:r>
    </w:p>
    <w:p w14:paraId="11BB15D5" w14:textId="17BB3C50" w:rsidR="00934888" w:rsidRDefault="00934888" w:rsidP="00934888">
      <w:pPr>
        <w:pStyle w:val="Heading3"/>
      </w:pPr>
      <w:r>
        <w:t>Requirement 2(3)(e)</w:t>
      </w:r>
      <w:r>
        <w:tab/>
        <w:t>Compliant</w:t>
      </w:r>
    </w:p>
    <w:p w14:paraId="65E72E7C" w14:textId="6AA59773" w:rsidR="00853601" w:rsidRDefault="00853601" w:rsidP="00853601">
      <w:r w:rsidRPr="00853601">
        <w:t>Care and services are reviewed regularly for effectiveness, and when circumstances change or when incidents impact on the needs, goals or preferences of the consumer.</w:t>
      </w:r>
    </w:p>
    <w:p w14:paraId="3FDAA6DD" w14:textId="77777777" w:rsidR="00934888" w:rsidRPr="00934888" w:rsidRDefault="00934888" w:rsidP="00934888"/>
    <w:p w14:paraId="6EF51BBD"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4D9A62DB" w14:textId="22EBEABF"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4BAE48C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9F2C9A"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272EBFF6" w14:textId="1EDB0C12" w:rsidR="00CC09B0" w:rsidRPr="00BC2398" w:rsidRDefault="00CC09B0" w:rsidP="00CC09B0">
      <w:pPr>
        <w:pStyle w:val="ListBullet"/>
        <w:numPr>
          <w:ilvl w:val="0"/>
          <w:numId w:val="0"/>
        </w:numPr>
        <w:spacing w:before="0" w:after="240"/>
      </w:pPr>
      <w:r w:rsidRPr="00BC2398">
        <w:t>Consumers interviewed confirmed that they get the care they need taking into consideration their preferences and goals. Consumers described individualised care following consultation that is right for them and that they felt safe with staff knowledge and skills.</w:t>
      </w:r>
      <w:r>
        <w:t xml:space="preserve"> </w:t>
      </w:r>
      <w:r w:rsidRPr="00BC2398">
        <w:t xml:space="preserve">Consumers interviewed confirmed that they have access to a doctor and other health professionals when they need it. </w:t>
      </w:r>
    </w:p>
    <w:p w14:paraId="210069D7" w14:textId="77777777" w:rsidR="00CC09B0" w:rsidRDefault="00CC09B0" w:rsidP="00CC09B0">
      <w:pPr>
        <w:pStyle w:val="ListBullet"/>
        <w:numPr>
          <w:ilvl w:val="0"/>
          <w:numId w:val="0"/>
        </w:numPr>
        <w:spacing w:before="0" w:after="240"/>
        <w:rPr>
          <w:color w:val="000000" w:themeColor="text1"/>
        </w:rPr>
      </w:pPr>
      <w:r w:rsidRPr="00663B6D">
        <w:rPr>
          <w:rFonts w:eastAsia="Calibri"/>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r w:rsidRPr="00CC09B0">
        <w:rPr>
          <w:color w:val="000000" w:themeColor="text1"/>
        </w:rPr>
        <w:t xml:space="preserve"> </w:t>
      </w:r>
    </w:p>
    <w:p w14:paraId="61A18933" w14:textId="189DD2D3" w:rsidR="00CC09B0" w:rsidRPr="000B4CEB" w:rsidRDefault="00CC09B0" w:rsidP="00CC09B0">
      <w:pPr>
        <w:pStyle w:val="ListBullet"/>
        <w:numPr>
          <w:ilvl w:val="0"/>
          <w:numId w:val="0"/>
        </w:numPr>
        <w:spacing w:before="0" w:after="240"/>
        <w:rPr>
          <w:color w:val="000000" w:themeColor="text1"/>
        </w:rPr>
      </w:pPr>
      <w:r w:rsidRPr="000B4CEB">
        <w:rPr>
          <w:color w:val="000000" w:themeColor="text1"/>
        </w:rPr>
        <w:t xml:space="preserve">A review of consumer files revealed that assessment and care planning processes identify individual clinical needs of the consumer. The use of allied health and other specialist support services were observed be part of this process. These include behavioural specialists, allied health support, visiting dental services, a geriatrician and regular physiotherapist and podiatry services. </w:t>
      </w:r>
      <w:r>
        <w:rPr>
          <w:color w:val="000000" w:themeColor="text1"/>
        </w:rPr>
        <w:t>W</w:t>
      </w:r>
      <w:r w:rsidRPr="000B4CEB">
        <w:rPr>
          <w:color w:val="000000" w:themeColor="text1"/>
        </w:rPr>
        <w:t xml:space="preserve">ounds, falls and behavioural incidents were managed and monitored with strategies implemented with ongoing reviews and evaluations documented in progress notes and ‘resident of the day’ processes.  </w:t>
      </w:r>
    </w:p>
    <w:p w14:paraId="2FEA3DDB" w14:textId="68E16A1F" w:rsidR="00CC09B0" w:rsidRPr="008B40CE" w:rsidRDefault="00CC09B0" w:rsidP="00CC09B0">
      <w:pPr>
        <w:pStyle w:val="ListBullet"/>
        <w:numPr>
          <w:ilvl w:val="0"/>
          <w:numId w:val="0"/>
        </w:numPr>
        <w:spacing w:before="0" w:after="240"/>
      </w:pPr>
      <w:r w:rsidRPr="008B40CE">
        <w:t>Staff have policies and procedures to guide them in the consistent delivery of care and senior staff support at local and corporate level to ensure safe and effective care delivery for consumers.</w:t>
      </w:r>
      <w:r>
        <w:t xml:space="preserve"> Staff described ways they provide care that is safe and effective for consumers. For example, how they prevented the transmission of </w:t>
      </w:r>
      <w:r>
        <w:lastRenderedPageBreak/>
        <w:t>infections, referred consumers to specialists and allied health personal and how to respond if a consumer has a change in condition.</w:t>
      </w:r>
    </w:p>
    <w:p w14:paraId="64A17396" w14:textId="66753B11" w:rsidR="007F5256" w:rsidRPr="00A06E61" w:rsidRDefault="00154403" w:rsidP="00154403">
      <w:pPr>
        <w:rPr>
          <w:rFonts w:eastAsia="Calibri"/>
          <w:color w:val="auto"/>
          <w:lang w:eastAsia="en-US"/>
        </w:rPr>
      </w:pPr>
      <w:r w:rsidRPr="00A06E61">
        <w:rPr>
          <w:rFonts w:eastAsiaTheme="minorHAnsi"/>
          <w:color w:val="auto"/>
        </w:rPr>
        <w:t xml:space="preserve">The Quality Standard is assessed as Compliant as </w:t>
      </w:r>
      <w:r w:rsidR="009F2C9A" w:rsidRPr="00A06E61">
        <w:rPr>
          <w:rFonts w:eastAsiaTheme="minorHAnsi"/>
          <w:color w:val="auto"/>
        </w:rPr>
        <w:t xml:space="preserve">seven </w:t>
      </w:r>
      <w:r w:rsidRPr="00A06E61">
        <w:rPr>
          <w:rFonts w:eastAsiaTheme="minorHAnsi"/>
          <w:color w:val="auto"/>
        </w:rPr>
        <w:t>of the seven specific requirements have been assessed as Compliant.</w:t>
      </w:r>
    </w:p>
    <w:p w14:paraId="3554AECC" w14:textId="5E826DBB"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6D519703" w14:textId="3A67E799" w:rsidR="00853601" w:rsidRPr="00853601" w:rsidRDefault="00853601" w:rsidP="00853601">
      <w:pPr>
        <w:pStyle w:val="Heading3"/>
      </w:pPr>
      <w:r w:rsidRPr="00853601">
        <w:t>Requirement 3(3)(a)</w:t>
      </w:r>
      <w:r>
        <w:tab/>
        <w:t>Compliant</w:t>
      </w:r>
    </w:p>
    <w:p w14:paraId="6E1B3BEF" w14:textId="77777777" w:rsidR="00853601" w:rsidRPr="00853601" w:rsidRDefault="00853601" w:rsidP="00853601">
      <w:r w:rsidRPr="00853601">
        <w:t>Each consumer gets safe and effective personal care, clinical care, or both personal care and clinical care, that:</w:t>
      </w:r>
    </w:p>
    <w:p w14:paraId="25D724C1" w14:textId="77777777" w:rsidR="00853601" w:rsidRPr="00853601" w:rsidRDefault="00853601" w:rsidP="00853601">
      <w:pPr>
        <w:numPr>
          <w:ilvl w:val="0"/>
          <w:numId w:val="24"/>
        </w:numPr>
        <w:tabs>
          <w:tab w:val="right" w:pos="9026"/>
        </w:tabs>
        <w:spacing w:before="0" w:after="0"/>
        <w:ind w:left="567" w:hanging="425"/>
        <w:outlineLvl w:val="4"/>
      </w:pPr>
      <w:r w:rsidRPr="00853601">
        <w:t>is best practice; and</w:t>
      </w:r>
    </w:p>
    <w:p w14:paraId="74D5D250" w14:textId="77777777" w:rsidR="00853601" w:rsidRPr="00853601" w:rsidRDefault="00853601" w:rsidP="00853601">
      <w:pPr>
        <w:numPr>
          <w:ilvl w:val="0"/>
          <w:numId w:val="24"/>
        </w:numPr>
        <w:tabs>
          <w:tab w:val="right" w:pos="9026"/>
        </w:tabs>
        <w:spacing w:before="0" w:after="0"/>
        <w:ind w:left="567" w:hanging="425"/>
        <w:outlineLvl w:val="4"/>
      </w:pPr>
      <w:r w:rsidRPr="00853601">
        <w:t>is tailored to their needs; and</w:t>
      </w:r>
    </w:p>
    <w:p w14:paraId="55F5521A" w14:textId="308AAF00" w:rsidR="00853601" w:rsidRPr="00853601" w:rsidRDefault="00853601" w:rsidP="00853601">
      <w:pPr>
        <w:numPr>
          <w:ilvl w:val="0"/>
          <w:numId w:val="24"/>
        </w:numPr>
        <w:tabs>
          <w:tab w:val="right" w:pos="9026"/>
        </w:tabs>
        <w:spacing w:before="0" w:after="0"/>
        <w:ind w:left="567" w:hanging="425"/>
        <w:outlineLvl w:val="4"/>
      </w:pPr>
      <w:r w:rsidRPr="00853601">
        <w:t>optimises their health and well-being.</w:t>
      </w:r>
    </w:p>
    <w:p w14:paraId="47D12375" w14:textId="53686F9C" w:rsidR="00853601" w:rsidRPr="00853601" w:rsidRDefault="00853601" w:rsidP="00853601">
      <w:pPr>
        <w:pStyle w:val="Heading3"/>
      </w:pPr>
      <w:r w:rsidRPr="00853601">
        <w:t>Requirement 3(3)(b)</w:t>
      </w:r>
      <w:r>
        <w:tab/>
        <w:t>Compliant</w:t>
      </w:r>
    </w:p>
    <w:p w14:paraId="2AF4E95E" w14:textId="3D4A0DF4" w:rsidR="00853601" w:rsidRPr="00853601" w:rsidRDefault="00853601" w:rsidP="00853601">
      <w:r w:rsidRPr="00853601">
        <w:rPr>
          <w:szCs w:val="22"/>
        </w:rPr>
        <w:t>Effective management of high impact or high prevalence risks associated with the care of each consumer.</w:t>
      </w:r>
    </w:p>
    <w:p w14:paraId="094D7B19" w14:textId="4F7BEB4D" w:rsidR="00853601" w:rsidRPr="00D435F8" w:rsidRDefault="00853601" w:rsidP="00853601">
      <w:pPr>
        <w:pStyle w:val="Heading3"/>
      </w:pPr>
      <w:r w:rsidRPr="00D435F8">
        <w:t>Requirement 3(3)(c)</w:t>
      </w:r>
      <w:r>
        <w:tab/>
        <w:t>Compliant</w:t>
      </w:r>
    </w:p>
    <w:p w14:paraId="4FEE9752" w14:textId="7C782154" w:rsidR="00853601" w:rsidRPr="00853601" w:rsidRDefault="00853601" w:rsidP="00853601">
      <w:r w:rsidRPr="00853601">
        <w:rPr>
          <w:szCs w:val="22"/>
        </w:rPr>
        <w:t>The needs, goals and preferences of consumers nearing the end of life are recognised and addressed, their comfort maximised and their dignity preserved.</w:t>
      </w:r>
    </w:p>
    <w:p w14:paraId="2B4C8973" w14:textId="53271EF5" w:rsidR="00853601" w:rsidRPr="00D435F8" w:rsidRDefault="00853601" w:rsidP="00853601">
      <w:pPr>
        <w:pStyle w:val="Heading3"/>
      </w:pPr>
      <w:r w:rsidRPr="00D435F8">
        <w:t>Requirement 3(3)(d)</w:t>
      </w:r>
      <w:r>
        <w:tab/>
        <w:t>Compliant</w:t>
      </w:r>
    </w:p>
    <w:p w14:paraId="7622CC9E" w14:textId="3241C7A9" w:rsidR="00853601" w:rsidRPr="00853601" w:rsidRDefault="00853601" w:rsidP="00853601">
      <w:r w:rsidRPr="00853601">
        <w:rPr>
          <w:szCs w:val="22"/>
        </w:rPr>
        <w:t>Deterioration or change of a consumer’s mental health, cognitive or physical function, capacity or condition is recognised and responded to in a timely manner.</w:t>
      </w:r>
    </w:p>
    <w:p w14:paraId="587C3F60" w14:textId="4BC6F8C8" w:rsidR="00853601" w:rsidRPr="00D435F8" w:rsidRDefault="00853601" w:rsidP="00853601">
      <w:pPr>
        <w:pStyle w:val="Heading3"/>
      </w:pPr>
      <w:r w:rsidRPr="00D435F8">
        <w:t>Requirement 3(3)(e)</w:t>
      </w:r>
      <w:r>
        <w:tab/>
        <w:t>Compliant</w:t>
      </w:r>
    </w:p>
    <w:p w14:paraId="0D1341B7" w14:textId="31982C4E" w:rsidR="00853601" w:rsidRPr="00853601" w:rsidRDefault="00853601" w:rsidP="00853601">
      <w:r w:rsidRPr="00853601">
        <w:rPr>
          <w:szCs w:val="22"/>
        </w:rPr>
        <w:t>Information about the consumer’s condition, needs and preferences is documented and communicated within the organisation, and with others where responsibility for care is shared.</w:t>
      </w:r>
    </w:p>
    <w:p w14:paraId="24C6C980" w14:textId="004FCCF2" w:rsidR="00853601" w:rsidRPr="00D435F8" w:rsidRDefault="00853601" w:rsidP="00853601">
      <w:pPr>
        <w:pStyle w:val="Heading3"/>
      </w:pPr>
      <w:r w:rsidRPr="00D435F8">
        <w:t>Requirement 3(3)(f)</w:t>
      </w:r>
      <w:r>
        <w:tab/>
        <w:t>Compliant</w:t>
      </w:r>
    </w:p>
    <w:p w14:paraId="203B3298" w14:textId="792D0B9D" w:rsidR="00853601" w:rsidRPr="00853601" w:rsidRDefault="00853601" w:rsidP="00853601">
      <w:r w:rsidRPr="00853601">
        <w:rPr>
          <w:szCs w:val="22"/>
        </w:rPr>
        <w:t>Timely and appropriate referrals to individuals, other organisations and providers of other care and services.</w:t>
      </w:r>
    </w:p>
    <w:p w14:paraId="32985504" w14:textId="487ED86F" w:rsidR="00853601" w:rsidRPr="00D435F8" w:rsidRDefault="00853601" w:rsidP="00853601">
      <w:pPr>
        <w:pStyle w:val="Heading3"/>
      </w:pPr>
      <w:r w:rsidRPr="00D435F8">
        <w:t>Requirement 3(3)(g)</w:t>
      </w:r>
      <w:r>
        <w:tab/>
        <w:t>Compliant</w:t>
      </w:r>
    </w:p>
    <w:p w14:paraId="190242D6" w14:textId="77777777" w:rsidR="00853601" w:rsidRPr="00853601" w:rsidRDefault="00853601" w:rsidP="00853601">
      <w:pPr>
        <w:tabs>
          <w:tab w:val="right" w:pos="9026"/>
        </w:tabs>
        <w:spacing w:before="0" w:after="0"/>
        <w:outlineLvl w:val="4"/>
        <w:rPr>
          <w:szCs w:val="22"/>
        </w:rPr>
      </w:pPr>
      <w:r w:rsidRPr="00853601">
        <w:rPr>
          <w:szCs w:val="22"/>
        </w:rPr>
        <w:t>Minimisation of infection related risks through implementing:</w:t>
      </w:r>
    </w:p>
    <w:p w14:paraId="7C8BD85B" w14:textId="77777777" w:rsidR="00853601" w:rsidRPr="00853601" w:rsidRDefault="00853601" w:rsidP="00853601">
      <w:pPr>
        <w:numPr>
          <w:ilvl w:val="0"/>
          <w:numId w:val="25"/>
        </w:numPr>
        <w:tabs>
          <w:tab w:val="right" w:pos="9026"/>
        </w:tabs>
        <w:spacing w:before="0" w:after="0"/>
        <w:ind w:left="567" w:hanging="425"/>
        <w:outlineLvl w:val="4"/>
      </w:pPr>
      <w:r w:rsidRPr="00853601">
        <w:lastRenderedPageBreak/>
        <w:t xml:space="preserve">standard and </w:t>
      </w:r>
      <w:proofErr w:type="gramStart"/>
      <w:r w:rsidRPr="00853601">
        <w:t>transmission based</w:t>
      </w:r>
      <w:proofErr w:type="gramEnd"/>
      <w:r w:rsidRPr="00853601">
        <w:t xml:space="preserve"> precautions to prevent and control infection; and</w:t>
      </w:r>
    </w:p>
    <w:p w14:paraId="0CD88356" w14:textId="78D7740C" w:rsidR="00853601" w:rsidRPr="00853601" w:rsidRDefault="00853601"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0364460A" w14:textId="213BFBDB"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73D5FC2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7876B1"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38D6754A" w14:textId="15F6A82D" w:rsidR="00105070" w:rsidRPr="00663B6D" w:rsidRDefault="00105070" w:rsidP="00105070">
      <w:pPr>
        <w:rPr>
          <w:rFonts w:eastAsia="Calibri"/>
          <w:lang w:eastAsia="en-US"/>
        </w:rPr>
      </w:pPr>
      <w:r>
        <w:rPr>
          <w:rFonts w:eastAsia="Calibri"/>
          <w:color w:val="auto"/>
          <w:lang w:eastAsia="en-US"/>
        </w:rPr>
        <w:t>S</w:t>
      </w:r>
      <w:r w:rsidRPr="008B40CE">
        <w:rPr>
          <w:rFonts w:eastAsia="Calibri"/>
          <w:color w:val="auto"/>
          <w:lang w:eastAsia="en-US"/>
        </w:rPr>
        <w:t xml:space="preserve">ampled consumers </w:t>
      </w:r>
      <w:r w:rsidRPr="00663B6D">
        <w:rPr>
          <w:rFonts w:eastAsia="Calibri"/>
          <w:lang w:eastAsia="en-US"/>
        </w:rPr>
        <w:t>confirm</w:t>
      </w:r>
      <w:r>
        <w:rPr>
          <w:rFonts w:eastAsia="Calibri"/>
          <w:lang w:eastAsia="en-US"/>
        </w:rPr>
        <w:t>ed</w:t>
      </w:r>
      <w:r w:rsidRPr="00663B6D">
        <w:rPr>
          <w:rFonts w:eastAsia="Calibri"/>
          <w:lang w:eastAsia="en-US"/>
        </w:rPr>
        <w:t xml:space="preserve"> that they get the services and supports for daily living that are important for </w:t>
      </w:r>
      <w:r>
        <w:rPr>
          <w:rFonts w:eastAsia="Calibri"/>
          <w:lang w:eastAsia="en-US"/>
        </w:rPr>
        <w:t>their</w:t>
      </w:r>
      <w:r w:rsidRPr="00663B6D">
        <w:rPr>
          <w:rFonts w:eastAsia="Calibri"/>
          <w:lang w:eastAsia="en-US"/>
        </w:rPr>
        <w:t xml:space="preserve"> health and well-being and that enable </w:t>
      </w:r>
      <w:r>
        <w:rPr>
          <w:rFonts w:eastAsia="Calibri"/>
          <w:lang w:eastAsia="en-US"/>
        </w:rPr>
        <w:t>them</w:t>
      </w:r>
      <w:r w:rsidRPr="00663B6D">
        <w:rPr>
          <w:rFonts w:eastAsia="Calibri"/>
          <w:lang w:eastAsia="en-US"/>
        </w:rPr>
        <w:t xml:space="preserve"> to do the things </w:t>
      </w:r>
      <w:r>
        <w:rPr>
          <w:rFonts w:eastAsia="Calibri"/>
          <w:lang w:eastAsia="en-US"/>
        </w:rPr>
        <w:t>they</w:t>
      </w:r>
      <w:r w:rsidRPr="00663B6D">
        <w:rPr>
          <w:rFonts w:eastAsia="Calibri"/>
          <w:lang w:eastAsia="en-US"/>
        </w:rPr>
        <w:t xml:space="preserve"> want to do. </w:t>
      </w:r>
    </w:p>
    <w:p w14:paraId="7E6B0CB7" w14:textId="477140F6" w:rsidR="00105070" w:rsidRPr="00105070" w:rsidRDefault="00105070" w:rsidP="00105070">
      <w:pPr>
        <w:rPr>
          <w:rFonts w:eastAsia="Calibri"/>
          <w:color w:val="auto"/>
          <w:lang w:eastAsia="en-US"/>
        </w:rPr>
      </w:pPr>
      <w:r w:rsidRPr="00105070">
        <w:rPr>
          <w:rFonts w:eastAsia="Calibri"/>
          <w:color w:val="auto"/>
          <w:lang w:eastAsia="en-US"/>
        </w:rPr>
        <w:t>Consumers interviewed confirmed that they are supported by the service to do the things they like to do that are important for their health and wellbeing.</w:t>
      </w:r>
      <w:r>
        <w:rPr>
          <w:rFonts w:eastAsia="Calibri"/>
          <w:color w:val="auto"/>
          <w:lang w:eastAsia="en-US"/>
        </w:rPr>
        <w:t xml:space="preserve"> </w:t>
      </w:r>
      <w:r w:rsidRPr="00105070">
        <w:rPr>
          <w:rFonts w:eastAsia="Calibri"/>
          <w:color w:val="auto"/>
          <w:lang w:eastAsia="en-US"/>
        </w:rPr>
        <w:t>Consumers described the ways staff help them to keep in touch with people who are important to them. They stated that staff welcomed visitors but also provided other ways to help them stay in touch such as through social media platforms.</w:t>
      </w:r>
    </w:p>
    <w:p w14:paraId="6BD3D3B2" w14:textId="77777777" w:rsidR="00105070" w:rsidRPr="00105070" w:rsidRDefault="00105070" w:rsidP="00105070">
      <w:pPr>
        <w:rPr>
          <w:rFonts w:eastAsia="Calibri"/>
          <w:color w:val="auto"/>
          <w:lang w:eastAsia="en-US"/>
        </w:rPr>
      </w:pPr>
      <w:r w:rsidRPr="00105070">
        <w:rPr>
          <w:rFonts w:eastAsia="Calibri"/>
          <w:color w:val="auto"/>
          <w:lang w:eastAsia="en-US"/>
        </w:rPr>
        <w:t>Most consumers interviewed advised that they like the food and that they have a variety of options to choose from at mealtime. Consumers stated they have access to snacks and beverages outside of designated meal times which they can get themselves or ask staff to help with.</w:t>
      </w:r>
    </w:p>
    <w:p w14:paraId="386D4063" w14:textId="77777777" w:rsidR="00105070" w:rsidRPr="00663B6D" w:rsidRDefault="00105070" w:rsidP="00105070">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24BDF05" w14:textId="77777777" w:rsidR="00105070" w:rsidRPr="00A55EFA" w:rsidRDefault="00105070" w:rsidP="00105070">
      <w:pPr>
        <w:pStyle w:val="ListBullet"/>
        <w:numPr>
          <w:ilvl w:val="0"/>
          <w:numId w:val="0"/>
        </w:numPr>
        <w:spacing w:before="0" w:after="240"/>
      </w:pPr>
      <w:r w:rsidRPr="00A55EFA">
        <w:t xml:space="preserve">The Assessment Team found lifestyle supports to be well documented taking into consideration consumer’s preferences. Lifestyle supports incorporated a variety of activities that </w:t>
      </w:r>
      <w:r>
        <w:t>enhance</w:t>
      </w:r>
      <w:r w:rsidRPr="00A55EFA">
        <w:t xml:space="preserve"> consumers’ sensory, physical, social and intellectual needs. Lifestyle activities are variable and responsive to suggestions by consumers.</w:t>
      </w:r>
    </w:p>
    <w:p w14:paraId="75EF844B" w14:textId="5F46E314" w:rsidR="007F5256" w:rsidRPr="00A06E61" w:rsidRDefault="00154403" w:rsidP="00154403">
      <w:pPr>
        <w:rPr>
          <w:rFonts w:eastAsia="Calibri"/>
          <w:color w:val="auto"/>
        </w:rPr>
      </w:pPr>
      <w:r w:rsidRPr="00A06E61">
        <w:rPr>
          <w:rFonts w:eastAsiaTheme="minorHAnsi"/>
          <w:color w:val="auto"/>
        </w:rPr>
        <w:lastRenderedPageBreak/>
        <w:t>The Quality Standard is assessed as Complian</w:t>
      </w:r>
      <w:r w:rsidR="007876B1" w:rsidRPr="00A06E61">
        <w:rPr>
          <w:rFonts w:eastAsiaTheme="minorHAnsi"/>
          <w:color w:val="auto"/>
        </w:rPr>
        <w:t>t</w:t>
      </w:r>
      <w:r w:rsidRPr="00A06E61">
        <w:rPr>
          <w:rFonts w:eastAsiaTheme="minorHAnsi"/>
          <w:color w:val="auto"/>
        </w:rPr>
        <w:t xml:space="preserve"> as </w:t>
      </w:r>
      <w:r w:rsidR="007876B1" w:rsidRPr="00A06E61">
        <w:rPr>
          <w:rFonts w:eastAsiaTheme="minorHAnsi"/>
          <w:color w:val="auto"/>
        </w:rPr>
        <w:t>seven</w:t>
      </w:r>
      <w:r w:rsidRPr="00A06E61">
        <w:rPr>
          <w:rFonts w:eastAsiaTheme="minorHAnsi"/>
          <w:color w:val="auto"/>
        </w:rPr>
        <w:t xml:space="preserve"> of the seven specific requirements have been assessed as</w:t>
      </w:r>
      <w:r w:rsidR="007876B1" w:rsidRPr="00A06E61">
        <w:rPr>
          <w:rFonts w:eastAsiaTheme="minorHAnsi"/>
          <w:color w:val="auto"/>
        </w:rPr>
        <w:t xml:space="preserve"> </w:t>
      </w:r>
      <w:r w:rsidRPr="00A06E61">
        <w:rPr>
          <w:rFonts w:eastAsiaTheme="minorHAnsi"/>
          <w:color w:val="auto"/>
        </w:rPr>
        <w:t>Compliant.</w:t>
      </w:r>
    </w:p>
    <w:p w14:paraId="18BFEB17" w14:textId="443D3A12" w:rsidR="00301877" w:rsidRDefault="007E1999" w:rsidP="00427817">
      <w:pPr>
        <w:pStyle w:val="Heading2"/>
      </w:pPr>
      <w:r>
        <w:t xml:space="preserve">Assessment of </w:t>
      </w:r>
      <w:r w:rsidR="00032B17">
        <w:t xml:space="preserve">Standard 4 </w:t>
      </w:r>
      <w:r w:rsidR="00301877">
        <w:t>Requirements</w:t>
      </w:r>
    </w:p>
    <w:p w14:paraId="6F3CD16C" w14:textId="04E100EC" w:rsidR="00314FF7" w:rsidRPr="00314FF7" w:rsidRDefault="00314FF7" w:rsidP="00314FF7">
      <w:pPr>
        <w:pStyle w:val="Heading3"/>
      </w:pPr>
      <w:r w:rsidRPr="00314FF7">
        <w:t>Requirement 4(3)(a)</w:t>
      </w:r>
      <w:r>
        <w:tab/>
        <w:t>Compliant</w:t>
      </w:r>
    </w:p>
    <w:p w14:paraId="22F36633" w14:textId="60C5DAB3" w:rsidR="00314FF7" w:rsidRDefault="00314FF7" w:rsidP="00314FF7">
      <w:r w:rsidRPr="00032B17">
        <w:t>Each consumer gets safe and effective services and supports for daily living that meet the consumer’s needs, goals and preferences and optimise their independence, health, well-being and quality of life.</w:t>
      </w:r>
    </w:p>
    <w:p w14:paraId="009A44AB" w14:textId="7CDBBB14" w:rsidR="00314FF7" w:rsidRPr="00D435F8" w:rsidRDefault="00314FF7" w:rsidP="00314FF7">
      <w:pPr>
        <w:pStyle w:val="Heading3"/>
      </w:pPr>
      <w:r w:rsidRPr="00D435F8">
        <w:t>Requirement 4(3)(b)</w:t>
      </w:r>
      <w:r>
        <w:tab/>
        <w:t>Compliant</w:t>
      </w:r>
    </w:p>
    <w:p w14:paraId="36EC6360" w14:textId="139E49EF" w:rsidR="00314FF7" w:rsidRDefault="00314FF7" w:rsidP="00314FF7">
      <w:r w:rsidRPr="00032B17">
        <w:t>Services and supports for daily living promote each consumer’s emotional, spiritual and psychological well-being.</w:t>
      </w:r>
    </w:p>
    <w:p w14:paraId="1025E378" w14:textId="3D85D89E" w:rsidR="00314FF7" w:rsidRPr="00D435F8" w:rsidRDefault="00314FF7" w:rsidP="00314FF7">
      <w:pPr>
        <w:pStyle w:val="Heading3"/>
      </w:pPr>
      <w:r w:rsidRPr="00D435F8">
        <w:t>Requirement 4(3)(c)</w:t>
      </w:r>
      <w:r>
        <w:tab/>
        <w:t>Compliant</w:t>
      </w:r>
    </w:p>
    <w:p w14:paraId="189431FC" w14:textId="77777777" w:rsidR="00314FF7" w:rsidRPr="00032B17" w:rsidRDefault="00314FF7" w:rsidP="00314FF7">
      <w:r w:rsidRPr="00032B17">
        <w:t>Services and supports for daily living assist each consumer to:</w:t>
      </w:r>
    </w:p>
    <w:p w14:paraId="084E5DA7" w14:textId="77777777" w:rsidR="00314FF7" w:rsidRPr="00314FF7" w:rsidRDefault="00314FF7"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1C827A6C" w14:textId="77777777" w:rsidR="00314FF7" w:rsidRPr="00314FF7" w:rsidRDefault="00314FF7" w:rsidP="00314FF7">
      <w:pPr>
        <w:numPr>
          <w:ilvl w:val="0"/>
          <w:numId w:val="26"/>
        </w:numPr>
        <w:tabs>
          <w:tab w:val="right" w:pos="9026"/>
        </w:tabs>
        <w:spacing w:before="0" w:after="0"/>
        <w:ind w:left="567" w:hanging="425"/>
        <w:outlineLvl w:val="4"/>
      </w:pPr>
      <w:r w:rsidRPr="00314FF7">
        <w:t>have social and personal relationships; and</w:t>
      </w:r>
    </w:p>
    <w:p w14:paraId="01D0B7B5" w14:textId="069851B0" w:rsidR="00314FF7" w:rsidRDefault="00314FF7" w:rsidP="00314FF7">
      <w:pPr>
        <w:numPr>
          <w:ilvl w:val="0"/>
          <w:numId w:val="26"/>
        </w:numPr>
        <w:tabs>
          <w:tab w:val="right" w:pos="9026"/>
        </w:tabs>
        <w:spacing w:before="0" w:after="0"/>
        <w:ind w:left="567" w:hanging="425"/>
        <w:outlineLvl w:val="4"/>
      </w:pPr>
      <w:r w:rsidRPr="00314FF7">
        <w:t>do the things of interest to them.</w:t>
      </w:r>
    </w:p>
    <w:p w14:paraId="52B44668" w14:textId="3F139174" w:rsidR="00314FF7" w:rsidRPr="00D435F8" w:rsidRDefault="00314FF7" w:rsidP="00314FF7">
      <w:pPr>
        <w:pStyle w:val="Heading3"/>
      </w:pPr>
      <w:r w:rsidRPr="00D435F8">
        <w:t>Requirement 4(3)(d)</w:t>
      </w:r>
      <w:r>
        <w:tab/>
        <w:t>Complian</w:t>
      </w:r>
      <w:r w:rsidR="006F69A6">
        <w:t>t</w:t>
      </w:r>
    </w:p>
    <w:p w14:paraId="7B0EE023" w14:textId="58E23357" w:rsidR="00314FF7" w:rsidRDefault="00314FF7" w:rsidP="00314FF7">
      <w:r w:rsidRPr="00032B17">
        <w:t>Information about the consumer’s condition, needs and preferences is communicated within the organisation, and with others where responsibility for care is shared.</w:t>
      </w:r>
    </w:p>
    <w:p w14:paraId="4EF0412E" w14:textId="6CBFD426" w:rsidR="00314FF7" w:rsidRPr="00D435F8" w:rsidRDefault="00314FF7" w:rsidP="00314FF7">
      <w:pPr>
        <w:pStyle w:val="Heading3"/>
      </w:pPr>
      <w:r w:rsidRPr="00D435F8">
        <w:t>Requirement 4(3)(e)</w:t>
      </w:r>
      <w:r>
        <w:tab/>
        <w:t>Compliant</w:t>
      </w:r>
    </w:p>
    <w:p w14:paraId="5E0A2699" w14:textId="29764DF8" w:rsidR="00314FF7" w:rsidRDefault="00314FF7" w:rsidP="00314FF7">
      <w:r w:rsidRPr="00032B17">
        <w:t>Timely and appropriate referrals to individuals, other organisations and providers of other care and services.</w:t>
      </w:r>
    </w:p>
    <w:p w14:paraId="23BC7DF3" w14:textId="163A9AD0" w:rsidR="00314FF7" w:rsidRPr="00D435F8" w:rsidRDefault="00314FF7" w:rsidP="00314FF7">
      <w:pPr>
        <w:pStyle w:val="Heading3"/>
      </w:pPr>
      <w:r w:rsidRPr="00D435F8">
        <w:t>Requirement 4(3)(f)</w:t>
      </w:r>
      <w:r>
        <w:tab/>
        <w:t>Compliant</w:t>
      </w:r>
    </w:p>
    <w:p w14:paraId="793E0D44" w14:textId="5FE9CBE2" w:rsidR="00314FF7" w:rsidRDefault="00314FF7" w:rsidP="00314FF7">
      <w:r w:rsidRPr="00032B17">
        <w:t>Where meals are provided, they are varied and of suitable quality and quantity.</w:t>
      </w:r>
    </w:p>
    <w:p w14:paraId="6A73F620" w14:textId="11F4A00A" w:rsidR="00314FF7" w:rsidRPr="00D435F8" w:rsidRDefault="00314FF7" w:rsidP="00314FF7">
      <w:pPr>
        <w:pStyle w:val="Heading3"/>
      </w:pPr>
      <w:r w:rsidRPr="00D435F8">
        <w:t>Requirement 4(3)(g)</w:t>
      </w:r>
      <w:r>
        <w:tab/>
        <w:t>Compliant</w:t>
      </w:r>
    </w:p>
    <w:p w14:paraId="1997093D" w14:textId="0B1A8DDE" w:rsidR="00314FF7" w:rsidRDefault="00314FF7" w:rsidP="00314FF7">
      <w:r w:rsidRPr="00032B17">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65F80531" w14:textId="2EB4665B"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5AEE340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6F69A6" w:rsidRPr="00EB1D71">
        <w:rPr>
          <w:color w:val="FFFFFF" w:themeColor="background1"/>
          <w:sz w:val="36"/>
        </w:rPr>
        <w:t xml:space="preserve"> </w:t>
      </w:r>
      <w:r w:rsidRPr="00EB1D71">
        <w:rPr>
          <w:color w:val="FFFFFF" w:themeColor="background1"/>
          <w:sz w:val="36"/>
        </w:rPr>
        <w:br/>
        <w:t>Organisation’s services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368DDAF2" w14:textId="22C59A2E" w:rsidR="00105070" w:rsidRPr="00105070" w:rsidRDefault="00105070" w:rsidP="00105070">
      <w:pPr>
        <w:rPr>
          <w:rFonts w:eastAsia="Calibri"/>
          <w:lang w:eastAsia="en-US"/>
        </w:rPr>
      </w:pPr>
      <w:r w:rsidRPr="00105070">
        <w:rPr>
          <w:rFonts w:eastAsia="Calibri"/>
          <w:lang w:eastAsia="en-US"/>
        </w:rPr>
        <w:t>Consumers confirmed they feel safe with the care provided and with the service as a whole.</w:t>
      </w:r>
      <w:r>
        <w:rPr>
          <w:rFonts w:eastAsia="Calibri"/>
          <w:lang w:eastAsia="en-US"/>
        </w:rPr>
        <w:t xml:space="preserve"> </w:t>
      </w:r>
      <w:r w:rsidRPr="00105070">
        <w:rPr>
          <w:rFonts w:eastAsia="Calibri"/>
          <w:lang w:eastAsia="en-US"/>
        </w:rPr>
        <w:t>Consumers said their visitors are welcomed, that staff know them by name and they are encouraged and supported to personalise their rooms which aids in creating a home-like feel.</w:t>
      </w:r>
      <w:r>
        <w:rPr>
          <w:rFonts w:eastAsia="Calibri"/>
          <w:lang w:eastAsia="en-US"/>
        </w:rPr>
        <w:t xml:space="preserve"> </w:t>
      </w:r>
    </w:p>
    <w:p w14:paraId="7B153C0B" w14:textId="77777777" w:rsidR="00105070" w:rsidRPr="00105070" w:rsidRDefault="00105070" w:rsidP="00105070">
      <w:pPr>
        <w:rPr>
          <w:rFonts w:eastAsia="Calibri"/>
          <w:lang w:eastAsia="en-US"/>
        </w:rPr>
      </w:pPr>
      <w:r w:rsidRPr="00105070">
        <w:rPr>
          <w:rFonts w:eastAsia="Calibri"/>
          <w:lang w:eastAsia="en-US"/>
        </w:rPr>
        <w:t>Consumers interviewed confirmed that the service is clean and well maintained and that equipment used to provide care is available when needed. They stated maintenance is attended in a timely manner and staff will assist them with obtaining specialist equipment for their needs.</w:t>
      </w:r>
    </w:p>
    <w:p w14:paraId="78AD72CB" w14:textId="77777777" w:rsidR="00105070" w:rsidRPr="00663B6D" w:rsidRDefault="00105070" w:rsidP="00105070">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119DF3E" w14:textId="77777777" w:rsidR="00105070" w:rsidRPr="00105070" w:rsidRDefault="00105070" w:rsidP="00105070">
      <w:pPr>
        <w:rPr>
          <w:rFonts w:eastAsia="Calibri"/>
          <w:lang w:eastAsia="en-US"/>
        </w:rPr>
      </w:pPr>
      <w:r w:rsidRPr="00105070">
        <w:rPr>
          <w:rFonts w:eastAsia="Calibri"/>
          <w:lang w:eastAsia="en-US"/>
        </w:rPr>
        <w:t xml:space="preserve">The Assessment Team observed the service over three levels of consumer accommodation with each consumer having their own room with </w:t>
      </w:r>
      <w:proofErr w:type="spellStart"/>
      <w:r w:rsidRPr="00105070">
        <w:rPr>
          <w:rFonts w:eastAsia="Calibri"/>
          <w:lang w:eastAsia="en-US"/>
        </w:rPr>
        <w:t>ensuite</w:t>
      </w:r>
      <w:proofErr w:type="spellEnd"/>
      <w:r w:rsidRPr="00105070">
        <w:rPr>
          <w:rFonts w:eastAsia="Calibri"/>
          <w:lang w:eastAsia="en-US"/>
        </w:rPr>
        <w:t xml:space="preserve">. Consumers have access to shared indoor and outdoor communal areas including secure courtyards with potted gardens. Corridors are wide and bright and management offices accessible for consultation through their </w:t>
      </w:r>
      <w:proofErr w:type="gramStart"/>
      <w:r w:rsidRPr="00105070">
        <w:rPr>
          <w:rFonts w:eastAsia="Calibri"/>
          <w:lang w:eastAsia="en-US"/>
        </w:rPr>
        <w:t>open door</w:t>
      </w:r>
      <w:proofErr w:type="gramEnd"/>
      <w:r w:rsidRPr="00105070">
        <w:rPr>
          <w:rFonts w:eastAsia="Calibri"/>
          <w:lang w:eastAsia="en-US"/>
        </w:rPr>
        <w:t xml:space="preserve"> policy.</w:t>
      </w:r>
    </w:p>
    <w:p w14:paraId="15A986AE" w14:textId="4BB5268E" w:rsidR="007F5256" w:rsidRPr="00A06E61" w:rsidRDefault="00154403" w:rsidP="00154403">
      <w:pPr>
        <w:rPr>
          <w:rFonts w:eastAsia="Calibri"/>
          <w:color w:val="auto"/>
          <w:lang w:eastAsia="en-US"/>
        </w:rPr>
      </w:pPr>
      <w:r w:rsidRPr="00A06E61">
        <w:rPr>
          <w:rFonts w:eastAsiaTheme="minorHAnsi"/>
          <w:color w:val="auto"/>
        </w:rPr>
        <w:t xml:space="preserve">The Quality Standard is assessed as Compliant as of the three specific requirements have been assessed as </w:t>
      </w:r>
      <w:r w:rsidR="006F69A6" w:rsidRPr="00A06E61">
        <w:rPr>
          <w:rFonts w:eastAsiaTheme="minorHAnsi"/>
          <w:color w:val="auto"/>
        </w:rPr>
        <w:t>C</w:t>
      </w:r>
      <w:r w:rsidRPr="00A06E61">
        <w:rPr>
          <w:rFonts w:eastAsiaTheme="minorHAnsi"/>
          <w:color w:val="auto"/>
        </w:rPr>
        <w:t>ompliant.</w:t>
      </w:r>
    </w:p>
    <w:p w14:paraId="747B201C" w14:textId="776FDCDD" w:rsidR="00301877" w:rsidRDefault="007E1999" w:rsidP="00427817">
      <w:pPr>
        <w:pStyle w:val="Heading2"/>
      </w:pPr>
      <w:r>
        <w:lastRenderedPageBreak/>
        <w:t xml:space="preserve">Assessment of </w:t>
      </w:r>
      <w:r w:rsidR="009C6F30">
        <w:t xml:space="preserve">Standard 5 </w:t>
      </w:r>
      <w:r w:rsidR="00301877">
        <w:t>Requirements</w:t>
      </w:r>
    </w:p>
    <w:p w14:paraId="7E745A76" w14:textId="7F94EA07" w:rsidR="00314FF7" w:rsidRPr="00314FF7" w:rsidRDefault="00314FF7" w:rsidP="00314FF7">
      <w:pPr>
        <w:pStyle w:val="Heading3"/>
      </w:pPr>
      <w:r w:rsidRPr="00314FF7">
        <w:t>Requirement 5(3)(a)</w:t>
      </w:r>
      <w:r>
        <w:tab/>
        <w:t>Compliant</w:t>
      </w:r>
    </w:p>
    <w:p w14:paraId="50F7BAD9" w14:textId="50BF54B5" w:rsidR="00314FF7" w:rsidRDefault="00314FF7" w:rsidP="00314FF7">
      <w:r w:rsidRPr="009C6F30">
        <w:t>The service environment is welcoming and easy to understand, and optimises each consumer’s sense of belonging, independence, interaction and function.</w:t>
      </w:r>
    </w:p>
    <w:p w14:paraId="2CBA46C4" w14:textId="348941DF" w:rsidR="00314FF7" w:rsidRPr="00D435F8" w:rsidRDefault="00314FF7" w:rsidP="00314FF7">
      <w:pPr>
        <w:pStyle w:val="Heading3"/>
      </w:pPr>
      <w:r w:rsidRPr="00D435F8">
        <w:t>Requirement 5(3)(b)</w:t>
      </w:r>
      <w:r>
        <w:tab/>
        <w:t>Compliant</w:t>
      </w:r>
    </w:p>
    <w:p w14:paraId="0139AA91" w14:textId="77777777" w:rsidR="00314FF7" w:rsidRPr="00314FF7" w:rsidRDefault="00314FF7" w:rsidP="00314FF7">
      <w:r w:rsidRPr="00314FF7">
        <w:t>The service environment:</w:t>
      </w:r>
    </w:p>
    <w:p w14:paraId="6EA747B8" w14:textId="77777777" w:rsidR="00314FF7" w:rsidRPr="00314FF7" w:rsidRDefault="00314FF7" w:rsidP="00314FF7">
      <w:pPr>
        <w:numPr>
          <w:ilvl w:val="0"/>
          <w:numId w:val="27"/>
        </w:numPr>
        <w:tabs>
          <w:tab w:val="right" w:pos="9026"/>
        </w:tabs>
        <w:spacing w:before="0" w:after="0"/>
        <w:ind w:left="567" w:hanging="425"/>
        <w:outlineLvl w:val="4"/>
      </w:pPr>
      <w:r w:rsidRPr="00314FF7">
        <w:t>is safe, clean, well maintained and comfortable; and</w:t>
      </w:r>
    </w:p>
    <w:p w14:paraId="4EDCB2A7" w14:textId="2D609E57" w:rsidR="00314FF7" w:rsidRPr="00314FF7" w:rsidRDefault="00314FF7" w:rsidP="00314FF7">
      <w:pPr>
        <w:numPr>
          <w:ilvl w:val="0"/>
          <w:numId w:val="27"/>
        </w:numPr>
        <w:tabs>
          <w:tab w:val="right" w:pos="9026"/>
        </w:tabs>
        <w:spacing w:before="0" w:after="0"/>
        <w:ind w:left="567" w:hanging="425"/>
        <w:outlineLvl w:val="4"/>
      </w:pPr>
      <w:r w:rsidRPr="00314FF7">
        <w:t>enables consumers to move freely, both indoors and outdoors.</w:t>
      </w:r>
    </w:p>
    <w:p w14:paraId="393BA017" w14:textId="52F39D82" w:rsidR="00314FF7" w:rsidRPr="00D435F8" w:rsidRDefault="00314FF7" w:rsidP="00314FF7">
      <w:pPr>
        <w:pStyle w:val="Heading3"/>
      </w:pPr>
      <w:r w:rsidRPr="00D435F8">
        <w:t>Requirement 5(3)(c)</w:t>
      </w:r>
      <w:r>
        <w:tab/>
        <w:t>Compliant</w:t>
      </w:r>
    </w:p>
    <w:p w14:paraId="1412F8DC" w14:textId="3F796C45" w:rsidR="00314FF7" w:rsidRDefault="00314FF7" w:rsidP="00314FF7">
      <w:r w:rsidRPr="009C6F30">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5D676BBA" w14:textId="46A14695"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0A30BE9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6F69A6"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6DFE9958" w14:textId="75E23E24" w:rsidR="00105070" w:rsidRPr="007A7BA1" w:rsidRDefault="00105070" w:rsidP="00105070">
      <w:r w:rsidRPr="00F9307A">
        <w:rPr>
          <w:rFonts w:eastAsia="Calibri"/>
          <w:color w:val="auto"/>
          <w:lang w:eastAsia="en-US"/>
        </w:rPr>
        <w:t xml:space="preserve">Overall sampled consumers </w:t>
      </w:r>
      <w:r w:rsidRPr="007A7BA1">
        <w:t xml:space="preserve">confirm they feel safe in raising concerns and are confident action would be taken as it has been in the past. Consumers who had previously raised complaints with the service interviewed said they were satisfied the service had resolved their complaints and advised they were informed of the steps and resolution process. </w:t>
      </w:r>
    </w:p>
    <w:p w14:paraId="5B4DBDC0" w14:textId="77777777" w:rsidR="00105070" w:rsidRPr="00F9307A" w:rsidRDefault="00105070" w:rsidP="00105070">
      <w:pPr>
        <w:rPr>
          <w:rFonts w:eastAsia="Calibri"/>
          <w:color w:val="auto"/>
          <w:lang w:eastAsia="en-US"/>
        </w:rPr>
      </w:pPr>
      <w:r w:rsidRPr="00F9307A">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0756775" w14:textId="0DD60404" w:rsidR="00105070" w:rsidRPr="00105070" w:rsidRDefault="00105070" w:rsidP="00105070">
      <w:pPr>
        <w:pStyle w:val="ListBullet"/>
        <w:numPr>
          <w:ilvl w:val="0"/>
          <w:numId w:val="0"/>
        </w:numPr>
        <w:spacing w:before="0" w:after="240"/>
        <w:rPr>
          <w:rFonts w:eastAsia="Calibri"/>
          <w:szCs w:val="24"/>
        </w:rPr>
      </w:pPr>
      <w:r w:rsidRPr="00105070">
        <w:rPr>
          <w:rFonts w:eastAsia="Calibri"/>
          <w:szCs w:val="24"/>
        </w:rPr>
        <w:t xml:space="preserve">The Assessment Team observed the organisation’s approach to complaints in line with their policies and procedures. The organisation shows how it documents, acknowledges and uses the open disclosure policy when actioning complaints. </w:t>
      </w:r>
    </w:p>
    <w:p w14:paraId="68A07588" w14:textId="57C83EF8" w:rsidR="007F5256" w:rsidRPr="00A06E61" w:rsidRDefault="00154403" w:rsidP="00154403">
      <w:pPr>
        <w:rPr>
          <w:rFonts w:eastAsia="Calibri"/>
          <w:i/>
          <w:iCs/>
          <w:color w:val="auto"/>
          <w:lang w:eastAsia="en-US"/>
        </w:rPr>
      </w:pPr>
      <w:r w:rsidRPr="00A06E61">
        <w:rPr>
          <w:rFonts w:eastAsiaTheme="minorHAnsi"/>
          <w:color w:val="auto"/>
        </w:rPr>
        <w:t xml:space="preserve">The Quality Standard is assessed as </w:t>
      </w:r>
      <w:r w:rsidR="006F69A6" w:rsidRPr="00A06E61">
        <w:rPr>
          <w:rFonts w:eastAsiaTheme="minorHAnsi"/>
          <w:color w:val="auto"/>
        </w:rPr>
        <w:t>Co</w:t>
      </w:r>
      <w:r w:rsidRPr="00A06E61">
        <w:rPr>
          <w:rFonts w:eastAsiaTheme="minorHAnsi"/>
          <w:color w:val="auto"/>
        </w:rPr>
        <w:t xml:space="preserve">mpliant as </w:t>
      </w:r>
      <w:r w:rsidR="006F69A6" w:rsidRPr="00A06E61">
        <w:rPr>
          <w:rFonts w:eastAsiaTheme="minorHAnsi"/>
          <w:color w:val="auto"/>
        </w:rPr>
        <w:t>four</w:t>
      </w:r>
      <w:r w:rsidRPr="00A06E61">
        <w:rPr>
          <w:rFonts w:eastAsiaTheme="minorHAnsi"/>
          <w:color w:val="auto"/>
        </w:rPr>
        <w:t xml:space="preserve"> of the four specific requirements have been assessed as Compliant.</w:t>
      </w:r>
    </w:p>
    <w:p w14:paraId="214F8BB1" w14:textId="00F8342D" w:rsidR="00301877" w:rsidRDefault="00E344EF" w:rsidP="00427817">
      <w:pPr>
        <w:pStyle w:val="Heading2"/>
      </w:pPr>
      <w:r>
        <w:lastRenderedPageBreak/>
        <w:t xml:space="preserve">Assessment of </w:t>
      </w:r>
      <w:r w:rsidR="009C6F30">
        <w:t xml:space="preserve">Standard 6 </w:t>
      </w:r>
      <w:r w:rsidR="00301877">
        <w:t>Requirements</w:t>
      </w:r>
    </w:p>
    <w:p w14:paraId="612FB02E" w14:textId="7A34D944" w:rsidR="001B3DE8" w:rsidRPr="00506F7F" w:rsidRDefault="001B3DE8" w:rsidP="00506F7F">
      <w:pPr>
        <w:pStyle w:val="Heading3"/>
      </w:pPr>
      <w:r w:rsidRPr="00506F7F">
        <w:t>Requirement 6(3)(a)</w:t>
      </w:r>
      <w:r w:rsidR="00506F7F">
        <w:tab/>
        <w:t>Compliant</w:t>
      </w:r>
    </w:p>
    <w:p w14:paraId="552B5C76" w14:textId="3B59A578" w:rsidR="001B3DE8" w:rsidRDefault="001B3DE8" w:rsidP="00506F7F">
      <w:r w:rsidRPr="009C6F30">
        <w:t>Consumers, their family, friends, carers and others are encouraged and supported to provide feedback and make complaints.</w:t>
      </w:r>
    </w:p>
    <w:p w14:paraId="39A10A46" w14:textId="5880041B" w:rsidR="001B3DE8" w:rsidRPr="00506F7F" w:rsidRDefault="001B3DE8" w:rsidP="00506F7F">
      <w:pPr>
        <w:pStyle w:val="Heading3"/>
      </w:pPr>
      <w:r w:rsidRPr="00506F7F">
        <w:t>Requirement 6(3)(b)</w:t>
      </w:r>
      <w:r w:rsidR="00506F7F">
        <w:tab/>
        <w:t>Compliant</w:t>
      </w:r>
    </w:p>
    <w:p w14:paraId="0E22E8D7" w14:textId="2F2F28F4" w:rsidR="001B3DE8" w:rsidRDefault="001B3DE8" w:rsidP="00506F7F">
      <w:r w:rsidRPr="009C6F30">
        <w:t>Consumers are made aware of and have access to advocates, language services and other methods for raising and resolving complaints.</w:t>
      </w:r>
    </w:p>
    <w:p w14:paraId="5AFB152A" w14:textId="72A17E27" w:rsidR="001B3DE8" w:rsidRPr="00D435F8" w:rsidRDefault="001B3DE8" w:rsidP="00506F7F">
      <w:pPr>
        <w:pStyle w:val="Heading3"/>
      </w:pPr>
      <w:r w:rsidRPr="00D435F8">
        <w:t>Requirement 6(3)(c)</w:t>
      </w:r>
      <w:r w:rsidR="00506F7F">
        <w:tab/>
        <w:t>Compliant</w:t>
      </w:r>
    </w:p>
    <w:p w14:paraId="6F042BE7" w14:textId="6D67D60E" w:rsidR="001B3DE8" w:rsidRDefault="001B3DE8" w:rsidP="00506F7F">
      <w:r w:rsidRPr="009C6F30">
        <w:t>Appropriate action is taken in response to complaints and an open disclosure process is used when things go wrong.</w:t>
      </w:r>
    </w:p>
    <w:p w14:paraId="4705C4B6" w14:textId="7365A4DC" w:rsidR="001B3DE8" w:rsidRPr="00D435F8" w:rsidRDefault="001B3DE8" w:rsidP="00506F7F">
      <w:pPr>
        <w:pStyle w:val="Heading3"/>
      </w:pPr>
      <w:r w:rsidRPr="00D435F8">
        <w:t>Requirement 6(3)(d)</w:t>
      </w:r>
      <w:r w:rsidR="00506F7F">
        <w:tab/>
        <w:t>Compliant</w:t>
      </w:r>
    </w:p>
    <w:p w14:paraId="1F902411" w14:textId="48EC1627" w:rsidR="001B3DE8" w:rsidRDefault="001B3DE8" w:rsidP="00506F7F">
      <w:r w:rsidRPr="009C6F30">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79488A78" w14:textId="314DD046"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4DDAFD8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6F69A6"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643368BF" w14:textId="1639F106" w:rsidR="00C536CD" w:rsidRPr="00F9307A" w:rsidRDefault="00C536CD" w:rsidP="00C536CD">
      <w:pPr>
        <w:rPr>
          <w:rFonts w:eastAsia="Calibri"/>
          <w:color w:val="auto"/>
          <w:lang w:eastAsia="en-US"/>
        </w:rPr>
      </w:pPr>
      <w:r>
        <w:rPr>
          <w:rFonts w:eastAsia="Calibri"/>
          <w:color w:val="auto"/>
          <w:lang w:eastAsia="en-US"/>
        </w:rPr>
        <w:t>C</w:t>
      </w:r>
      <w:r w:rsidRPr="00F9307A">
        <w:rPr>
          <w:rFonts w:eastAsia="Calibri"/>
          <w:color w:val="auto"/>
          <w:lang w:eastAsia="en-US"/>
        </w:rPr>
        <w:t>onsumers indicated that they get quality care and services when they need them</w:t>
      </w:r>
      <w:r>
        <w:rPr>
          <w:rFonts w:eastAsia="Calibri"/>
          <w:color w:val="auto"/>
          <w:lang w:eastAsia="en-US"/>
        </w:rPr>
        <w:t xml:space="preserve">, </w:t>
      </w:r>
      <w:r w:rsidRPr="00F9307A">
        <w:rPr>
          <w:rFonts w:eastAsia="Calibri"/>
          <w:color w:val="auto"/>
          <w:lang w:eastAsia="en-US"/>
        </w:rPr>
        <w:t>from people who are knowledgeable, capable and caring.</w:t>
      </w:r>
    </w:p>
    <w:p w14:paraId="41C1D308" w14:textId="483A7B84" w:rsidR="00C536CD" w:rsidRPr="007A7BA1" w:rsidRDefault="00C536CD" w:rsidP="00C536CD">
      <w:pPr>
        <w:pStyle w:val="ListBullet"/>
        <w:numPr>
          <w:ilvl w:val="0"/>
          <w:numId w:val="0"/>
        </w:numPr>
        <w:spacing w:before="0" w:line="240" w:lineRule="auto"/>
      </w:pPr>
      <w:r>
        <w:rPr>
          <w:iCs/>
        </w:rPr>
        <w:t>All o</w:t>
      </w:r>
      <w:r w:rsidRPr="007A7BA1">
        <w:rPr>
          <w:iCs/>
        </w:rPr>
        <w:t xml:space="preserve">f the </w:t>
      </w:r>
      <w:r>
        <w:rPr>
          <w:iCs/>
        </w:rPr>
        <w:t xml:space="preserve">sampled </w:t>
      </w:r>
      <w:r w:rsidRPr="007A7BA1">
        <w:rPr>
          <w:iCs/>
        </w:rPr>
        <w:t>consumers said that regular staff are kind, caring and gentle when providing care and feel like staff care about them because they know their preferences and their families.</w:t>
      </w:r>
      <w:r>
        <w:rPr>
          <w:iCs/>
        </w:rPr>
        <w:t xml:space="preserve"> Consumers</w:t>
      </w:r>
      <w:r w:rsidRPr="007A7BA1">
        <w:rPr>
          <w:iCs/>
        </w:rPr>
        <w:t xml:space="preserve"> said that they feel satisfied with the staff knowledge and feel the staff are well trained.</w:t>
      </w:r>
      <w:r>
        <w:rPr>
          <w:iCs/>
        </w:rPr>
        <w:t xml:space="preserve"> </w:t>
      </w:r>
    </w:p>
    <w:p w14:paraId="2B498056" w14:textId="78572E60" w:rsidR="00C536CD" w:rsidRPr="00C536CD" w:rsidRDefault="00C536CD" w:rsidP="00C536CD">
      <w:pPr>
        <w:pStyle w:val="ListBullet"/>
        <w:numPr>
          <w:ilvl w:val="0"/>
          <w:numId w:val="0"/>
        </w:numPr>
        <w:spacing w:before="0" w:line="240" w:lineRule="auto"/>
        <w:rPr>
          <w:iCs/>
        </w:rPr>
      </w:pPr>
      <w:r w:rsidRPr="007A7BA1">
        <w:rPr>
          <w:iCs/>
        </w:rPr>
        <w:t xml:space="preserve">Of the consumers sampled, none expressed concerns about staff numbers. All consumers sampled provided examples of how call bells are answered promptly, and they feel there is always staff around to assist if needed. </w:t>
      </w:r>
      <w:r w:rsidRPr="00F9307A">
        <w:rPr>
          <w:i/>
          <w:iCs/>
        </w:rPr>
        <w:t xml:space="preserve">  </w:t>
      </w:r>
    </w:p>
    <w:p w14:paraId="2F35B9DC" w14:textId="77777777" w:rsidR="00C536CD" w:rsidRDefault="00C536CD" w:rsidP="00C536CD">
      <w:pPr>
        <w:rPr>
          <w:rFonts w:eastAsia="Calibri"/>
          <w:color w:val="auto"/>
          <w:lang w:eastAsia="en-US"/>
        </w:rPr>
      </w:pPr>
      <w:r w:rsidRPr="00F9307A">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4E3E95C" w14:textId="38442208" w:rsidR="00C536CD" w:rsidRPr="007A7BA1" w:rsidRDefault="00C536CD" w:rsidP="00C536CD">
      <w:r w:rsidRPr="007A7BA1">
        <w:t xml:space="preserve">The organisation has a pool of casual staff to cover vacant shifts to ensure consistency and continuity of care for consumers. Feedback from consumers and staff and audits on clinical and call bells are used to monitor staffing levels and ensure care needs are being met for consumers. </w:t>
      </w:r>
    </w:p>
    <w:p w14:paraId="2B663EA1" w14:textId="3DB9C1C4" w:rsidR="007F5256" w:rsidRPr="00A06E61" w:rsidRDefault="00154403" w:rsidP="00154403">
      <w:pPr>
        <w:rPr>
          <w:rFonts w:eastAsia="Calibri"/>
          <w:color w:val="auto"/>
        </w:rPr>
      </w:pPr>
      <w:r w:rsidRPr="00A06E61">
        <w:rPr>
          <w:rFonts w:eastAsiaTheme="minorHAnsi"/>
          <w:color w:val="auto"/>
        </w:rPr>
        <w:t xml:space="preserve">The Quality Standard is assessed as Compliant as </w:t>
      </w:r>
      <w:r w:rsidR="006F69A6" w:rsidRPr="00A06E61">
        <w:rPr>
          <w:rFonts w:eastAsiaTheme="minorHAnsi"/>
          <w:color w:val="auto"/>
        </w:rPr>
        <w:t>five</w:t>
      </w:r>
      <w:r w:rsidRPr="00A06E61">
        <w:rPr>
          <w:rFonts w:eastAsiaTheme="minorHAnsi"/>
          <w:color w:val="auto"/>
        </w:rPr>
        <w:t xml:space="preserve"> of the five specific requirements have been assessed as </w:t>
      </w:r>
      <w:r w:rsidR="00AC4B95" w:rsidRPr="00A06E61">
        <w:rPr>
          <w:rFonts w:eastAsiaTheme="minorHAnsi"/>
          <w:color w:val="auto"/>
        </w:rPr>
        <w:t>Compliant</w:t>
      </w:r>
      <w:r w:rsidRPr="00A06E61">
        <w:rPr>
          <w:rFonts w:eastAsiaTheme="minorHAnsi"/>
          <w:color w:val="auto"/>
        </w:rPr>
        <w:t>.</w:t>
      </w:r>
    </w:p>
    <w:p w14:paraId="593675A0" w14:textId="247578AF" w:rsidR="00301877" w:rsidRDefault="00977220" w:rsidP="00427817">
      <w:pPr>
        <w:pStyle w:val="Heading2"/>
      </w:pPr>
      <w:r>
        <w:lastRenderedPageBreak/>
        <w:t xml:space="preserve">Assessment of </w:t>
      </w:r>
      <w:r w:rsidR="00095CD4">
        <w:t xml:space="preserve">Standard 7 </w:t>
      </w:r>
      <w:r w:rsidR="00301877">
        <w:t>Requirements</w:t>
      </w:r>
    </w:p>
    <w:p w14:paraId="5199FE7C" w14:textId="1A4B426A" w:rsidR="00506F7F" w:rsidRPr="00506F7F" w:rsidRDefault="00506F7F" w:rsidP="00506F7F">
      <w:pPr>
        <w:pStyle w:val="Heading3"/>
      </w:pPr>
      <w:r w:rsidRPr="00506F7F">
        <w:t>Requirement 7(3)(a)</w:t>
      </w:r>
      <w:r>
        <w:tab/>
        <w:t>Compliant</w:t>
      </w:r>
    </w:p>
    <w:p w14:paraId="675BB05B" w14:textId="1BC4B94F" w:rsidR="00506F7F" w:rsidRDefault="00506F7F" w:rsidP="00506F7F">
      <w:r w:rsidRPr="00095CD4">
        <w:t>The workforce is planned to enable, and the number and mix of members of the workforce deployed enables, the delivery and management of safe and quality care and services.</w:t>
      </w:r>
    </w:p>
    <w:p w14:paraId="2261DC85" w14:textId="43D56CB1" w:rsidR="00506F7F" w:rsidRPr="00506F7F" w:rsidRDefault="00506F7F" w:rsidP="00506F7F">
      <w:pPr>
        <w:pStyle w:val="Heading3"/>
      </w:pPr>
      <w:r w:rsidRPr="00506F7F">
        <w:t>Requirement 7(3)(b)</w:t>
      </w:r>
      <w:r>
        <w:tab/>
        <w:t>Compliant</w:t>
      </w:r>
    </w:p>
    <w:p w14:paraId="1B5CDB94" w14:textId="1F558D45" w:rsidR="00506F7F" w:rsidRDefault="00506F7F" w:rsidP="00506F7F">
      <w:r w:rsidRPr="00095CD4">
        <w:t>Workforce interactions with consumers are kind, caring and respectful of each consumer’s identity, culture and diversity.</w:t>
      </w:r>
    </w:p>
    <w:p w14:paraId="78F0EED0" w14:textId="7391B6D9" w:rsidR="00506F7F" w:rsidRPr="00095CD4" w:rsidRDefault="00506F7F" w:rsidP="00506F7F">
      <w:pPr>
        <w:pStyle w:val="Heading3"/>
      </w:pPr>
      <w:r w:rsidRPr="00095CD4">
        <w:t>Requirement 7(3)(c)</w:t>
      </w:r>
      <w:r>
        <w:tab/>
        <w:t>Compliant</w:t>
      </w:r>
    </w:p>
    <w:p w14:paraId="05D1E022" w14:textId="4E069D6B" w:rsidR="00506F7F" w:rsidRDefault="00506F7F" w:rsidP="00506F7F">
      <w:r w:rsidRPr="00095CD4">
        <w:t>The workforce is competent and the members of the workforce have the qualifications and knowledge to effectively perform their roles.</w:t>
      </w:r>
    </w:p>
    <w:p w14:paraId="15108162" w14:textId="3AC95B3B" w:rsidR="00506F7F" w:rsidRPr="00095CD4" w:rsidRDefault="00506F7F" w:rsidP="00506F7F">
      <w:pPr>
        <w:pStyle w:val="Heading3"/>
      </w:pPr>
      <w:r w:rsidRPr="00095CD4">
        <w:t>Requirement 7(3)(d)</w:t>
      </w:r>
      <w:r>
        <w:tab/>
        <w:t>Compliant</w:t>
      </w:r>
    </w:p>
    <w:p w14:paraId="6DD0C6F6" w14:textId="354059A1" w:rsidR="00506F7F" w:rsidRDefault="00506F7F" w:rsidP="00506F7F">
      <w:r w:rsidRPr="00095CD4">
        <w:t>The workforce is recruited, trained, equipped and supported to deliver the outcomes required by these standards.</w:t>
      </w:r>
    </w:p>
    <w:p w14:paraId="06066276" w14:textId="213E9A8F" w:rsidR="00506F7F" w:rsidRPr="00095CD4" w:rsidRDefault="00506F7F" w:rsidP="00506F7F">
      <w:pPr>
        <w:pStyle w:val="Heading3"/>
      </w:pPr>
      <w:r w:rsidRPr="00095CD4">
        <w:t>Requirement 7(3)(e)</w:t>
      </w:r>
      <w:r>
        <w:tab/>
        <w:t>Compliant</w:t>
      </w:r>
    </w:p>
    <w:p w14:paraId="19B3DAD9" w14:textId="05887F1A" w:rsidR="00506F7F" w:rsidRDefault="00506F7F" w:rsidP="00506F7F">
      <w:r w:rsidRPr="00095CD4">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6EAAACED" w14:textId="3F33AEEB"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6487872C">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AC4B95"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40FD4F66" w14:textId="6D4F5269" w:rsidR="00C536CD" w:rsidRPr="007A7BA1" w:rsidRDefault="00C536CD" w:rsidP="00C536CD">
      <w:r w:rsidRPr="00F9307A">
        <w:rPr>
          <w:rFonts w:eastAsia="Calibri"/>
          <w:color w:val="auto"/>
          <w:lang w:eastAsia="en-US"/>
        </w:rPr>
        <w:t xml:space="preserve">Overall sampled consumers indicated that the organisation is well run and that they can partner in improving the delivery of care and services. </w:t>
      </w:r>
      <w:r w:rsidRPr="007A7BA1">
        <w:t xml:space="preserve">Consumers provided examples of how they feel involved in the development, delivery and evaluation of care and services. Consumers interviewed said they have been part of the recruitment of staff, have a say in their care plans through consultation and provided feedback through resident and relative meetings on the care and services provided. </w:t>
      </w:r>
    </w:p>
    <w:p w14:paraId="50DBC243" w14:textId="77777777" w:rsidR="00C536CD" w:rsidRPr="00F9307A" w:rsidRDefault="00C536CD" w:rsidP="00C536CD">
      <w:pPr>
        <w:rPr>
          <w:rFonts w:eastAsia="Calibri"/>
          <w:color w:val="auto"/>
          <w:lang w:eastAsia="en-US"/>
        </w:rPr>
      </w:pPr>
      <w:r w:rsidRPr="00F9307A">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9B865C0" w14:textId="171978F0" w:rsidR="00C536CD" w:rsidRPr="007A7BA1" w:rsidRDefault="00C536CD" w:rsidP="00C536CD">
      <w:pPr>
        <w:rPr>
          <w:rFonts w:eastAsia="Calibri"/>
          <w:iCs/>
          <w:color w:val="auto"/>
          <w:lang w:eastAsia="en-US"/>
        </w:rPr>
      </w:pPr>
      <w:r w:rsidRPr="007A7BA1">
        <w:rPr>
          <w:rFonts w:eastAsia="Calibri"/>
          <w:iCs/>
          <w:color w:val="auto"/>
          <w:lang w:eastAsia="en-US"/>
        </w:rPr>
        <w:t xml:space="preserve">The organisation demonstrated governance systems in place in line with the Quality Standards. The organisation described consumer involvement in delivery of care, how the Board and organisation communicate and how risk management systems ensure safe care with mitigated risk for consumers. </w:t>
      </w:r>
    </w:p>
    <w:p w14:paraId="01F0E1C6" w14:textId="149587A7" w:rsidR="007F5256" w:rsidRPr="00A06E61" w:rsidRDefault="00154403" w:rsidP="00154403">
      <w:pPr>
        <w:rPr>
          <w:rFonts w:eastAsia="Calibri"/>
          <w:color w:val="auto"/>
        </w:rPr>
      </w:pPr>
      <w:r w:rsidRPr="00A06E61">
        <w:rPr>
          <w:rFonts w:eastAsiaTheme="minorHAnsi"/>
          <w:color w:val="auto"/>
        </w:rPr>
        <w:t>The Quality Standard is assessed as Compliant</w:t>
      </w:r>
      <w:r w:rsidR="00AC4B95" w:rsidRPr="00A06E61">
        <w:rPr>
          <w:rFonts w:eastAsiaTheme="minorHAnsi"/>
          <w:color w:val="auto"/>
        </w:rPr>
        <w:t xml:space="preserve"> </w:t>
      </w:r>
      <w:r w:rsidRPr="00A06E61">
        <w:rPr>
          <w:rFonts w:eastAsiaTheme="minorHAnsi"/>
          <w:color w:val="auto"/>
        </w:rPr>
        <w:t xml:space="preserve">as </w:t>
      </w:r>
      <w:r w:rsidR="00AC4B95" w:rsidRPr="00A06E61">
        <w:rPr>
          <w:rFonts w:eastAsiaTheme="minorHAnsi"/>
          <w:color w:val="auto"/>
        </w:rPr>
        <w:t xml:space="preserve">five </w:t>
      </w:r>
      <w:r w:rsidRPr="00A06E61">
        <w:rPr>
          <w:rFonts w:eastAsiaTheme="minorHAnsi"/>
          <w:color w:val="auto"/>
        </w:rPr>
        <w:t>of the five specific requirements have been assessed as Compliant.</w:t>
      </w:r>
    </w:p>
    <w:p w14:paraId="4494443C" w14:textId="7D26FC4D" w:rsidR="00301877" w:rsidRDefault="004977AE" w:rsidP="00427817">
      <w:pPr>
        <w:pStyle w:val="Heading2"/>
      </w:pPr>
      <w:r>
        <w:lastRenderedPageBreak/>
        <w:t xml:space="preserve">Assessment of </w:t>
      </w:r>
      <w:r w:rsidR="00095CD4">
        <w:t xml:space="preserve">Standard 8 </w:t>
      </w:r>
      <w:r w:rsidR="00301877">
        <w:t>Requirements</w:t>
      </w:r>
    </w:p>
    <w:p w14:paraId="68C7BB10" w14:textId="4781DB19" w:rsidR="00314FF7" w:rsidRPr="00506F7F" w:rsidRDefault="00314FF7" w:rsidP="00506F7F">
      <w:pPr>
        <w:pStyle w:val="Heading3"/>
      </w:pPr>
      <w:r w:rsidRPr="00506F7F">
        <w:t>Requirement 8(3)(a)</w:t>
      </w:r>
      <w:r w:rsidRPr="00506F7F">
        <w:tab/>
        <w:t>Compliant</w:t>
      </w:r>
    </w:p>
    <w:p w14:paraId="62764D37" w14:textId="516036D1" w:rsidR="00154403" w:rsidRDefault="00314FF7" w:rsidP="00506F7F">
      <w:r w:rsidRPr="00095CD4">
        <w:t>Consumers are engaged in the development, delivery and evaluation of care and services and are supported in that engagement.</w:t>
      </w:r>
    </w:p>
    <w:p w14:paraId="09FB489F" w14:textId="1D91C8BC" w:rsidR="00506F7F" w:rsidRPr="00095CD4" w:rsidRDefault="00506F7F" w:rsidP="00506F7F">
      <w:pPr>
        <w:pStyle w:val="Heading3"/>
      </w:pPr>
      <w:r w:rsidRPr="00095CD4">
        <w:t>Requirement 8(3)(b)</w:t>
      </w:r>
      <w:r>
        <w:tab/>
        <w:t>Compliant</w:t>
      </w:r>
    </w:p>
    <w:p w14:paraId="29B983CC" w14:textId="081DB948" w:rsidR="00314FF7" w:rsidRDefault="00506F7F" w:rsidP="00506F7F">
      <w:r w:rsidRPr="00095CD4">
        <w:t>The organisation’s governing body promotes a culture of safe, inclusive and quality care and services and is accountable for their delivery.</w:t>
      </w:r>
    </w:p>
    <w:p w14:paraId="50AF3523" w14:textId="5EA64630" w:rsidR="00506F7F" w:rsidRPr="00506F7F" w:rsidRDefault="00506F7F" w:rsidP="00506F7F">
      <w:pPr>
        <w:pStyle w:val="Heading3"/>
      </w:pPr>
      <w:r w:rsidRPr="00506F7F">
        <w:t>Requirement 8(3)(c)</w:t>
      </w:r>
      <w:r>
        <w:tab/>
        <w:t>Compliant</w:t>
      </w:r>
    </w:p>
    <w:p w14:paraId="6C965A87" w14:textId="77777777" w:rsidR="00506F7F" w:rsidRPr="00095CD4" w:rsidRDefault="00506F7F" w:rsidP="00506F7F">
      <w:r w:rsidRPr="00095CD4">
        <w:t>Effective organisation wide governance systems relating to the following:</w:t>
      </w:r>
    </w:p>
    <w:p w14:paraId="5F1BCC93" w14:textId="77777777" w:rsidR="00506F7F" w:rsidRPr="00506F7F" w:rsidRDefault="00506F7F" w:rsidP="00506F7F">
      <w:pPr>
        <w:numPr>
          <w:ilvl w:val="0"/>
          <w:numId w:val="28"/>
        </w:numPr>
        <w:tabs>
          <w:tab w:val="right" w:pos="9026"/>
        </w:tabs>
        <w:spacing w:before="0" w:after="0"/>
        <w:ind w:left="567" w:hanging="425"/>
        <w:outlineLvl w:val="4"/>
      </w:pPr>
      <w:r w:rsidRPr="00506F7F">
        <w:t>information management;</w:t>
      </w:r>
    </w:p>
    <w:p w14:paraId="48841405" w14:textId="77777777" w:rsidR="00506F7F" w:rsidRPr="00506F7F" w:rsidRDefault="00506F7F" w:rsidP="00506F7F">
      <w:pPr>
        <w:numPr>
          <w:ilvl w:val="0"/>
          <w:numId w:val="28"/>
        </w:numPr>
        <w:tabs>
          <w:tab w:val="right" w:pos="9026"/>
        </w:tabs>
        <w:spacing w:before="0" w:after="0"/>
        <w:ind w:left="567" w:hanging="425"/>
        <w:outlineLvl w:val="4"/>
      </w:pPr>
      <w:r w:rsidRPr="00506F7F">
        <w:t>continuous improvement;</w:t>
      </w:r>
    </w:p>
    <w:p w14:paraId="0E00DDE2" w14:textId="77777777" w:rsidR="00506F7F" w:rsidRPr="00506F7F" w:rsidRDefault="00506F7F" w:rsidP="00506F7F">
      <w:pPr>
        <w:numPr>
          <w:ilvl w:val="0"/>
          <w:numId w:val="28"/>
        </w:numPr>
        <w:tabs>
          <w:tab w:val="right" w:pos="9026"/>
        </w:tabs>
        <w:spacing w:before="0" w:after="0"/>
        <w:ind w:left="567" w:hanging="425"/>
        <w:outlineLvl w:val="4"/>
      </w:pPr>
      <w:r w:rsidRPr="00506F7F">
        <w:t>financial governance;</w:t>
      </w:r>
    </w:p>
    <w:p w14:paraId="524CE750" w14:textId="77777777" w:rsidR="00506F7F" w:rsidRPr="00506F7F" w:rsidRDefault="00506F7F"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2E52EC7A" w14:textId="77777777" w:rsidR="00506F7F" w:rsidRPr="00506F7F" w:rsidRDefault="00506F7F" w:rsidP="00506F7F">
      <w:pPr>
        <w:numPr>
          <w:ilvl w:val="0"/>
          <w:numId w:val="28"/>
        </w:numPr>
        <w:tabs>
          <w:tab w:val="right" w:pos="9026"/>
        </w:tabs>
        <w:spacing w:before="0" w:after="0"/>
        <w:ind w:left="567" w:hanging="425"/>
        <w:outlineLvl w:val="4"/>
      </w:pPr>
      <w:r w:rsidRPr="00506F7F">
        <w:t>regulatory compliance;</w:t>
      </w:r>
    </w:p>
    <w:p w14:paraId="4A96444D" w14:textId="018D8C7B" w:rsidR="00314FF7" w:rsidRDefault="00506F7F" w:rsidP="00506F7F">
      <w:pPr>
        <w:numPr>
          <w:ilvl w:val="0"/>
          <w:numId w:val="28"/>
        </w:numPr>
        <w:tabs>
          <w:tab w:val="right" w:pos="9026"/>
        </w:tabs>
        <w:spacing w:before="0" w:after="0"/>
        <w:ind w:left="567" w:hanging="425"/>
        <w:outlineLvl w:val="4"/>
      </w:pPr>
      <w:r w:rsidRPr="00506F7F">
        <w:t>feedback and complaints.</w:t>
      </w:r>
    </w:p>
    <w:p w14:paraId="6F68364B" w14:textId="44BDE73E" w:rsidR="00506F7F" w:rsidRPr="00506F7F" w:rsidRDefault="00506F7F" w:rsidP="00506F7F">
      <w:pPr>
        <w:pStyle w:val="Heading3"/>
      </w:pPr>
      <w:r w:rsidRPr="00506F7F">
        <w:t>Requirement 8(3)(d)</w:t>
      </w:r>
      <w:r>
        <w:tab/>
        <w:t>Compliant</w:t>
      </w:r>
    </w:p>
    <w:p w14:paraId="0BF7D156" w14:textId="77777777" w:rsidR="00506F7F" w:rsidRPr="00095CD4" w:rsidRDefault="00506F7F" w:rsidP="00506F7F">
      <w:r w:rsidRPr="00095CD4">
        <w:t>Effective risk management systems and practices, including but not limited to the following:</w:t>
      </w:r>
    </w:p>
    <w:p w14:paraId="3D268DE9" w14:textId="77777777" w:rsidR="00506F7F" w:rsidRPr="00506F7F" w:rsidRDefault="00506F7F"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4E727D4B" w14:textId="77777777" w:rsidR="00506F7F" w:rsidRPr="00506F7F" w:rsidRDefault="00506F7F" w:rsidP="00506F7F">
      <w:pPr>
        <w:numPr>
          <w:ilvl w:val="0"/>
          <w:numId w:val="29"/>
        </w:numPr>
        <w:tabs>
          <w:tab w:val="right" w:pos="9026"/>
        </w:tabs>
        <w:spacing w:before="0" w:after="0"/>
        <w:ind w:left="567" w:hanging="425"/>
        <w:outlineLvl w:val="4"/>
      </w:pPr>
      <w:r w:rsidRPr="00506F7F">
        <w:t>identifying and responding to abuse and neglect of consumers;</w:t>
      </w:r>
    </w:p>
    <w:p w14:paraId="75C6CCDF" w14:textId="074DCB07" w:rsidR="00314FF7" w:rsidRDefault="00506F7F" w:rsidP="00506F7F">
      <w:pPr>
        <w:numPr>
          <w:ilvl w:val="0"/>
          <w:numId w:val="29"/>
        </w:numPr>
        <w:tabs>
          <w:tab w:val="right" w:pos="9026"/>
        </w:tabs>
        <w:spacing w:before="0" w:after="0"/>
        <w:ind w:left="567" w:hanging="425"/>
        <w:outlineLvl w:val="4"/>
      </w:pPr>
      <w:r w:rsidRPr="00506F7F">
        <w:t>supporting consumers to live the best life they can.</w:t>
      </w:r>
    </w:p>
    <w:p w14:paraId="3744E99D" w14:textId="383661E2" w:rsidR="00506F7F" w:rsidRPr="00506F7F" w:rsidRDefault="00506F7F" w:rsidP="00506F7F">
      <w:pPr>
        <w:pStyle w:val="Heading3"/>
      </w:pPr>
      <w:r w:rsidRPr="00506F7F">
        <w:t>Requirement 8(3)(e)</w:t>
      </w:r>
      <w:r>
        <w:tab/>
        <w:t>Compliant</w:t>
      </w:r>
    </w:p>
    <w:p w14:paraId="69C2EC65" w14:textId="77777777" w:rsidR="00506F7F" w:rsidRPr="00095CD4" w:rsidRDefault="00506F7F" w:rsidP="00506F7F">
      <w:r w:rsidRPr="00095CD4">
        <w:t>Where clinical care is provided—a clinical governance framework, including but not limited to the following:</w:t>
      </w:r>
    </w:p>
    <w:p w14:paraId="75F3E004" w14:textId="77777777" w:rsidR="00506F7F" w:rsidRPr="00506F7F" w:rsidRDefault="00506F7F" w:rsidP="00506F7F">
      <w:pPr>
        <w:numPr>
          <w:ilvl w:val="0"/>
          <w:numId w:val="30"/>
        </w:numPr>
        <w:tabs>
          <w:tab w:val="right" w:pos="9026"/>
        </w:tabs>
        <w:spacing w:before="0" w:after="0"/>
        <w:ind w:left="567" w:hanging="425"/>
        <w:outlineLvl w:val="4"/>
      </w:pPr>
      <w:r w:rsidRPr="00506F7F">
        <w:t>antimicrobial stewardship;</w:t>
      </w:r>
    </w:p>
    <w:p w14:paraId="75018C77" w14:textId="77777777" w:rsidR="00506F7F" w:rsidRPr="00506F7F" w:rsidRDefault="00506F7F" w:rsidP="00506F7F">
      <w:pPr>
        <w:numPr>
          <w:ilvl w:val="0"/>
          <w:numId w:val="30"/>
        </w:numPr>
        <w:tabs>
          <w:tab w:val="right" w:pos="9026"/>
        </w:tabs>
        <w:spacing w:before="0" w:after="0"/>
        <w:ind w:left="567" w:hanging="425"/>
        <w:outlineLvl w:val="4"/>
      </w:pPr>
      <w:r w:rsidRPr="00506F7F">
        <w:t>minimising the use of restraint;</w:t>
      </w:r>
    </w:p>
    <w:p w14:paraId="24374A1A" w14:textId="3568152F" w:rsidR="00506F7F" w:rsidRDefault="00506F7F" w:rsidP="00506F7F">
      <w:pPr>
        <w:numPr>
          <w:ilvl w:val="0"/>
          <w:numId w:val="30"/>
        </w:numPr>
        <w:tabs>
          <w:tab w:val="right" w:pos="9026"/>
        </w:tabs>
        <w:spacing w:before="0" w:after="0"/>
        <w:ind w:left="567" w:hanging="425"/>
        <w:outlineLvl w:val="4"/>
      </w:pPr>
      <w:r w:rsidRPr="00506F7F">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C005458" w14:textId="77777777" w:rsidR="00A3716D" w:rsidRPr="00095CD4" w:rsidRDefault="00A3716D" w:rsidP="00154403">
      <w:pPr>
        <w:pStyle w:val="ListBullet"/>
        <w:numPr>
          <w:ilvl w:val="0"/>
          <w:numId w:val="0"/>
        </w:numPr>
      </w:pPr>
    </w:p>
    <w:sectPr w:rsidR="00A3716D" w:rsidRPr="00095CD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61B14" w14:textId="77777777" w:rsidR="00EF78D3" w:rsidRDefault="00EF78D3" w:rsidP="00603E0E">
      <w:pPr>
        <w:spacing w:after="0" w:line="240" w:lineRule="auto"/>
      </w:pPr>
      <w:r>
        <w:separator/>
      </w:r>
    </w:p>
  </w:endnote>
  <w:endnote w:type="continuationSeparator" w:id="0">
    <w:p w14:paraId="769746C9" w14:textId="77777777" w:rsidR="00EF78D3" w:rsidRDefault="00EF78D3"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7777777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6F16AE2"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242201">
      <w:rPr>
        <w:rFonts w:eastAsia="Calibri" w:cs="Times New Roman"/>
        <w:color w:val="auto"/>
        <w:sz w:val="16"/>
        <w:szCs w:val="22"/>
        <w:lang w:eastAsia="en-US"/>
      </w:rPr>
      <w:t>Riddell Gardens Hostel</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44B7837D" w14:textId="57BE2CF4"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242201">
      <w:rPr>
        <w:rFonts w:eastAsia="Calibri" w:cs="Times New Roman"/>
        <w:color w:val="auto"/>
        <w:sz w:val="16"/>
        <w:szCs w:val="22"/>
        <w:lang w:eastAsia="en-US"/>
      </w:rPr>
      <w:t>3674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360F2A5"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242201">
      <w:rPr>
        <w:rFonts w:eastAsia="Calibri" w:cs="Times New Roman"/>
        <w:color w:val="auto"/>
        <w:sz w:val="16"/>
        <w:szCs w:val="22"/>
        <w:lang w:eastAsia="en-US"/>
      </w:rPr>
      <w:t>Riddell Gardens Hostel</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366F5536"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242201">
      <w:rPr>
        <w:rFonts w:eastAsia="Calibri" w:cs="Times New Roman"/>
        <w:color w:val="auto"/>
        <w:sz w:val="16"/>
        <w:szCs w:val="22"/>
        <w:lang w:eastAsia="en-US"/>
      </w:rPr>
      <w:t>3674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11809" w14:textId="77777777" w:rsidR="00EF78D3" w:rsidRDefault="00EF78D3" w:rsidP="00603E0E">
      <w:pPr>
        <w:spacing w:after="0" w:line="240" w:lineRule="auto"/>
      </w:pPr>
      <w:r>
        <w:separator/>
      </w:r>
    </w:p>
  </w:footnote>
  <w:footnote w:type="continuationSeparator" w:id="0">
    <w:p w14:paraId="6430BEED" w14:textId="77777777" w:rsidR="00EF78D3" w:rsidRDefault="00EF78D3"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6C81" w14:textId="053D4D4F"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27343D">
      <w:rPr>
        <w:rFonts w:ascii="Arial Black" w:hAnsi="Arial Black"/>
        <w:color w:val="FFFFFF" w:themeColor="background1"/>
        <w:sz w:val="36"/>
      </w:rPr>
      <w:tab/>
    </w:r>
    <w:r w:rsidR="0027343D">
      <w:rPr>
        <w:rFonts w:ascii="Arial Black" w:hAnsi="Arial Black"/>
        <w:color w:val="FFFFFF" w:themeColor="background1"/>
        <w:sz w:val="36"/>
      </w:rPr>
      <w:tab/>
    </w:r>
    <w:r w:rsidR="0027343D">
      <w:rPr>
        <w:rFonts w:ascii="Arial Black" w:hAnsi="Arial Black"/>
        <w:color w:val="FFFFFF" w:themeColor="background1"/>
        <w:sz w:val="36"/>
      </w:rPr>
      <w:tab/>
    </w:r>
    <w:r w:rsidR="0027343D">
      <w:rPr>
        <w:rFonts w:ascii="Arial Black" w:hAnsi="Arial Black"/>
        <w:color w:val="FFFFFF" w:themeColor="background1"/>
        <w:sz w:val="36"/>
      </w:rPr>
      <w:tab/>
    </w:r>
    <w:r w:rsidR="0027343D">
      <w:rPr>
        <w:rFonts w:ascii="Arial Black" w:hAnsi="Arial Black"/>
        <w:color w:val="FFFFFF" w:themeColor="background1"/>
        <w:sz w:val="36"/>
      </w:rPr>
      <w:tab/>
    </w:r>
    <w:r w:rsidRPr="00703E80">
      <w:rPr>
        <w:rFonts w:ascii="Arial Black" w:hAnsi="Arial Black"/>
        <w:color w:val="FFFFFF" w:themeColor="background1"/>
        <w:sz w:val="36"/>
      </w:rPr>
      <w:t>COMPLIANT</w:t>
    </w:r>
    <w:r w:rsidR="0027343D"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13586409" wp14:editId="4102789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098B" w14:textId="6E2110EE"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53F6DF8E" wp14:editId="40EB1E0E">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06F7F" w:rsidRDefault="00506F7F" w:rsidP="0004322A">
    <w:r>
      <w:rPr>
        <w:noProof/>
        <w:color w:val="auto"/>
        <w:sz w:val="20"/>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E641" w14:textId="6467A86F"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1E7E357E" wp14:editId="6AD6E023">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1274F071"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4F3FD537" wp14:editId="5EE37D5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53945D5C"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sidR="00AB336B">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01ADD5D0" wp14:editId="04F0418A">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238337B0" w:rsidR="00506F7F" w:rsidRPr="00703E80" w:rsidRDefault="00506F7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2BD9C04E" wp14:editId="5F39FFF0">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0BBCA0F7"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27343D">
      <w:rPr>
        <w:rFonts w:ascii="Arial Black" w:hAnsi="Arial Black"/>
        <w:color w:val="FFFFFF" w:themeColor="background1"/>
        <w:sz w:val="36"/>
      </w:rPr>
      <w:tab/>
    </w:r>
    <w:r w:rsidR="0027343D">
      <w:rPr>
        <w:rFonts w:ascii="Arial Black" w:hAnsi="Arial Black"/>
        <w:color w:val="FFFFFF" w:themeColor="background1"/>
        <w:sz w:val="36"/>
      </w:rPr>
      <w:tab/>
    </w:r>
    <w:r w:rsidR="0027343D">
      <w:rPr>
        <w:rFonts w:ascii="Arial Black" w:hAnsi="Arial Black"/>
        <w:color w:val="FFFFFF" w:themeColor="background1"/>
        <w:sz w:val="36"/>
      </w:rPr>
      <w:tab/>
    </w:r>
    <w:r w:rsidR="0027343D">
      <w:rPr>
        <w:rFonts w:ascii="Arial Black" w:hAnsi="Arial Black"/>
        <w:color w:val="FFFFFF" w:themeColor="background1"/>
        <w:sz w:val="36"/>
      </w:rPr>
      <w:tab/>
    </w:r>
    <w:r w:rsidR="0027343D">
      <w:rPr>
        <w:rFonts w:ascii="Arial Black" w:hAnsi="Arial Black"/>
        <w:color w:val="FFFFFF" w:themeColor="background1"/>
        <w:sz w:val="36"/>
      </w:rPr>
      <w:tab/>
    </w:r>
    <w:r w:rsidRPr="00703E80">
      <w:rPr>
        <w:rFonts w:ascii="Arial Black" w:hAnsi="Arial Black"/>
        <w:color w:val="FFFFFF" w:themeColor="background1"/>
        <w:sz w:val="36"/>
      </w:rPr>
      <w:t>COMPLIANT</w:t>
    </w:r>
    <w:r w:rsidR="0027343D"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42B8C904" wp14:editId="1F59F94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440DD4DA"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27343D">
      <w:rPr>
        <w:rFonts w:ascii="Arial Black" w:hAnsi="Arial Black"/>
        <w:color w:val="FFFFFF" w:themeColor="background1"/>
        <w:sz w:val="36"/>
      </w:rPr>
      <w:tab/>
    </w:r>
    <w:r w:rsidR="0027343D">
      <w:rPr>
        <w:rFonts w:ascii="Arial Black" w:hAnsi="Arial Black"/>
        <w:color w:val="FFFFFF" w:themeColor="background1"/>
        <w:sz w:val="36"/>
      </w:rPr>
      <w:tab/>
    </w:r>
    <w:r w:rsidR="0027343D">
      <w:rPr>
        <w:rFonts w:ascii="Arial Black" w:hAnsi="Arial Black"/>
        <w:color w:val="FFFFFF" w:themeColor="background1"/>
        <w:sz w:val="36"/>
      </w:rPr>
      <w:tab/>
    </w:r>
    <w:r w:rsidR="0027343D">
      <w:rPr>
        <w:rFonts w:ascii="Arial Black" w:hAnsi="Arial Black"/>
        <w:color w:val="FFFFFF" w:themeColor="background1"/>
        <w:sz w:val="36"/>
      </w:rPr>
      <w:tab/>
    </w:r>
    <w:r w:rsidR="006F69A6">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0027343D">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3127A282" wp14:editId="0214B38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FC27958"/>
    <w:multiLevelType w:val="hybridMultilevel"/>
    <w:tmpl w:val="EC5AE1FA"/>
    <w:lvl w:ilvl="0" w:tplc="5360F620">
      <w:start w:val="1"/>
      <w:numFmt w:val="bullet"/>
      <w:lvlText w:val=""/>
      <w:lvlJc w:val="left"/>
      <w:pPr>
        <w:ind w:left="360" w:hanging="360"/>
      </w:pPr>
      <w:rPr>
        <w:rFonts w:ascii="Symbol" w:hAnsi="Symbol" w:hint="default"/>
      </w:rPr>
    </w:lvl>
    <w:lvl w:ilvl="1" w:tplc="D5DAC8B0">
      <w:start w:val="1"/>
      <w:numFmt w:val="bullet"/>
      <w:lvlText w:val="o"/>
      <w:lvlJc w:val="left"/>
      <w:pPr>
        <w:ind w:left="1080" w:hanging="360"/>
      </w:pPr>
      <w:rPr>
        <w:rFonts w:ascii="Courier New" w:hAnsi="Courier New" w:cs="Courier New" w:hint="default"/>
      </w:rPr>
    </w:lvl>
    <w:lvl w:ilvl="2" w:tplc="B90A3958">
      <w:start w:val="1"/>
      <w:numFmt w:val="bullet"/>
      <w:lvlText w:val=""/>
      <w:lvlJc w:val="left"/>
      <w:pPr>
        <w:ind w:left="1800" w:hanging="360"/>
      </w:pPr>
      <w:rPr>
        <w:rFonts w:ascii="Wingdings" w:hAnsi="Wingdings" w:hint="default"/>
      </w:rPr>
    </w:lvl>
    <w:lvl w:ilvl="3" w:tplc="69A428A2">
      <w:start w:val="1"/>
      <w:numFmt w:val="bullet"/>
      <w:lvlText w:val=""/>
      <w:lvlJc w:val="left"/>
      <w:pPr>
        <w:ind w:left="2520" w:hanging="360"/>
      </w:pPr>
      <w:rPr>
        <w:rFonts w:ascii="Symbol" w:hAnsi="Symbol" w:hint="default"/>
      </w:rPr>
    </w:lvl>
    <w:lvl w:ilvl="4" w:tplc="4FB09F36">
      <w:start w:val="1"/>
      <w:numFmt w:val="bullet"/>
      <w:lvlText w:val="o"/>
      <w:lvlJc w:val="left"/>
      <w:pPr>
        <w:ind w:left="3240" w:hanging="360"/>
      </w:pPr>
      <w:rPr>
        <w:rFonts w:ascii="Courier New" w:hAnsi="Courier New" w:cs="Courier New" w:hint="default"/>
      </w:rPr>
    </w:lvl>
    <w:lvl w:ilvl="5" w:tplc="87DEB22E">
      <w:start w:val="1"/>
      <w:numFmt w:val="bullet"/>
      <w:lvlText w:val=""/>
      <w:lvlJc w:val="left"/>
      <w:pPr>
        <w:ind w:left="3960" w:hanging="360"/>
      </w:pPr>
      <w:rPr>
        <w:rFonts w:ascii="Wingdings" w:hAnsi="Wingdings" w:hint="default"/>
      </w:rPr>
    </w:lvl>
    <w:lvl w:ilvl="6" w:tplc="0E5E7CEE">
      <w:start w:val="1"/>
      <w:numFmt w:val="bullet"/>
      <w:lvlText w:val=""/>
      <w:lvlJc w:val="left"/>
      <w:pPr>
        <w:ind w:left="4680" w:hanging="360"/>
      </w:pPr>
      <w:rPr>
        <w:rFonts w:ascii="Symbol" w:hAnsi="Symbol" w:hint="default"/>
      </w:rPr>
    </w:lvl>
    <w:lvl w:ilvl="7" w:tplc="3A90FFA2">
      <w:start w:val="1"/>
      <w:numFmt w:val="bullet"/>
      <w:lvlText w:val="o"/>
      <w:lvlJc w:val="left"/>
      <w:pPr>
        <w:ind w:left="5400" w:hanging="360"/>
      </w:pPr>
      <w:rPr>
        <w:rFonts w:ascii="Courier New" w:hAnsi="Courier New" w:cs="Courier New" w:hint="default"/>
      </w:rPr>
    </w:lvl>
    <w:lvl w:ilvl="8" w:tplc="91BEA07E">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26"/>
  </w:num>
  <w:num w:numId="4">
    <w:abstractNumId w:val="29"/>
  </w:num>
  <w:num w:numId="5">
    <w:abstractNumId w:val="17"/>
  </w:num>
  <w:num w:numId="6">
    <w:abstractNumId w:val="8"/>
  </w:num>
  <w:num w:numId="7">
    <w:abstractNumId w:val="24"/>
  </w:num>
  <w:num w:numId="8">
    <w:abstractNumId w:val="7"/>
  </w:num>
  <w:num w:numId="9">
    <w:abstractNumId w:val="12"/>
  </w:num>
  <w:num w:numId="10">
    <w:abstractNumId w:val="28"/>
  </w:num>
  <w:num w:numId="11">
    <w:abstractNumId w:val="6"/>
  </w:num>
  <w:num w:numId="12">
    <w:abstractNumId w:val="18"/>
  </w:num>
  <w:num w:numId="13">
    <w:abstractNumId w:val="19"/>
  </w:num>
  <w:num w:numId="14">
    <w:abstractNumId w:val="21"/>
  </w:num>
  <w:num w:numId="15">
    <w:abstractNumId w:val="15"/>
  </w:num>
  <w:num w:numId="16">
    <w:abstractNumId w:val="2"/>
  </w:num>
  <w:num w:numId="17">
    <w:abstractNumId w:val="23"/>
  </w:num>
  <w:num w:numId="18">
    <w:abstractNumId w:val="20"/>
  </w:num>
  <w:num w:numId="19">
    <w:abstractNumId w:val="9"/>
  </w:num>
  <w:num w:numId="20">
    <w:abstractNumId w:val="16"/>
  </w:num>
  <w:num w:numId="21">
    <w:abstractNumId w:val="0"/>
  </w:num>
  <w:num w:numId="22">
    <w:abstractNumId w:val="5"/>
  </w:num>
  <w:num w:numId="23">
    <w:abstractNumId w:val="22"/>
  </w:num>
  <w:num w:numId="24">
    <w:abstractNumId w:val="13"/>
  </w:num>
  <w:num w:numId="25">
    <w:abstractNumId w:val="10"/>
  </w:num>
  <w:num w:numId="26">
    <w:abstractNumId w:val="4"/>
  </w:num>
  <w:num w:numId="27">
    <w:abstractNumId w:val="14"/>
  </w:num>
  <w:num w:numId="28">
    <w:abstractNumId w:val="27"/>
  </w:num>
  <w:num w:numId="29">
    <w:abstractNumId w:val="25"/>
  </w:num>
  <w:num w:numId="30">
    <w:abstractNumId w:val="3"/>
  </w:num>
  <w:num w:numId="31">
    <w:abstractNumId w:val="30"/>
  </w:num>
  <w:num w:numId="32">
    <w:abstractNumId w:val="11"/>
  </w:num>
  <w:num w:numId="33">
    <w:abstractNumId w:val="11"/>
  </w:num>
  <w:num w:numId="34">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AFB"/>
    <w:rsid w:val="000B0841"/>
    <w:rsid w:val="000C0395"/>
    <w:rsid w:val="000C064F"/>
    <w:rsid w:val="000E1859"/>
    <w:rsid w:val="000E654D"/>
    <w:rsid w:val="000F01D0"/>
    <w:rsid w:val="000F6EBE"/>
    <w:rsid w:val="0010469B"/>
    <w:rsid w:val="00105070"/>
    <w:rsid w:val="00111BAB"/>
    <w:rsid w:val="00114B51"/>
    <w:rsid w:val="00130077"/>
    <w:rsid w:val="0013147D"/>
    <w:rsid w:val="0013259D"/>
    <w:rsid w:val="001347F9"/>
    <w:rsid w:val="001427C5"/>
    <w:rsid w:val="00147A25"/>
    <w:rsid w:val="00152896"/>
    <w:rsid w:val="00153251"/>
    <w:rsid w:val="00154403"/>
    <w:rsid w:val="00173F30"/>
    <w:rsid w:val="00175740"/>
    <w:rsid w:val="00176254"/>
    <w:rsid w:val="00187E1F"/>
    <w:rsid w:val="00190377"/>
    <w:rsid w:val="001930D2"/>
    <w:rsid w:val="001A2FEF"/>
    <w:rsid w:val="001A60B9"/>
    <w:rsid w:val="001B3DE8"/>
    <w:rsid w:val="001D156F"/>
    <w:rsid w:val="001D78CE"/>
    <w:rsid w:val="001E009F"/>
    <w:rsid w:val="001E04EA"/>
    <w:rsid w:val="001E23D8"/>
    <w:rsid w:val="001E5E4A"/>
    <w:rsid w:val="001E6954"/>
    <w:rsid w:val="0021202A"/>
    <w:rsid w:val="00216C55"/>
    <w:rsid w:val="00224A29"/>
    <w:rsid w:val="00225F08"/>
    <w:rsid w:val="0022788A"/>
    <w:rsid w:val="00242201"/>
    <w:rsid w:val="00246B90"/>
    <w:rsid w:val="00252FFF"/>
    <w:rsid w:val="0027343D"/>
    <w:rsid w:val="00276215"/>
    <w:rsid w:val="00285F6D"/>
    <w:rsid w:val="00292117"/>
    <w:rsid w:val="002B4A64"/>
    <w:rsid w:val="002B4DED"/>
    <w:rsid w:val="002C0C2A"/>
    <w:rsid w:val="002C55C5"/>
    <w:rsid w:val="002D296D"/>
    <w:rsid w:val="002D7009"/>
    <w:rsid w:val="002E12E9"/>
    <w:rsid w:val="002E2945"/>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21CE"/>
    <w:rsid w:val="00353847"/>
    <w:rsid w:val="00362A44"/>
    <w:rsid w:val="003703A2"/>
    <w:rsid w:val="00384FAC"/>
    <w:rsid w:val="0039109F"/>
    <w:rsid w:val="0039281B"/>
    <w:rsid w:val="003A7FC8"/>
    <w:rsid w:val="003C2A9C"/>
    <w:rsid w:val="003C3987"/>
    <w:rsid w:val="003C68A9"/>
    <w:rsid w:val="003C6EC2"/>
    <w:rsid w:val="003D1638"/>
    <w:rsid w:val="003D44A9"/>
    <w:rsid w:val="003D46EA"/>
    <w:rsid w:val="003E3197"/>
    <w:rsid w:val="003E33E2"/>
    <w:rsid w:val="003E7CB6"/>
    <w:rsid w:val="003F3F89"/>
    <w:rsid w:val="00405075"/>
    <w:rsid w:val="00416B05"/>
    <w:rsid w:val="00420EFF"/>
    <w:rsid w:val="00427817"/>
    <w:rsid w:val="00434C42"/>
    <w:rsid w:val="004356A1"/>
    <w:rsid w:val="0045103F"/>
    <w:rsid w:val="00456176"/>
    <w:rsid w:val="00463CDE"/>
    <w:rsid w:val="00463EF3"/>
    <w:rsid w:val="004657E1"/>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6F7F"/>
    <w:rsid w:val="00511A39"/>
    <w:rsid w:val="0051553D"/>
    <w:rsid w:val="00516D3C"/>
    <w:rsid w:val="00521FF7"/>
    <w:rsid w:val="00523C33"/>
    <w:rsid w:val="00524594"/>
    <w:rsid w:val="00531864"/>
    <w:rsid w:val="00540A5B"/>
    <w:rsid w:val="0055217D"/>
    <w:rsid w:val="005603F8"/>
    <w:rsid w:val="005677AF"/>
    <w:rsid w:val="005710E3"/>
    <w:rsid w:val="00572D76"/>
    <w:rsid w:val="005824DD"/>
    <w:rsid w:val="00583F47"/>
    <w:rsid w:val="005851BF"/>
    <w:rsid w:val="0059076E"/>
    <w:rsid w:val="00592B7F"/>
    <w:rsid w:val="005A4677"/>
    <w:rsid w:val="005B32AF"/>
    <w:rsid w:val="005B44FE"/>
    <w:rsid w:val="005C05C5"/>
    <w:rsid w:val="005C0A2A"/>
    <w:rsid w:val="005C5988"/>
    <w:rsid w:val="005D02AC"/>
    <w:rsid w:val="005D25E8"/>
    <w:rsid w:val="005E084F"/>
    <w:rsid w:val="005E2186"/>
    <w:rsid w:val="005E2E1F"/>
    <w:rsid w:val="005E4227"/>
    <w:rsid w:val="005F15B8"/>
    <w:rsid w:val="00603E0E"/>
    <w:rsid w:val="00605217"/>
    <w:rsid w:val="00617ADB"/>
    <w:rsid w:val="00622BA7"/>
    <w:rsid w:val="006232D9"/>
    <w:rsid w:val="00633CF8"/>
    <w:rsid w:val="0063608F"/>
    <w:rsid w:val="00641E31"/>
    <w:rsid w:val="00644FB1"/>
    <w:rsid w:val="006451BA"/>
    <w:rsid w:val="00654F5C"/>
    <w:rsid w:val="0065511C"/>
    <w:rsid w:val="00661884"/>
    <w:rsid w:val="006619EE"/>
    <w:rsid w:val="00661B81"/>
    <w:rsid w:val="00665DC4"/>
    <w:rsid w:val="00677298"/>
    <w:rsid w:val="00682106"/>
    <w:rsid w:val="00696A6C"/>
    <w:rsid w:val="006A21A1"/>
    <w:rsid w:val="006A4C4B"/>
    <w:rsid w:val="006A53FE"/>
    <w:rsid w:val="006A54D1"/>
    <w:rsid w:val="006A5AC0"/>
    <w:rsid w:val="006B22EE"/>
    <w:rsid w:val="006B7D77"/>
    <w:rsid w:val="006C4883"/>
    <w:rsid w:val="006E05D2"/>
    <w:rsid w:val="006E53CF"/>
    <w:rsid w:val="006F0FC4"/>
    <w:rsid w:val="006F162C"/>
    <w:rsid w:val="006F3AF6"/>
    <w:rsid w:val="006F69A6"/>
    <w:rsid w:val="006F79C6"/>
    <w:rsid w:val="00703E80"/>
    <w:rsid w:val="007112F6"/>
    <w:rsid w:val="0071319F"/>
    <w:rsid w:val="007161B5"/>
    <w:rsid w:val="00724A1B"/>
    <w:rsid w:val="00726B26"/>
    <w:rsid w:val="00730442"/>
    <w:rsid w:val="00734ADE"/>
    <w:rsid w:val="007418CD"/>
    <w:rsid w:val="00750234"/>
    <w:rsid w:val="0075456B"/>
    <w:rsid w:val="00755BEF"/>
    <w:rsid w:val="0076141C"/>
    <w:rsid w:val="007721ED"/>
    <w:rsid w:val="00782605"/>
    <w:rsid w:val="007826A6"/>
    <w:rsid w:val="007876B1"/>
    <w:rsid w:val="00791036"/>
    <w:rsid w:val="007957A7"/>
    <w:rsid w:val="007C149D"/>
    <w:rsid w:val="007C2762"/>
    <w:rsid w:val="007C3306"/>
    <w:rsid w:val="007E1999"/>
    <w:rsid w:val="007E3F5C"/>
    <w:rsid w:val="007F5256"/>
    <w:rsid w:val="00804CA5"/>
    <w:rsid w:val="00817367"/>
    <w:rsid w:val="008312AC"/>
    <w:rsid w:val="00843CA4"/>
    <w:rsid w:val="00850D9A"/>
    <w:rsid w:val="00853601"/>
    <w:rsid w:val="00853A23"/>
    <w:rsid w:val="00854C08"/>
    <w:rsid w:val="008603DF"/>
    <w:rsid w:val="00860B72"/>
    <w:rsid w:val="00866B9E"/>
    <w:rsid w:val="0086791F"/>
    <w:rsid w:val="008719F7"/>
    <w:rsid w:val="0088083C"/>
    <w:rsid w:val="00891E18"/>
    <w:rsid w:val="008927E5"/>
    <w:rsid w:val="00895293"/>
    <w:rsid w:val="008A22FF"/>
    <w:rsid w:val="008A6380"/>
    <w:rsid w:val="008A6792"/>
    <w:rsid w:val="008B55BC"/>
    <w:rsid w:val="008D248D"/>
    <w:rsid w:val="008D7066"/>
    <w:rsid w:val="008D7520"/>
    <w:rsid w:val="009040F7"/>
    <w:rsid w:val="009044B5"/>
    <w:rsid w:val="00904C38"/>
    <w:rsid w:val="00905B3F"/>
    <w:rsid w:val="00911BAB"/>
    <w:rsid w:val="00912DE6"/>
    <w:rsid w:val="0093350C"/>
    <w:rsid w:val="00934888"/>
    <w:rsid w:val="00942649"/>
    <w:rsid w:val="0094564F"/>
    <w:rsid w:val="00945C37"/>
    <w:rsid w:val="00951FB2"/>
    <w:rsid w:val="0095645C"/>
    <w:rsid w:val="00977220"/>
    <w:rsid w:val="009856CE"/>
    <w:rsid w:val="00986245"/>
    <w:rsid w:val="009A1F1B"/>
    <w:rsid w:val="009C5F28"/>
    <w:rsid w:val="009C6F30"/>
    <w:rsid w:val="009D2609"/>
    <w:rsid w:val="009D5149"/>
    <w:rsid w:val="009F2C9A"/>
    <w:rsid w:val="009F3F1A"/>
    <w:rsid w:val="009F435B"/>
    <w:rsid w:val="00A06E61"/>
    <w:rsid w:val="00A075EF"/>
    <w:rsid w:val="00A1255D"/>
    <w:rsid w:val="00A3716D"/>
    <w:rsid w:val="00A463E2"/>
    <w:rsid w:val="00A516C7"/>
    <w:rsid w:val="00A60CB2"/>
    <w:rsid w:val="00A828BA"/>
    <w:rsid w:val="00A863C0"/>
    <w:rsid w:val="00A86EE6"/>
    <w:rsid w:val="00A922D9"/>
    <w:rsid w:val="00A93E3F"/>
    <w:rsid w:val="00AA0895"/>
    <w:rsid w:val="00AA42AE"/>
    <w:rsid w:val="00AA5ED0"/>
    <w:rsid w:val="00AB2AD4"/>
    <w:rsid w:val="00AB336B"/>
    <w:rsid w:val="00AB422D"/>
    <w:rsid w:val="00AB5960"/>
    <w:rsid w:val="00AB644D"/>
    <w:rsid w:val="00AC4B95"/>
    <w:rsid w:val="00AC58E1"/>
    <w:rsid w:val="00AD05ED"/>
    <w:rsid w:val="00AD13D8"/>
    <w:rsid w:val="00AD2A69"/>
    <w:rsid w:val="00AD659C"/>
    <w:rsid w:val="00AE0857"/>
    <w:rsid w:val="00B00228"/>
    <w:rsid w:val="00B004A8"/>
    <w:rsid w:val="00B02E3B"/>
    <w:rsid w:val="00B0411E"/>
    <w:rsid w:val="00B04E3A"/>
    <w:rsid w:val="00B058EA"/>
    <w:rsid w:val="00B157D5"/>
    <w:rsid w:val="00B22FFC"/>
    <w:rsid w:val="00B27F42"/>
    <w:rsid w:val="00B43C3D"/>
    <w:rsid w:val="00B646E5"/>
    <w:rsid w:val="00B67E2E"/>
    <w:rsid w:val="00B7579F"/>
    <w:rsid w:val="00B760BE"/>
    <w:rsid w:val="00B831B4"/>
    <w:rsid w:val="00B95E16"/>
    <w:rsid w:val="00BC017D"/>
    <w:rsid w:val="00BD5304"/>
    <w:rsid w:val="00BF1804"/>
    <w:rsid w:val="00BF3884"/>
    <w:rsid w:val="00BF6F21"/>
    <w:rsid w:val="00C20EE9"/>
    <w:rsid w:val="00C214C3"/>
    <w:rsid w:val="00C45C8B"/>
    <w:rsid w:val="00C51D13"/>
    <w:rsid w:val="00C536CD"/>
    <w:rsid w:val="00C631F8"/>
    <w:rsid w:val="00C645D2"/>
    <w:rsid w:val="00C650DB"/>
    <w:rsid w:val="00C72FFB"/>
    <w:rsid w:val="00C81797"/>
    <w:rsid w:val="00C83441"/>
    <w:rsid w:val="00C95164"/>
    <w:rsid w:val="00CA5E9E"/>
    <w:rsid w:val="00CA7DD4"/>
    <w:rsid w:val="00CB15B4"/>
    <w:rsid w:val="00CB431C"/>
    <w:rsid w:val="00CB45DA"/>
    <w:rsid w:val="00CC09B0"/>
    <w:rsid w:val="00CC2266"/>
    <w:rsid w:val="00CF216F"/>
    <w:rsid w:val="00CF6AC7"/>
    <w:rsid w:val="00CF7866"/>
    <w:rsid w:val="00D02D17"/>
    <w:rsid w:val="00D15851"/>
    <w:rsid w:val="00D21DCD"/>
    <w:rsid w:val="00D229E2"/>
    <w:rsid w:val="00D435F8"/>
    <w:rsid w:val="00D51BF1"/>
    <w:rsid w:val="00D54F0C"/>
    <w:rsid w:val="00D62E53"/>
    <w:rsid w:val="00D63D73"/>
    <w:rsid w:val="00D75344"/>
    <w:rsid w:val="00D7684B"/>
    <w:rsid w:val="00D8684F"/>
    <w:rsid w:val="00D97A23"/>
    <w:rsid w:val="00DB1459"/>
    <w:rsid w:val="00DB34DD"/>
    <w:rsid w:val="00DB6C36"/>
    <w:rsid w:val="00DC3F89"/>
    <w:rsid w:val="00DD0218"/>
    <w:rsid w:val="00DE1C69"/>
    <w:rsid w:val="00DF36CA"/>
    <w:rsid w:val="00E07329"/>
    <w:rsid w:val="00E166A6"/>
    <w:rsid w:val="00E30B96"/>
    <w:rsid w:val="00E344EF"/>
    <w:rsid w:val="00E410D6"/>
    <w:rsid w:val="00E411F4"/>
    <w:rsid w:val="00E42262"/>
    <w:rsid w:val="00E46D9A"/>
    <w:rsid w:val="00E52853"/>
    <w:rsid w:val="00E5305F"/>
    <w:rsid w:val="00E559FD"/>
    <w:rsid w:val="00E5751E"/>
    <w:rsid w:val="00E772C4"/>
    <w:rsid w:val="00E81190"/>
    <w:rsid w:val="00E9166C"/>
    <w:rsid w:val="00E92CC8"/>
    <w:rsid w:val="00EA2DDC"/>
    <w:rsid w:val="00EB0061"/>
    <w:rsid w:val="00EB1D71"/>
    <w:rsid w:val="00EC2305"/>
    <w:rsid w:val="00EC345E"/>
    <w:rsid w:val="00EC5474"/>
    <w:rsid w:val="00EC77E5"/>
    <w:rsid w:val="00ED3CCF"/>
    <w:rsid w:val="00ED45D1"/>
    <w:rsid w:val="00ED6B57"/>
    <w:rsid w:val="00EE01DF"/>
    <w:rsid w:val="00EE5FAC"/>
    <w:rsid w:val="00EF2995"/>
    <w:rsid w:val="00EF5801"/>
    <w:rsid w:val="00EF6825"/>
    <w:rsid w:val="00EF78D3"/>
    <w:rsid w:val="00F00491"/>
    <w:rsid w:val="00F01AE0"/>
    <w:rsid w:val="00F07ACD"/>
    <w:rsid w:val="00F140DA"/>
    <w:rsid w:val="00F20CF7"/>
    <w:rsid w:val="00F24E36"/>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7E99"/>
    <w:rsid w:val="00FA08D9"/>
    <w:rsid w:val="00FB2715"/>
    <w:rsid w:val="00FB77D0"/>
    <w:rsid w:val="00FD1B02"/>
    <w:rsid w:val="00FD6D72"/>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Riddell Gardens Hostel</Home>
    <Signed xmlns="a8338b6e-77a6-4851-82b6-98166143ffdd" xsi:nil="true"/>
    <Uploaded xmlns="a8338b6e-77a6-4851-82b6-98166143ffdd">true</Uploaded>
    <Management_x0020_Company xmlns="a8338b6e-77a6-4851-82b6-98166143ffdd" xsi:nil="true"/>
    <Doc_x0020_Date xmlns="a8338b6e-77a6-4851-82b6-98166143ffdd">2020-01-08T02:58:36+00:00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Site audit report</Doc_x0020_Type>
    <Home_x0020_ID xmlns="a8338b6e-77a6-4851-82b6-98166143ffdd">FD9C338C-7CF4-DC11-AD41-005056922186</Home_x0020_ID>
    <State xmlns="a8338b6e-77a6-4851-82b6-98166143ffdd" xsi:nil="true"/>
    <Doc_x0020_Sent_Received_x0020_Date xmlns="a8338b6e-77a6-4851-82b6-98166143ffdd">2020-01-08T00:00:00+00:00</Doc_x0020_Sent_Received_x0020_Date>
    <Activity_x0020_ID xmlns="a8338b6e-77a6-4851-82b6-98166143ffdd">BFEF8A64-72D3-E911-81DD-005056922186</Activity_x0020_ID>
    <From xmlns="a8338b6e-77a6-4851-82b6-98166143ffdd" xsi:nil="true"/>
    <Doc_x0020_Category xmlns="a8338b6e-77a6-4851-82b6-98166143ffdd">Reports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purl.org/dc/dcmitype/"/>
    <ds:schemaRef ds:uri="http://schemas.microsoft.com/office/2006/documentManagement/types"/>
    <ds:schemaRef ds:uri="a8338b6e-77a6-4851-82b6-98166143ffdd"/>
    <ds:schemaRef ds:uri="http://purl.org/dc/term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08D51DB-A9D8-44DF-B69A-F8F695645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4686884-B203-482C-98DE-4EEE35216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3984</Words>
  <Characters>22709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2020-02-18T00:04:00Z</dcterms:created>
  <dcterms:modified xsi:type="dcterms:W3CDTF">2020-02-18T00:04:00Z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