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BEB2" w14:textId="77777777" w:rsidR="00B70A6C" w:rsidRPr="002C59F0" w:rsidRDefault="00B70A6C" w:rsidP="00B70A6C">
      <w:pPr>
        <w:keepNext/>
        <w:keepLines/>
        <w:pBdr>
          <w:bottom w:val="single" w:sz="4" w:space="1" w:color="auto"/>
        </w:pBdr>
        <w:spacing w:before="600" w:after="0"/>
        <w:outlineLvl w:val="0"/>
        <w:rPr>
          <w:rFonts w:ascii="Arial" w:eastAsiaTheme="majorEastAsia" w:hAnsi="Arial" w:cs="Arial"/>
          <w:b/>
          <w:sz w:val="40"/>
          <w:szCs w:val="32"/>
          <w:lang w:eastAsia="en-AU"/>
        </w:rPr>
      </w:pPr>
      <w:r w:rsidRPr="002C59F0">
        <w:rPr>
          <w:rFonts w:ascii="Arial" w:eastAsiaTheme="majorEastAsia" w:hAnsi="Arial" w:cs="Arial"/>
          <w:b/>
          <w:sz w:val="40"/>
          <w:szCs w:val="32"/>
          <w:lang w:eastAsia="en-AU"/>
        </w:rPr>
        <w:t>ACCREDITATION AND RE-ACCREDITATION FACT SHEET</w:t>
      </w:r>
    </w:p>
    <w:p w14:paraId="4AC79EC9" w14:textId="77777777" w:rsidR="00B70A6C" w:rsidRPr="002C59F0" w:rsidRDefault="00B70A6C" w:rsidP="00B70A6C">
      <w:pPr>
        <w:keepNext/>
        <w:keepLines/>
        <w:pBdr>
          <w:bottom w:val="single" w:sz="4" w:space="1" w:color="auto"/>
        </w:pBdr>
        <w:spacing w:after="0"/>
        <w:outlineLvl w:val="0"/>
        <w:rPr>
          <w:rFonts w:ascii="Arial" w:eastAsia="Times New Roman" w:hAnsi="Arial" w:cs="Arial"/>
          <w:b/>
          <w:sz w:val="40"/>
          <w:szCs w:val="32"/>
          <w:lang w:eastAsia="en-AU"/>
        </w:rPr>
      </w:pPr>
      <w:r w:rsidRPr="002C59F0">
        <w:rPr>
          <w:rFonts w:ascii="Arial" w:eastAsiaTheme="majorEastAsia" w:hAnsi="Arial" w:cs="Arial"/>
          <w:b/>
          <w:sz w:val="40"/>
          <w:szCs w:val="32"/>
          <w:lang w:eastAsia="en-AU"/>
        </w:rPr>
        <w:t xml:space="preserve">Key changes under the </w:t>
      </w:r>
      <w:r w:rsidR="009A335F" w:rsidRPr="003540FF">
        <w:rPr>
          <w:rFonts w:ascii="Arial" w:eastAsiaTheme="majorEastAsia" w:hAnsi="Arial" w:cs="Arial"/>
          <w:b/>
          <w:sz w:val="40"/>
          <w:szCs w:val="32"/>
          <w:lang w:eastAsia="en-AU"/>
        </w:rPr>
        <w:t>Aged Care Quality and Safety Commission Rules 2018 (</w:t>
      </w:r>
      <w:r w:rsidRPr="003540FF">
        <w:rPr>
          <w:rFonts w:ascii="Arial" w:eastAsiaTheme="majorEastAsia" w:hAnsi="Arial" w:cs="Arial"/>
          <w:b/>
          <w:sz w:val="40"/>
          <w:szCs w:val="32"/>
          <w:lang w:eastAsia="en-AU"/>
        </w:rPr>
        <w:t>Rules</w:t>
      </w:r>
      <w:r w:rsidR="009A335F" w:rsidRPr="003540FF">
        <w:rPr>
          <w:rFonts w:ascii="Arial" w:eastAsiaTheme="majorEastAsia" w:hAnsi="Arial" w:cs="Arial"/>
          <w:b/>
          <w:sz w:val="40"/>
          <w:szCs w:val="32"/>
          <w:lang w:eastAsia="en-AU"/>
        </w:rPr>
        <w:t>)</w:t>
      </w:r>
      <w:r w:rsidRPr="002C59F0">
        <w:rPr>
          <w:rFonts w:ascii="Arial" w:eastAsiaTheme="majorEastAsia" w:hAnsi="Arial" w:cs="Arial"/>
          <w:b/>
          <w:sz w:val="40"/>
          <w:szCs w:val="32"/>
          <w:lang w:eastAsia="en-AU"/>
        </w:rPr>
        <w:t xml:space="preserve"> </w:t>
      </w:r>
    </w:p>
    <w:p w14:paraId="6723630D" w14:textId="77777777" w:rsidR="00B70A6C" w:rsidRDefault="00B70A6C" w:rsidP="0080760B">
      <w:pPr>
        <w:spacing w:after="0" w:line="240" w:lineRule="auto"/>
        <w:rPr>
          <w:rFonts w:ascii="Arial" w:hAnsi="Arial" w:cs="Arial"/>
          <w:b/>
          <w:sz w:val="24"/>
          <w:szCs w:val="24"/>
        </w:rPr>
      </w:pPr>
    </w:p>
    <w:p w14:paraId="539BE85A"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Application</w:t>
      </w:r>
    </w:p>
    <w:p w14:paraId="1F2D9D7D" w14:textId="77777777" w:rsidR="003540FF" w:rsidRDefault="003540FF" w:rsidP="00B70A6C">
      <w:pPr>
        <w:rPr>
          <w:rFonts w:ascii="Arial" w:hAnsi="Arial" w:cs="Arial"/>
          <w:sz w:val="24"/>
          <w:szCs w:val="24"/>
        </w:rPr>
      </w:pPr>
      <w:r>
        <w:rPr>
          <w:rFonts w:ascii="Arial" w:hAnsi="Arial" w:cs="Arial"/>
          <w:sz w:val="24"/>
          <w:szCs w:val="24"/>
        </w:rPr>
        <w:t xml:space="preserve">From 1 July 2019 approved providers applying for accreditation or re-accreditation will be assessed against the Aged Care Quality Standards (Quality Standards) in accordance with the Rules. </w:t>
      </w:r>
    </w:p>
    <w:p w14:paraId="33FF8141" w14:textId="77777777" w:rsidR="00B70A6C" w:rsidRPr="002C59F0" w:rsidRDefault="00B70A6C" w:rsidP="00B70A6C">
      <w:pPr>
        <w:rPr>
          <w:rFonts w:ascii="Arial" w:hAnsi="Arial" w:cs="Arial"/>
          <w:sz w:val="24"/>
          <w:szCs w:val="24"/>
        </w:rPr>
      </w:pPr>
      <w:r w:rsidRPr="002C59F0">
        <w:rPr>
          <w:rFonts w:ascii="Arial" w:hAnsi="Arial" w:cs="Arial"/>
          <w:sz w:val="24"/>
          <w:szCs w:val="24"/>
        </w:rPr>
        <w:t>The a</w:t>
      </w:r>
      <w:r w:rsidR="007C08DB">
        <w:rPr>
          <w:rFonts w:ascii="Arial" w:hAnsi="Arial" w:cs="Arial"/>
          <w:sz w:val="24"/>
          <w:szCs w:val="24"/>
        </w:rPr>
        <w:t xml:space="preserve">pplication for re-accreditation </w:t>
      </w:r>
      <w:r w:rsidRPr="002C59F0">
        <w:rPr>
          <w:rFonts w:ascii="Arial" w:hAnsi="Arial" w:cs="Arial"/>
          <w:sz w:val="24"/>
          <w:szCs w:val="24"/>
        </w:rPr>
        <w:t>no longer require</w:t>
      </w:r>
      <w:r w:rsidR="007C08DB">
        <w:rPr>
          <w:rFonts w:ascii="Arial" w:hAnsi="Arial" w:cs="Arial"/>
          <w:sz w:val="24"/>
          <w:szCs w:val="24"/>
        </w:rPr>
        <w:t>s</w:t>
      </w:r>
      <w:r w:rsidRPr="002C59F0">
        <w:rPr>
          <w:rFonts w:ascii="Arial" w:hAnsi="Arial" w:cs="Arial"/>
          <w:sz w:val="24"/>
          <w:szCs w:val="24"/>
        </w:rPr>
        <w:t xml:space="preserve"> an approved provider to consent in advance to an assessment team accessing service premises. Consent to enter is now requested when a team arrives at the service.</w:t>
      </w:r>
    </w:p>
    <w:p w14:paraId="6C0E60F8"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 xml:space="preserve">Notifying </w:t>
      </w:r>
      <w:r w:rsidR="004712E3">
        <w:rPr>
          <w:rFonts w:ascii="Arial" w:hAnsi="Arial" w:cs="Arial"/>
          <w:b/>
          <w:color w:val="00577D"/>
          <w:sz w:val="28"/>
          <w:szCs w:val="24"/>
        </w:rPr>
        <w:t>aged care consumers</w:t>
      </w:r>
      <w:r w:rsidR="009A335F">
        <w:rPr>
          <w:rFonts w:ascii="Arial" w:hAnsi="Arial" w:cs="Arial"/>
          <w:b/>
          <w:color w:val="00577D"/>
          <w:sz w:val="28"/>
          <w:szCs w:val="24"/>
        </w:rPr>
        <w:t xml:space="preserve"> (consumers)</w:t>
      </w:r>
      <w:r w:rsidRPr="002C59F0">
        <w:rPr>
          <w:rFonts w:ascii="Arial" w:hAnsi="Arial" w:cs="Arial"/>
          <w:b/>
          <w:color w:val="00577D"/>
          <w:sz w:val="28"/>
          <w:szCs w:val="24"/>
        </w:rPr>
        <w:t xml:space="preserve"> and their representatives of upcoming site audit </w:t>
      </w:r>
    </w:p>
    <w:p w14:paraId="7EAAF96F" w14:textId="77777777" w:rsidR="00B70A6C" w:rsidRPr="002C59F0" w:rsidRDefault="00B70A6C" w:rsidP="00B70A6C">
      <w:pPr>
        <w:rPr>
          <w:rFonts w:ascii="Arial" w:hAnsi="Arial" w:cs="Arial"/>
          <w:sz w:val="24"/>
          <w:szCs w:val="24"/>
        </w:rPr>
      </w:pPr>
      <w:r w:rsidRPr="002C59F0">
        <w:rPr>
          <w:rFonts w:ascii="Arial" w:hAnsi="Arial" w:cs="Arial"/>
          <w:sz w:val="24"/>
          <w:szCs w:val="24"/>
        </w:rPr>
        <w:t xml:space="preserve">The approved provider must take all reasonable steps to ensure </w:t>
      </w:r>
      <w:r w:rsidR="004712E3">
        <w:rPr>
          <w:rFonts w:ascii="Arial" w:hAnsi="Arial" w:cs="Arial"/>
          <w:sz w:val="24"/>
          <w:szCs w:val="24"/>
        </w:rPr>
        <w:t>consumer</w:t>
      </w:r>
      <w:r w:rsidR="001B753A">
        <w:rPr>
          <w:rFonts w:ascii="Arial" w:hAnsi="Arial" w:cs="Arial"/>
          <w:sz w:val="24"/>
          <w:szCs w:val="24"/>
        </w:rPr>
        <w:t>s</w:t>
      </w:r>
      <w:r w:rsidRPr="002C59F0">
        <w:rPr>
          <w:rFonts w:ascii="Arial" w:hAnsi="Arial" w:cs="Arial"/>
          <w:sz w:val="24"/>
          <w:szCs w:val="24"/>
        </w:rPr>
        <w:t xml:space="preserve"> and their nominated representatives </w:t>
      </w:r>
      <w:r w:rsidR="00591550">
        <w:rPr>
          <w:rFonts w:ascii="Arial" w:hAnsi="Arial" w:cs="Arial"/>
          <w:sz w:val="24"/>
          <w:szCs w:val="24"/>
        </w:rPr>
        <w:t>are</w:t>
      </w:r>
      <w:r w:rsidRPr="002C59F0">
        <w:rPr>
          <w:rFonts w:ascii="Arial" w:hAnsi="Arial" w:cs="Arial"/>
          <w:sz w:val="24"/>
          <w:szCs w:val="24"/>
        </w:rPr>
        <w:t xml:space="preserve"> informed that there will be a site audit as part of the accreditation process</w:t>
      </w:r>
      <w:r w:rsidR="00AF5BE1">
        <w:rPr>
          <w:rFonts w:ascii="Arial" w:hAnsi="Arial" w:cs="Arial"/>
          <w:sz w:val="24"/>
          <w:szCs w:val="24"/>
        </w:rPr>
        <w:t xml:space="preserve"> </w:t>
      </w:r>
      <w:r w:rsidR="00AF5BE1" w:rsidRPr="002C59F0">
        <w:rPr>
          <w:rFonts w:ascii="Arial" w:hAnsi="Arial" w:cs="Arial"/>
          <w:sz w:val="24"/>
          <w:szCs w:val="24"/>
        </w:rPr>
        <w:t xml:space="preserve">(please see the </w:t>
      </w:r>
      <w:r w:rsidR="00AF5BE1">
        <w:rPr>
          <w:rFonts w:ascii="Arial" w:hAnsi="Arial" w:cs="Arial"/>
          <w:sz w:val="24"/>
          <w:szCs w:val="24"/>
        </w:rPr>
        <w:t xml:space="preserve">nominated representative </w:t>
      </w:r>
      <w:r w:rsidR="00AF5BE1" w:rsidRPr="002C59F0">
        <w:rPr>
          <w:rFonts w:ascii="Arial" w:hAnsi="Arial" w:cs="Arial"/>
          <w:sz w:val="24"/>
          <w:szCs w:val="24"/>
        </w:rPr>
        <w:t xml:space="preserve">definition in the </w:t>
      </w:r>
      <w:hyperlink r:id="rId6" w:history="1">
        <w:r w:rsidR="00AF5BE1" w:rsidRPr="00096261">
          <w:rPr>
            <w:rStyle w:val="Hyperlink"/>
            <w:rFonts w:ascii="Arial" w:hAnsi="Arial" w:cs="Arial"/>
            <w:sz w:val="24"/>
            <w:szCs w:val="24"/>
          </w:rPr>
          <w:t>Language Glossary</w:t>
        </w:r>
      </w:hyperlink>
      <w:r w:rsidR="00AF5BE1">
        <w:rPr>
          <w:rStyle w:val="Hyperlink"/>
          <w:rFonts w:ascii="Arial" w:hAnsi="Arial" w:cs="Arial"/>
          <w:sz w:val="24"/>
          <w:szCs w:val="24"/>
        </w:rPr>
        <w:t>)</w:t>
      </w:r>
      <w:r w:rsidRPr="002C59F0">
        <w:rPr>
          <w:rFonts w:ascii="Arial" w:hAnsi="Arial" w:cs="Arial"/>
          <w:sz w:val="24"/>
          <w:szCs w:val="24"/>
        </w:rPr>
        <w:t xml:space="preserve">. This replaces the previous provision that it was </w:t>
      </w:r>
      <w:r w:rsidR="004712E3">
        <w:rPr>
          <w:rFonts w:ascii="Arial" w:hAnsi="Arial" w:cs="Arial"/>
          <w:sz w:val="24"/>
          <w:szCs w:val="24"/>
        </w:rPr>
        <w:t>consumers</w:t>
      </w:r>
      <w:r w:rsidRPr="002C59F0">
        <w:rPr>
          <w:rFonts w:ascii="Arial" w:hAnsi="Arial" w:cs="Arial"/>
          <w:sz w:val="24"/>
          <w:szCs w:val="24"/>
        </w:rPr>
        <w:t xml:space="preserve"> ‘or’ their representatives that the service had to notify. It is now both. </w:t>
      </w:r>
    </w:p>
    <w:p w14:paraId="00301489"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 xml:space="preserve">Site audit meetings </w:t>
      </w:r>
    </w:p>
    <w:p w14:paraId="4F906CF6" w14:textId="77777777" w:rsidR="00B70A6C" w:rsidRPr="002C59F0" w:rsidRDefault="00B70A6C" w:rsidP="00B70A6C">
      <w:pPr>
        <w:rPr>
          <w:rFonts w:ascii="Arial" w:hAnsi="Arial" w:cs="Arial"/>
          <w:b/>
          <w:sz w:val="24"/>
          <w:szCs w:val="24"/>
        </w:rPr>
      </w:pPr>
      <w:r w:rsidRPr="002C59F0">
        <w:rPr>
          <w:rFonts w:ascii="Arial" w:hAnsi="Arial" w:cs="Arial"/>
          <w:sz w:val="24"/>
          <w:szCs w:val="24"/>
        </w:rPr>
        <w:t>On each day of the site visit there is a site meeting between a member of the assessment team and the person in charge of the service to discuss the progress of the visit. This does not preclude all members of the assessment team from attending the meeting.</w:t>
      </w:r>
    </w:p>
    <w:p w14:paraId="72B1051D"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Decision on application for accreditation or re-accreditation</w:t>
      </w:r>
    </w:p>
    <w:p w14:paraId="0C1E1968" w14:textId="77777777" w:rsidR="00B70A6C" w:rsidRPr="002C59F0" w:rsidRDefault="003010CE" w:rsidP="00B70A6C">
      <w:pPr>
        <w:rPr>
          <w:rFonts w:ascii="Arial" w:hAnsi="Arial" w:cs="Arial"/>
          <w:sz w:val="24"/>
          <w:szCs w:val="24"/>
        </w:rPr>
      </w:pPr>
      <w:r>
        <w:rPr>
          <w:rFonts w:ascii="Arial" w:hAnsi="Arial" w:cs="Arial"/>
          <w:sz w:val="24"/>
          <w:szCs w:val="24"/>
        </w:rPr>
        <w:t xml:space="preserve">In making a decision whether to accredit or re-accredit a service, the </w:t>
      </w:r>
      <w:r w:rsidR="00AF5BE1">
        <w:rPr>
          <w:rFonts w:ascii="Arial" w:hAnsi="Arial" w:cs="Arial"/>
          <w:sz w:val="24"/>
          <w:szCs w:val="24"/>
        </w:rPr>
        <w:t>Aged Care Quality and Safety Commissioner (</w:t>
      </w:r>
      <w:r w:rsidR="00B70A6C" w:rsidRPr="002C59F0">
        <w:rPr>
          <w:rFonts w:ascii="Arial" w:hAnsi="Arial" w:cs="Arial"/>
          <w:sz w:val="24"/>
          <w:szCs w:val="24"/>
        </w:rPr>
        <w:t>Commissioner</w:t>
      </w:r>
      <w:r w:rsidR="00AF5BE1">
        <w:rPr>
          <w:rFonts w:ascii="Arial" w:hAnsi="Arial" w:cs="Arial"/>
          <w:sz w:val="24"/>
          <w:szCs w:val="24"/>
        </w:rPr>
        <w:t>)</w:t>
      </w:r>
      <w:r w:rsidR="00B70A6C" w:rsidRPr="002C59F0">
        <w:rPr>
          <w:rFonts w:ascii="Arial" w:hAnsi="Arial" w:cs="Arial"/>
          <w:sz w:val="24"/>
          <w:szCs w:val="24"/>
        </w:rPr>
        <w:t xml:space="preserve"> </w:t>
      </w:r>
      <w:r>
        <w:rPr>
          <w:rFonts w:ascii="Arial" w:hAnsi="Arial" w:cs="Arial"/>
          <w:sz w:val="24"/>
          <w:szCs w:val="24"/>
        </w:rPr>
        <w:t>or delegate will</w:t>
      </w:r>
      <w:r w:rsidR="00B70A6C" w:rsidRPr="002C59F0">
        <w:rPr>
          <w:rFonts w:ascii="Arial" w:hAnsi="Arial" w:cs="Arial"/>
          <w:sz w:val="24"/>
          <w:szCs w:val="24"/>
        </w:rPr>
        <w:t xml:space="preserve"> provide reasons for the decision</w:t>
      </w:r>
      <w:r>
        <w:rPr>
          <w:rFonts w:ascii="Arial" w:hAnsi="Arial" w:cs="Arial"/>
          <w:sz w:val="24"/>
          <w:szCs w:val="24"/>
        </w:rPr>
        <w:t>. This includes reasons for t</w:t>
      </w:r>
      <w:r w:rsidR="00B70A6C" w:rsidRPr="002C59F0">
        <w:rPr>
          <w:rFonts w:ascii="Arial" w:hAnsi="Arial" w:cs="Arial"/>
          <w:sz w:val="24"/>
          <w:szCs w:val="24"/>
        </w:rPr>
        <w:t xml:space="preserve">he </w:t>
      </w:r>
      <w:r>
        <w:rPr>
          <w:rFonts w:ascii="Arial" w:hAnsi="Arial" w:cs="Arial"/>
          <w:sz w:val="24"/>
          <w:szCs w:val="24"/>
        </w:rPr>
        <w:t xml:space="preserve">further </w:t>
      </w:r>
      <w:r w:rsidR="00B70A6C" w:rsidRPr="002C59F0">
        <w:rPr>
          <w:rFonts w:ascii="Arial" w:hAnsi="Arial" w:cs="Arial"/>
          <w:sz w:val="24"/>
          <w:szCs w:val="24"/>
        </w:rPr>
        <w:t>period of accreditation</w:t>
      </w:r>
      <w:r>
        <w:rPr>
          <w:rFonts w:ascii="Arial" w:hAnsi="Arial" w:cs="Arial"/>
          <w:sz w:val="24"/>
          <w:szCs w:val="24"/>
        </w:rPr>
        <w:t xml:space="preserve"> in deciding to re-accredit a service</w:t>
      </w:r>
      <w:r w:rsidR="00B70A6C" w:rsidRPr="002C59F0">
        <w:rPr>
          <w:rFonts w:ascii="Arial" w:hAnsi="Arial" w:cs="Arial"/>
          <w:sz w:val="24"/>
          <w:szCs w:val="24"/>
        </w:rPr>
        <w:t>.</w:t>
      </w:r>
    </w:p>
    <w:p w14:paraId="79C16599" w14:textId="77777777" w:rsidR="00B70A6C" w:rsidRPr="002C59F0" w:rsidRDefault="00B70A6C" w:rsidP="00B70A6C">
      <w:pPr>
        <w:rPr>
          <w:rFonts w:ascii="Arial" w:hAnsi="Arial" w:cs="Arial"/>
          <w:sz w:val="24"/>
          <w:szCs w:val="24"/>
        </w:rPr>
      </w:pPr>
      <w:r w:rsidRPr="002C59F0">
        <w:rPr>
          <w:rFonts w:ascii="Arial" w:hAnsi="Arial" w:cs="Arial"/>
          <w:sz w:val="24"/>
          <w:szCs w:val="24"/>
        </w:rPr>
        <w:t xml:space="preserve">The Commissioner must within 28 days of making a decision to accredit or re-accredit a service give the </w:t>
      </w:r>
      <w:r w:rsidR="00071FA4">
        <w:rPr>
          <w:rFonts w:ascii="Arial" w:hAnsi="Arial" w:cs="Arial"/>
          <w:sz w:val="24"/>
          <w:szCs w:val="24"/>
        </w:rPr>
        <w:t xml:space="preserve">approved </w:t>
      </w:r>
      <w:r w:rsidRPr="002C59F0">
        <w:rPr>
          <w:rFonts w:ascii="Arial" w:hAnsi="Arial" w:cs="Arial"/>
          <w:sz w:val="24"/>
          <w:szCs w:val="24"/>
        </w:rPr>
        <w:t xml:space="preserve">provider a new certificate of accreditation. A </w:t>
      </w:r>
      <w:r w:rsidRPr="002C59F0">
        <w:rPr>
          <w:rFonts w:ascii="Arial" w:hAnsi="Arial" w:cs="Arial"/>
          <w:sz w:val="24"/>
          <w:szCs w:val="24"/>
        </w:rPr>
        <w:lastRenderedPageBreak/>
        <w:t>replacement certificate will be issued if a reconsideration application on a period of accreditation is successful.</w:t>
      </w:r>
    </w:p>
    <w:p w14:paraId="0B638EFA"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Notification of decision not to accredit, re-accredit or revoke accreditation</w:t>
      </w:r>
    </w:p>
    <w:p w14:paraId="0570D1FC" w14:textId="77777777" w:rsidR="00B70A6C" w:rsidRPr="002C59F0" w:rsidRDefault="00B70A6C" w:rsidP="00B70A6C">
      <w:pPr>
        <w:rPr>
          <w:rFonts w:ascii="Arial" w:hAnsi="Arial" w:cs="Arial"/>
          <w:sz w:val="24"/>
          <w:szCs w:val="24"/>
        </w:rPr>
      </w:pPr>
      <w:r w:rsidRPr="002C59F0">
        <w:rPr>
          <w:rFonts w:ascii="Arial" w:hAnsi="Arial" w:cs="Arial"/>
          <w:sz w:val="24"/>
          <w:szCs w:val="24"/>
        </w:rPr>
        <w:t xml:space="preserve">Where a decision is made not to accredit a commencing service, not to re-accredit an accredited service or to revoke accreditation, there is no longer a requirement to notify the service of any areas where they can make improvement or to advise of arrangements for assessment contacts. </w:t>
      </w:r>
    </w:p>
    <w:p w14:paraId="543456C2" w14:textId="77777777" w:rsidR="00B70A6C" w:rsidRPr="002C59F0" w:rsidRDefault="00B70A6C" w:rsidP="00B70A6C">
      <w:pPr>
        <w:rPr>
          <w:rFonts w:ascii="Arial" w:hAnsi="Arial" w:cs="Arial"/>
          <w:sz w:val="24"/>
          <w:szCs w:val="24"/>
        </w:rPr>
      </w:pPr>
      <w:r w:rsidRPr="002C59F0">
        <w:rPr>
          <w:rFonts w:ascii="Arial" w:hAnsi="Arial" w:cs="Arial"/>
          <w:sz w:val="24"/>
          <w:szCs w:val="24"/>
        </w:rPr>
        <w:t>The Commissioner</w:t>
      </w:r>
      <w:r w:rsidR="000B5E2C">
        <w:rPr>
          <w:rFonts w:ascii="Arial" w:hAnsi="Arial" w:cs="Arial"/>
          <w:sz w:val="24"/>
          <w:szCs w:val="24"/>
        </w:rPr>
        <w:t>,</w:t>
      </w:r>
      <w:r w:rsidRPr="002C59F0">
        <w:rPr>
          <w:rFonts w:ascii="Arial" w:hAnsi="Arial" w:cs="Arial"/>
          <w:sz w:val="24"/>
          <w:szCs w:val="24"/>
        </w:rPr>
        <w:t xml:space="preserve"> as soon as practicable after making the decision on accreditation</w:t>
      </w:r>
      <w:r w:rsidR="000B5E2C">
        <w:rPr>
          <w:rFonts w:ascii="Arial" w:hAnsi="Arial" w:cs="Arial"/>
          <w:sz w:val="24"/>
          <w:szCs w:val="24"/>
        </w:rPr>
        <w:t>,</w:t>
      </w:r>
      <w:r w:rsidRPr="002C59F0">
        <w:rPr>
          <w:rFonts w:ascii="Arial" w:hAnsi="Arial" w:cs="Arial"/>
          <w:sz w:val="24"/>
          <w:szCs w:val="24"/>
        </w:rPr>
        <w:t xml:space="preserve"> will inform the Secretary of the Department of Health. </w:t>
      </w:r>
    </w:p>
    <w:p w14:paraId="76F142BD" w14:textId="77777777" w:rsidR="00B70A6C" w:rsidRPr="002C59F0" w:rsidRDefault="00B70A6C" w:rsidP="00B70A6C">
      <w:pPr>
        <w:rPr>
          <w:rFonts w:ascii="Arial" w:hAnsi="Arial" w:cs="Arial"/>
          <w:sz w:val="24"/>
          <w:szCs w:val="24"/>
        </w:rPr>
      </w:pPr>
      <w:r w:rsidRPr="002C59F0">
        <w:rPr>
          <w:rFonts w:ascii="Arial" w:hAnsi="Arial" w:cs="Arial"/>
          <w:sz w:val="24"/>
          <w:szCs w:val="24"/>
        </w:rPr>
        <w:t xml:space="preserve">For more information about the accreditation and re-accreditation process visit the </w:t>
      </w:r>
      <w:hyperlink r:id="rId7" w:history="1">
        <w:r w:rsidRPr="00096261">
          <w:rPr>
            <w:rStyle w:val="Hyperlink"/>
            <w:rFonts w:ascii="Arial" w:hAnsi="Arial" w:cs="Arial"/>
            <w:sz w:val="24"/>
            <w:szCs w:val="24"/>
          </w:rPr>
          <w:t>accreditation</w:t>
        </w:r>
      </w:hyperlink>
      <w:r w:rsidR="00096261">
        <w:rPr>
          <w:rFonts w:ascii="Arial" w:hAnsi="Arial" w:cs="Arial"/>
          <w:sz w:val="24"/>
          <w:szCs w:val="24"/>
        </w:rPr>
        <w:t xml:space="preserve"> </w:t>
      </w:r>
      <w:r w:rsidRPr="002C59F0">
        <w:rPr>
          <w:rFonts w:ascii="Arial" w:hAnsi="Arial" w:cs="Arial"/>
          <w:sz w:val="24"/>
          <w:szCs w:val="24"/>
        </w:rPr>
        <w:t xml:space="preserve">and </w:t>
      </w:r>
      <w:hyperlink r:id="rId8" w:history="1">
        <w:r w:rsidRPr="00096261">
          <w:rPr>
            <w:rStyle w:val="Hyperlink"/>
            <w:rFonts w:ascii="Arial" w:hAnsi="Arial" w:cs="Arial"/>
            <w:sz w:val="24"/>
            <w:szCs w:val="24"/>
          </w:rPr>
          <w:t>re-accreditation</w:t>
        </w:r>
      </w:hyperlink>
      <w:r w:rsidRPr="002C59F0">
        <w:rPr>
          <w:rFonts w:ascii="Arial" w:hAnsi="Arial" w:cs="Arial"/>
          <w:sz w:val="24"/>
          <w:szCs w:val="24"/>
        </w:rPr>
        <w:t xml:space="preserve"> pages on the Commission website.</w:t>
      </w:r>
    </w:p>
    <w:p w14:paraId="209A4CF1" w14:textId="77777777" w:rsidR="00B70A6C" w:rsidRPr="002C59F0" w:rsidRDefault="00B70A6C" w:rsidP="00B70A6C">
      <w:pPr>
        <w:outlineLvl w:val="1"/>
        <w:rPr>
          <w:rFonts w:ascii="Arial" w:hAnsi="Arial" w:cs="Arial"/>
          <w:b/>
          <w:color w:val="00577D"/>
          <w:sz w:val="28"/>
          <w:szCs w:val="24"/>
        </w:rPr>
      </w:pPr>
      <w:r w:rsidRPr="002C59F0">
        <w:rPr>
          <w:rFonts w:ascii="Arial" w:hAnsi="Arial" w:cs="Arial"/>
          <w:b/>
          <w:color w:val="00577D"/>
          <w:sz w:val="28"/>
          <w:szCs w:val="24"/>
        </w:rPr>
        <w:t>Regulatory Policy Helpdesk</w:t>
      </w:r>
    </w:p>
    <w:p w14:paraId="5A866BD4" w14:textId="77777777" w:rsidR="00B70A6C" w:rsidRPr="00B70A6C" w:rsidRDefault="00B70A6C" w:rsidP="00B70A6C">
      <w:pPr>
        <w:spacing w:before="240"/>
        <w:contextualSpacing/>
        <w:rPr>
          <w:rFonts w:ascii="Arial" w:hAnsi="Arial" w:cs="Arial"/>
          <w:sz w:val="24"/>
          <w:szCs w:val="24"/>
        </w:rPr>
      </w:pPr>
      <w:r w:rsidRPr="002C59F0">
        <w:rPr>
          <w:rFonts w:ascii="Arial" w:hAnsi="Arial" w:cs="Arial"/>
          <w:sz w:val="24"/>
          <w:szCs w:val="24"/>
        </w:rPr>
        <w:t xml:space="preserve">For support in understanding the Rules and their operational implications, please contact the Regulatory Policy team at </w:t>
      </w:r>
      <w:hyperlink r:id="rId9" w:history="1">
        <w:r w:rsidRPr="002C59F0">
          <w:rPr>
            <w:rFonts w:ascii="Arial" w:hAnsi="Arial" w:cs="Arial"/>
            <w:color w:val="0000FF" w:themeColor="hyperlink"/>
            <w:sz w:val="24"/>
            <w:szCs w:val="24"/>
            <w:u w:val="single"/>
          </w:rPr>
          <w:t>regulatorypolicy@agedcarequality.gov.au</w:t>
        </w:r>
      </w:hyperlink>
      <w:r w:rsidRPr="002C59F0">
        <w:rPr>
          <w:rFonts w:ascii="Arial" w:hAnsi="Arial" w:cs="Arial"/>
          <w:sz w:val="24"/>
          <w:szCs w:val="24"/>
        </w:rPr>
        <w:t xml:space="preserve"> or speak with your local </w:t>
      </w:r>
      <w:hyperlink r:id="rId10" w:history="1">
        <w:r w:rsidRPr="00096261">
          <w:rPr>
            <w:rStyle w:val="Hyperlink"/>
            <w:rFonts w:ascii="Arial" w:hAnsi="Arial" w:cs="Arial"/>
            <w:sz w:val="24"/>
            <w:szCs w:val="24"/>
          </w:rPr>
          <w:t>Regional office</w:t>
        </w:r>
      </w:hyperlink>
      <w:r w:rsidRPr="002C59F0">
        <w:rPr>
          <w:rFonts w:ascii="Arial" w:hAnsi="Arial" w:cs="Arial"/>
          <w:sz w:val="24"/>
          <w:szCs w:val="24"/>
        </w:rPr>
        <w:t>.</w:t>
      </w:r>
    </w:p>
    <w:p w14:paraId="71E37948" w14:textId="77777777" w:rsidR="00B70A6C" w:rsidRPr="00B70A6C" w:rsidRDefault="00B70A6C" w:rsidP="00B70A6C">
      <w:pPr>
        <w:rPr>
          <w:rFonts w:ascii="Arial" w:hAnsi="Arial" w:cs="Arial"/>
          <w:sz w:val="24"/>
          <w:szCs w:val="24"/>
        </w:rPr>
      </w:pPr>
    </w:p>
    <w:p w14:paraId="3EB0B41F" w14:textId="77777777" w:rsidR="007F4412" w:rsidRDefault="007F4412"/>
    <w:sectPr w:rsidR="007F44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8041" w14:textId="77777777" w:rsidR="00DD28FD" w:rsidRDefault="00DD28FD" w:rsidP="00B70A6C">
      <w:pPr>
        <w:spacing w:after="0" w:line="240" w:lineRule="auto"/>
      </w:pPr>
      <w:r>
        <w:separator/>
      </w:r>
    </w:p>
  </w:endnote>
  <w:endnote w:type="continuationSeparator" w:id="0">
    <w:p w14:paraId="2EDB53BA" w14:textId="77777777" w:rsidR="00DD28FD" w:rsidRDefault="00DD28FD" w:rsidP="00B7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D11B" w14:textId="77777777" w:rsidR="00A7680F" w:rsidRPr="00E36194" w:rsidRDefault="00A7680F" w:rsidP="00A7680F">
    <w:pPr>
      <w:pStyle w:val="Footer"/>
      <w:jc w:val="right"/>
      <w:rPr>
        <w:rFonts w:ascii="Arial" w:hAnsi="Arial" w:cs="Arial"/>
        <w:sz w:val="20"/>
      </w:rPr>
    </w:pPr>
    <w:r w:rsidRPr="00E36194">
      <w:rPr>
        <w:rFonts w:ascii="Arial" w:hAnsi="Arial" w:cs="Arial"/>
        <w:sz w:val="20"/>
      </w:rPr>
      <w:t>Release date: 1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DDFE" w14:textId="77777777" w:rsidR="00DD28FD" w:rsidRDefault="00DD28FD" w:rsidP="00B70A6C">
      <w:pPr>
        <w:spacing w:after="0" w:line="240" w:lineRule="auto"/>
      </w:pPr>
      <w:r>
        <w:separator/>
      </w:r>
    </w:p>
  </w:footnote>
  <w:footnote w:type="continuationSeparator" w:id="0">
    <w:p w14:paraId="41741BE3" w14:textId="77777777" w:rsidR="00DD28FD" w:rsidRDefault="00DD28FD" w:rsidP="00B7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EF2A" w14:textId="77777777" w:rsidR="00F94C83" w:rsidRDefault="00F94C83" w:rsidP="00B70A6C">
    <w:pPr>
      <w:pStyle w:val="Header"/>
      <w:spacing w:after="240"/>
    </w:pPr>
    <w:r>
      <w:rPr>
        <w:noProof/>
        <w:lang w:eastAsia="en-AU"/>
      </w:rPr>
      <w:drawing>
        <wp:inline distT="0" distB="0" distL="0" distR="0" wp14:anchorId="54766EFB" wp14:editId="5E8C7557">
          <wp:extent cx="3549296"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3398" cy="59622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A6C"/>
    <w:rsid w:val="000255AC"/>
    <w:rsid w:val="00071FA4"/>
    <w:rsid w:val="00096261"/>
    <w:rsid w:val="000A2B41"/>
    <w:rsid w:val="000A753E"/>
    <w:rsid w:val="000B5E2C"/>
    <w:rsid w:val="00111E5C"/>
    <w:rsid w:val="00111FE6"/>
    <w:rsid w:val="001B753A"/>
    <w:rsid w:val="002C59F0"/>
    <w:rsid w:val="003010CE"/>
    <w:rsid w:val="003540FF"/>
    <w:rsid w:val="00413AAB"/>
    <w:rsid w:val="004712E3"/>
    <w:rsid w:val="004F1D2C"/>
    <w:rsid w:val="00590F49"/>
    <w:rsid w:val="00591550"/>
    <w:rsid w:val="005C1545"/>
    <w:rsid w:val="005D47F8"/>
    <w:rsid w:val="005E4C37"/>
    <w:rsid w:val="00600DD7"/>
    <w:rsid w:val="006C4193"/>
    <w:rsid w:val="00734972"/>
    <w:rsid w:val="007C08DB"/>
    <w:rsid w:val="007F4412"/>
    <w:rsid w:val="0080760B"/>
    <w:rsid w:val="00894DB9"/>
    <w:rsid w:val="00950336"/>
    <w:rsid w:val="009652E1"/>
    <w:rsid w:val="009A335F"/>
    <w:rsid w:val="00A7680F"/>
    <w:rsid w:val="00AF5BE1"/>
    <w:rsid w:val="00B01A3B"/>
    <w:rsid w:val="00B70A6C"/>
    <w:rsid w:val="00BF781A"/>
    <w:rsid w:val="00D024B6"/>
    <w:rsid w:val="00DD28FD"/>
    <w:rsid w:val="00DE7812"/>
    <w:rsid w:val="00E134D1"/>
    <w:rsid w:val="00E36194"/>
    <w:rsid w:val="00EA1F1A"/>
    <w:rsid w:val="00EE03DC"/>
    <w:rsid w:val="00F9280C"/>
    <w:rsid w:val="00F94C83"/>
    <w:rsid w:val="00FD4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A6C"/>
  </w:style>
  <w:style w:type="paragraph" w:styleId="Footer">
    <w:name w:val="footer"/>
    <w:basedOn w:val="Normal"/>
    <w:link w:val="FooterChar"/>
    <w:uiPriority w:val="99"/>
    <w:unhideWhenUsed/>
    <w:rsid w:val="00B70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A6C"/>
  </w:style>
  <w:style w:type="paragraph" w:styleId="BalloonText">
    <w:name w:val="Balloon Text"/>
    <w:basedOn w:val="Normal"/>
    <w:link w:val="BalloonTextChar"/>
    <w:uiPriority w:val="99"/>
    <w:semiHidden/>
    <w:unhideWhenUsed/>
    <w:rsid w:val="00B70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6C"/>
    <w:rPr>
      <w:rFonts w:ascii="Tahoma" w:hAnsi="Tahoma" w:cs="Tahoma"/>
      <w:sz w:val="16"/>
      <w:szCs w:val="16"/>
    </w:rPr>
  </w:style>
  <w:style w:type="character" w:styleId="CommentReference">
    <w:name w:val="annotation reference"/>
    <w:basedOn w:val="DefaultParagraphFont"/>
    <w:uiPriority w:val="99"/>
    <w:semiHidden/>
    <w:unhideWhenUsed/>
    <w:rsid w:val="00B70A6C"/>
    <w:rPr>
      <w:sz w:val="16"/>
      <w:szCs w:val="16"/>
    </w:rPr>
  </w:style>
  <w:style w:type="paragraph" w:styleId="CommentText">
    <w:name w:val="annotation text"/>
    <w:basedOn w:val="Normal"/>
    <w:link w:val="CommentTextChar"/>
    <w:uiPriority w:val="99"/>
    <w:semiHidden/>
    <w:unhideWhenUsed/>
    <w:rsid w:val="00B70A6C"/>
    <w:pPr>
      <w:spacing w:line="240" w:lineRule="auto"/>
    </w:pPr>
    <w:rPr>
      <w:sz w:val="20"/>
      <w:szCs w:val="20"/>
    </w:rPr>
  </w:style>
  <w:style w:type="character" w:customStyle="1" w:styleId="CommentTextChar">
    <w:name w:val="Comment Text Char"/>
    <w:basedOn w:val="DefaultParagraphFont"/>
    <w:link w:val="CommentText"/>
    <w:uiPriority w:val="99"/>
    <w:semiHidden/>
    <w:rsid w:val="00B70A6C"/>
    <w:rPr>
      <w:sz w:val="20"/>
      <w:szCs w:val="20"/>
    </w:rPr>
  </w:style>
  <w:style w:type="paragraph" w:styleId="CommentSubject">
    <w:name w:val="annotation subject"/>
    <w:basedOn w:val="CommentText"/>
    <w:next w:val="CommentText"/>
    <w:link w:val="CommentSubjectChar"/>
    <w:uiPriority w:val="99"/>
    <w:semiHidden/>
    <w:unhideWhenUsed/>
    <w:rsid w:val="00B70A6C"/>
    <w:rPr>
      <w:b/>
      <w:bCs/>
    </w:rPr>
  </w:style>
  <w:style w:type="character" w:customStyle="1" w:styleId="CommentSubjectChar">
    <w:name w:val="Comment Subject Char"/>
    <w:basedOn w:val="CommentTextChar"/>
    <w:link w:val="CommentSubject"/>
    <w:uiPriority w:val="99"/>
    <w:semiHidden/>
    <w:rsid w:val="00B70A6C"/>
    <w:rPr>
      <w:b/>
      <w:bCs/>
      <w:sz w:val="20"/>
      <w:szCs w:val="20"/>
    </w:rPr>
  </w:style>
  <w:style w:type="character" w:styleId="Hyperlink">
    <w:name w:val="Hyperlink"/>
    <w:basedOn w:val="DefaultParagraphFont"/>
    <w:uiPriority w:val="99"/>
    <w:unhideWhenUsed/>
    <w:rsid w:val="00096261"/>
    <w:rPr>
      <w:color w:val="0000FF" w:themeColor="hyperlink"/>
      <w:u w:val="single"/>
    </w:rPr>
  </w:style>
  <w:style w:type="paragraph" w:styleId="Subtitle">
    <w:name w:val="Subtitle"/>
    <w:basedOn w:val="Normal"/>
    <w:next w:val="Normal"/>
    <w:link w:val="SubtitleChar"/>
    <w:uiPriority w:val="11"/>
    <w:qFormat/>
    <w:rsid w:val="00EE03DC"/>
    <w:pPr>
      <w:spacing w:before="120"/>
      <w:jc w:val="center"/>
    </w:pPr>
    <w:rPr>
      <w:rFonts w:ascii="Arial" w:hAnsi="Arial" w:cs="Arial"/>
      <w:b/>
      <w:w w:val="105"/>
      <w:sz w:val="36"/>
      <w:szCs w:val="36"/>
    </w:rPr>
  </w:style>
  <w:style w:type="character" w:customStyle="1" w:styleId="SubtitleChar">
    <w:name w:val="Subtitle Char"/>
    <w:basedOn w:val="DefaultParagraphFont"/>
    <w:link w:val="Subtitle"/>
    <w:uiPriority w:val="11"/>
    <w:rsid w:val="00EE03DC"/>
    <w:rPr>
      <w:rFonts w:ascii="Arial" w:hAnsi="Arial" w:cs="Arial"/>
      <w:b/>
      <w:w w:val="10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quality.gov.au/providers/assessment-processes/accreditation-and-re-accreditation/re-accreditation-of-residential-servic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edcarequality.gov.au/providers/assessment-processes/accreditation-and-re-accreditation/accreditation-of-commencing%20servic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edcarequality.gov.au/resources/language-glossary-aged-care-quality-and-safety-commission-rules-201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gedcarequality.gov.au/contact-us" TargetMode="External"/><Relationship Id="rId4" Type="http://schemas.openxmlformats.org/officeDocument/2006/relationships/footnotes" Target="footnotes.xml"/><Relationship Id="rId9" Type="http://schemas.openxmlformats.org/officeDocument/2006/relationships/hyperlink" Target="mailto:regulatorypolicy@agedcarequality.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2025-09-22T01:33:00Z</dcterms:created>
  <dcterms:modified xsi:type="dcterms:W3CDTF">2025-09-22T01:33:00Z</dcterms:modified>
</cp:coreProperties>
</file>