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1C2E" w14:textId="00AB19C3" w:rsidR="004A4D04" w:rsidRDefault="004A4D0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1245302" wp14:editId="6A8B64E8">
                <wp:simplePos x="0" y="0"/>
                <wp:positionH relativeFrom="column">
                  <wp:posOffset>-895350</wp:posOffset>
                </wp:positionH>
                <wp:positionV relativeFrom="paragraph">
                  <wp:posOffset>722630</wp:posOffset>
                </wp:positionV>
                <wp:extent cx="5686425" cy="1727200"/>
                <wp:effectExtent l="0" t="0" r="0" b="0"/>
                <wp:wrapSquare wrapText="bothSides"/>
                <wp:docPr id="202826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6BCFE" w14:textId="77777777" w:rsidR="004A4D04" w:rsidRDefault="004A4D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3D3CEF" w14:textId="77777777" w:rsidR="004A4D04" w:rsidRPr="001E694D" w:rsidRDefault="004A4D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8575C70" w14:textId="77777777" w:rsidR="004A4D04" w:rsidRPr="001E694D" w:rsidRDefault="004A4D04" w:rsidP="009504D0">
                            <w:pPr>
                              <w:pStyle w:val="ContactNumber"/>
                              <w:spacing w:after="600"/>
                              <w:rPr>
                                <w:rFonts w:ascii="Open Sans" w:hAnsi="Open Sans" w:cs="Open Sans"/>
                              </w:rPr>
                            </w:pPr>
                            <w:r w:rsidRPr="001E694D">
                              <w:rPr>
                                <w:rFonts w:ascii="Open Sans" w:hAnsi="Open Sans" w:cs="Open Sans"/>
                              </w:rPr>
                              <w:t>Agedcarequality.gov.au</w:t>
                            </w:r>
                          </w:p>
                          <w:p w14:paraId="5A8216B2" w14:textId="77777777" w:rsidR="004A4D04" w:rsidRDefault="004A4D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4530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76BCFE" w14:textId="77777777" w:rsidR="004A4D04" w:rsidRDefault="004A4D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3D3CEF" w14:textId="77777777" w:rsidR="004A4D04" w:rsidRPr="001E694D" w:rsidRDefault="004A4D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8575C70" w14:textId="77777777" w:rsidR="004A4D04" w:rsidRPr="001E694D" w:rsidRDefault="004A4D04" w:rsidP="009504D0">
                      <w:pPr>
                        <w:pStyle w:val="ContactNumber"/>
                        <w:spacing w:after="600"/>
                        <w:rPr>
                          <w:rFonts w:ascii="Open Sans" w:hAnsi="Open Sans" w:cs="Open Sans"/>
                        </w:rPr>
                      </w:pPr>
                      <w:r w:rsidRPr="001E694D">
                        <w:rPr>
                          <w:rFonts w:ascii="Open Sans" w:hAnsi="Open Sans" w:cs="Open Sans"/>
                        </w:rPr>
                        <w:t>Agedcarequality.gov.au</w:t>
                      </w:r>
                    </w:p>
                    <w:p w14:paraId="5A8216B2" w14:textId="77777777" w:rsidR="004A4D04" w:rsidRDefault="004A4D04"/>
                  </w:txbxContent>
                </v:textbox>
                <w10:wrap type="square"/>
              </v:shape>
            </w:pict>
          </mc:Fallback>
        </mc:AlternateContent>
      </w:r>
      <w:r>
        <w:rPr>
          <w:noProof/>
        </w:rPr>
        <w:drawing>
          <wp:anchor distT="360045" distB="180340" distL="114300" distR="114300" simplePos="0" relativeHeight="251659264" behindDoc="1" locked="0" layoutInCell="1" allowOverlap="1" wp14:anchorId="49916EE9" wp14:editId="6B58ABC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97E1BA2" w14:textId="77777777" w:rsidR="004A4D04" w:rsidRPr="001E694D" w:rsidRDefault="004A4D04" w:rsidP="001E694D">
      <w:pPr>
        <w:tabs>
          <w:tab w:val="left" w:pos="4569"/>
        </w:tabs>
        <w:rPr>
          <w:rFonts w:ascii="Open Sans" w:hAnsi="Open Sans" w:cs="Open Sans"/>
          <w:color w:val="FFFFFF" w:themeColor="background1"/>
          <w:sz w:val="66"/>
          <w:szCs w:val="66"/>
        </w:rPr>
      </w:pPr>
    </w:p>
    <w:p w14:paraId="45F6C056" w14:textId="77777777" w:rsidR="004A4D04" w:rsidRDefault="004A4D04" w:rsidP="00372ED2">
      <w:pPr>
        <w:spacing w:after="0"/>
        <w:rPr>
          <w:rFonts w:ascii="Open Sans" w:hAnsi="Open Sans" w:cs="Open Sans"/>
          <w:b/>
          <w:bCs/>
          <w:color w:val="FFFFFF" w:themeColor="background1"/>
          <w:sz w:val="66"/>
          <w:szCs w:val="66"/>
        </w:rPr>
      </w:pPr>
    </w:p>
    <w:p w14:paraId="263D7CB5" w14:textId="77777777" w:rsidR="004A4D04" w:rsidRDefault="004A4D04" w:rsidP="00372ED2">
      <w:pPr>
        <w:spacing w:after="0"/>
        <w:rPr>
          <w:rFonts w:ascii="Open Sans" w:hAnsi="Open Sans" w:cs="Open Sans"/>
          <w:b/>
          <w:bCs/>
          <w:color w:val="FFFFFF" w:themeColor="background1"/>
          <w:sz w:val="66"/>
          <w:szCs w:val="66"/>
        </w:rPr>
      </w:pPr>
    </w:p>
    <w:p w14:paraId="1FE600F3" w14:textId="77777777" w:rsidR="004A4D04" w:rsidRPr="00412FC5" w:rsidRDefault="004A4D0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61C3D" w14:paraId="19D6AB00" w14:textId="77777777" w:rsidTr="00461C3D">
        <w:tc>
          <w:tcPr>
            <w:cnfStyle w:val="001000000000" w:firstRow="0" w:lastRow="0" w:firstColumn="1" w:lastColumn="0" w:oddVBand="0" w:evenVBand="0" w:oddHBand="0" w:evenHBand="0" w:firstRowFirstColumn="0" w:firstRowLastColumn="0" w:lastRowFirstColumn="0" w:lastRowLastColumn="0"/>
            <w:tcW w:w="3227" w:type="dxa"/>
          </w:tcPr>
          <w:p w14:paraId="55BF31E8" w14:textId="77777777" w:rsidR="004A4D04" w:rsidRPr="001E694D" w:rsidRDefault="004A4D0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2EA8400" w14:textId="77777777" w:rsidR="004A4D04" w:rsidRPr="001E694D" w:rsidRDefault="004A4D0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Bethania Gardens</w:t>
            </w:r>
          </w:p>
        </w:tc>
      </w:tr>
      <w:tr w:rsidR="00461C3D" w14:paraId="66C68A83" w14:textId="77777777" w:rsidTr="00461C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6ADEEA" w14:textId="77777777" w:rsidR="004A4D04" w:rsidRPr="001E694D" w:rsidRDefault="004A4D0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F68E87" w14:textId="77777777" w:rsidR="004A4D04" w:rsidRPr="001E694D" w:rsidRDefault="004A4D0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5499</w:t>
            </w:r>
          </w:p>
        </w:tc>
      </w:tr>
      <w:tr w:rsidR="00461C3D" w14:paraId="6D0DCA6B" w14:textId="77777777" w:rsidTr="00461C3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BCA9A4" w14:textId="77777777" w:rsidR="004A4D04" w:rsidRPr="001E694D" w:rsidRDefault="004A4D0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5C4E18E" w14:textId="77777777" w:rsidR="004A4D04" w:rsidRPr="001E694D" w:rsidRDefault="004A4D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87 -</w:t>
            </w:r>
            <w:r w:rsidRPr="001E694D">
              <w:rPr>
                <w:rFonts w:ascii="Open Sans" w:eastAsia="Times New Roman" w:hAnsi="Open Sans" w:cs="Open Sans"/>
                <w:lang w:eastAsia="en-AU"/>
              </w:rPr>
              <w:t xml:space="preserve"> 91 Station Road, BETHANIA, Queensland, 4205</w:t>
            </w:r>
          </w:p>
        </w:tc>
      </w:tr>
      <w:tr w:rsidR="00461C3D" w14:paraId="4C79F576" w14:textId="77777777" w:rsidTr="00461C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1B4FCD" w14:textId="77777777" w:rsidR="004A4D04" w:rsidRPr="001E694D" w:rsidRDefault="004A4D0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3D138B9" w14:textId="77777777" w:rsidR="004A4D04" w:rsidRPr="001E694D" w:rsidRDefault="004A4D0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61C3D" w14:paraId="2983BF05" w14:textId="77777777" w:rsidTr="00461C3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CA8B0D" w14:textId="77777777" w:rsidR="004A4D04" w:rsidRPr="001E694D" w:rsidRDefault="004A4D0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E457419" w14:textId="77777777" w:rsidR="004A4D04" w:rsidRPr="001E694D" w:rsidRDefault="004A4D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July 2025 to 9 July 2025</w:t>
            </w:r>
          </w:p>
        </w:tc>
      </w:tr>
      <w:tr w:rsidR="00461C3D" w14:paraId="343511E3" w14:textId="77777777" w:rsidTr="00461C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43F7C9" w14:textId="77777777" w:rsidR="004A4D04" w:rsidRPr="001E694D" w:rsidRDefault="004A4D0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33220837"/>
            <w:placeholder>
              <w:docPart w:val="DefaultPlaceholder_-1854013437"/>
            </w:placeholder>
            <w:date w:fullDate="2025-08-11T00:00:00Z">
              <w:dateFormat w:val="d MMMM yyyy"/>
              <w:lid w:val="en-AU"/>
              <w:storeMappedDataAs w:val="dateTime"/>
              <w:calendar w:val="gregorian"/>
            </w:date>
          </w:sdtPr>
          <w:sdtEndPr/>
          <w:sdtContent>
            <w:tc>
              <w:tcPr>
                <w:tcW w:w="7114" w:type="dxa"/>
                <w:shd w:val="clear" w:color="auto" w:fill="FFFFFF" w:themeFill="background1"/>
              </w:tcPr>
              <w:p w14:paraId="5085B31C" w14:textId="7CDFED94" w:rsidR="004A4D04" w:rsidRPr="001E694D" w:rsidRDefault="009D25D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August 2025</w:t>
                </w:r>
              </w:p>
            </w:tc>
          </w:sdtContent>
        </w:sdt>
      </w:tr>
      <w:tr w:rsidR="00461C3D" w14:paraId="60C82A5A" w14:textId="77777777" w:rsidTr="00461C3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FC0DB3" w14:textId="77777777" w:rsidR="004A4D04" w:rsidRPr="001E694D" w:rsidRDefault="004A4D0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A67CDE" w14:textId="77777777" w:rsidR="004A4D04" w:rsidRPr="001E694D" w:rsidRDefault="004A4D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70113FC4" w14:textId="77777777" w:rsidR="004A4D04" w:rsidRPr="001E694D" w:rsidRDefault="004A4D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5651 Bethania Gardens</w:t>
            </w:r>
          </w:p>
        </w:tc>
      </w:tr>
    </w:tbl>
    <w:bookmarkEnd w:id="0"/>
    <w:p w14:paraId="7A0DAB1D" w14:textId="77777777" w:rsidR="004A4D04" w:rsidRPr="001E694D" w:rsidRDefault="004A4D0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96A715E" w14:textId="77777777" w:rsidR="004A4D04" w:rsidRPr="003E162B" w:rsidRDefault="004A4D0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38C0A7B" w14:textId="0CD3C705" w:rsidR="004A4D04" w:rsidRPr="001E694D" w:rsidRDefault="004A4D0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Bethania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5A5B24">
        <w:rPr>
          <w:rFonts w:ascii="Open Sans" w:hAnsi="Open Sans" w:cs="Open Sans"/>
        </w:rPr>
        <w:t>M Glenn</w:t>
      </w:r>
      <w:r w:rsidRPr="005A5B24">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E7AB061" w14:textId="77777777" w:rsidR="004A4D04" w:rsidRPr="001E694D" w:rsidRDefault="004A4D0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3CD4CB6" w14:textId="77777777" w:rsidR="004A4D04" w:rsidRPr="001E694D" w:rsidRDefault="004A4D0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604A2EE" w14:textId="77777777" w:rsidR="004A4D04" w:rsidRPr="003E162B" w:rsidRDefault="004A4D0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AEB62DF" w14:textId="77777777" w:rsidR="004A4D04" w:rsidRPr="001E694D" w:rsidRDefault="004A4D0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33CD9C2" w14:textId="1D3A7EFA" w:rsidR="004A4D04" w:rsidRPr="002635D2" w:rsidRDefault="004A4D04" w:rsidP="005A5B24">
      <w:pPr>
        <w:pStyle w:val="ListBullet"/>
        <w:spacing w:before="0" w:after="120" w:line="22" w:lineRule="atLeast"/>
        <w:ind w:left="425" w:hanging="425"/>
        <w:rPr>
          <w:rFonts w:ascii="Open Sans" w:hAnsi="Open Sans" w:cs="Open Sans"/>
          <w:color w:val="auto"/>
        </w:rPr>
      </w:pPr>
      <w:r w:rsidRPr="002635D2">
        <w:rPr>
          <w:rFonts w:ascii="Open Sans" w:hAnsi="Open Sans" w:cs="Open Sans"/>
          <w:color w:val="auto"/>
        </w:rPr>
        <w:t xml:space="preserve">the </w:t>
      </w:r>
      <w:r w:rsidR="005A5B24" w:rsidRPr="002635D2">
        <w:rPr>
          <w:rFonts w:ascii="Open Sans" w:hAnsi="Open Sans" w:cs="Open Sans"/>
          <w:color w:val="auto"/>
        </w:rPr>
        <w:t>A</w:t>
      </w:r>
      <w:r w:rsidRPr="002635D2">
        <w:rPr>
          <w:rFonts w:ascii="Open Sans" w:hAnsi="Open Sans" w:cs="Open Sans"/>
          <w:color w:val="auto"/>
        </w:rPr>
        <w:t xml:space="preserve">ssessment </w:t>
      </w:r>
      <w:r w:rsidR="005A5B24" w:rsidRPr="002635D2">
        <w:rPr>
          <w:rFonts w:ascii="Open Sans" w:hAnsi="Open Sans" w:cs="Open Sans"/>
          <w:color w:val="auto"/>
        </w:rPr>
        <w:t>T</w:t>
      </w:r>
      <w:r w:rsidRPr="002635D2">
        <w:rPr>
          <w:rFonts w:ascii="Open Sans" w:hAnsi="Open Sans" w:cs="Open Sans"/>
          <w:color w:val="auto"/>
        </w:rPr>
        <w:t xml:space="preserve">eam’s report for the </w:t>
      </w:r>
      <w:r w:rsidR="005A5B24" w:rsidRPr="002635D2">
        <w:rPr>
          <w:rFonts w:ascii="Open Sans" w:hAnsi="Open Sans" w:cs="Open Sans"/>
          <w:color w:val="auto"/>
        </w:rPr>
        <w:t>a</w:t>
      </w:r>
      <w:r w:rsidRPr="002635D2">
        <w:rPr>
          <w:rFonts w:ascii="Open Sans" w:hAnsi="Open Sans" w:cs="Open Sans"/>
          <w:color w:val="auto"/>
        </w:rPr>
        <w:t>ssessment contact (performance assessment) – site</w:t>
      </w:r>
      <w:r w:rsidR="005A5B24" w:rsidRPr="002635D2">
        <w:rPr>
          <w:rFonts w:ascii="Open Sans" w:hAnsi="Open Sans" w:cs="Open Sans"/>
          <w:color w:val="auto"/>
        </w:rPr>
        <w:t>, which</w:t>
      </w:r>
      <w:r w:rsidRPr="002635D2">
        <w:rPr>
          <w:rFonts w:ascii="Open Sans" w:hAnsi="Open Sans" w:cs="Open Sans"/>
          <w:color w:val="auto"/>
        </w:rPr>
        <w:t xml:space="preserve"> was informed by a site assessment, observations at the service, review of documents and interviews with </w:t>
      </w:r>
      <w:r w:rsidR="002E2ACA" w:rsidRPr="002635D2">
        <w:rPr>
          <w:rFonts w:ascii="Open Sans" w:hAnsi="Open Sans" w:cs="Open Sans"/>
          <w:color w:val="auto"/>
        </w:rPr>
        <w:t xml:space="preserve">consumers, </w:t>
      </w:r>
      <w:r w:rsidRPr="002635D2">
        <w:rPr>
          <w:rFonts w:ascii="Open Sans" w:hAnsi="Open Sans" w:cs="Open Sans"/>
          <w:color w:val="auto"/>
        </w:rPr>
        <w:t>representatives</w:t>
      </w:r>
      <w:r w:rsidR="002E2ACA" w:rsidRPr="002635D2">
        <w:rPr>
          <w:rFonts w:ascii="Open Sans" w:hAnsi="Open Sans" w:cs="Open Sans"/>
          <w:color w:val="auto"/>
        </w:rPr>
        <w:t xml:space="preserve">, </w:t>
      </w:r>
      <w:r w:rsidR="004F5870" w:rsidRPr="002635D2">
        <w:rPr>
          <w:rFonts w:ascii="Open Sans" w:hAnsi="Open Sans" w:cs="Open Sans"/>
          <w:color w:val="auto"/>
        </w:rPr>
        <w:t>staff and management;</w:t>
      </w:r>
    </w:p>
    <w:p w14:paraId="207AABAA" w14:textId="35A99BC9" w:rsidR="004A4D04" w:rsidRPr="008D7CA5" w:rsidRDefault="004A4D04" w:rsidP="005A5B24">
      <w:pPr>
        <w:pStyle w:val="ListBullet"/>
        <w:spacing w:before="0" w:after="120" w:line="22" w:lineRule="atLeast"/>
        <w:ind w:left="425" w:hanging="425"/>
        <w:rPr>
          <w:rFonts w:ascii="Open Sans" w:hAnsi="Open Sans" w:cs="Open Sans"/>
          <w:color w:val="auto"/>
        </w:rPr>
      </w:pPr>
      <w:r w:rsidRPr="008D7CA5">
        <w:rPr>
          <w:rFonts w:ascii="Open Sans" w:hAnsi="Open Sans" w:cs="Open Sans"/>
          <w:color w:val="auto"/>
        </w:rPr>
        <w:t xml:space="preserve">the provider’s response to the </w:t>
      </w:r>
      <w:r w:rsidR="004F5870" w:rsidRPr="008D7CA5">
        <w:rPr>
          <w:rFonts w:ascii="Open Sans" w:hAnsi="Open Sans" w:cs="Open Sans"/>
          <w:color w:val="auto"/>
        </w:rPr>
        <w:t>A</w:t>
      </w:r>
      <w:r w:rsidRPr="008D7CA5">
        <w:rPr>
          <w:rFonts w:ascii="Open Sans" w:hAnsi="Open Sans" w:cs="Open Sans"/>
          <w:color w:val="auto"/>
        </w:rPr>
        <w:t xml:space="preserve">ssessment </w:t>
      </w:r>
      <w:r w:rsidR="004F5870" w:rsidRPr="008D7CA5">
        <w:rPr>
          <w:rFonts w:ascii="Open Sans" w:hAnsi="Open Sans" w:cs="Open Sans"/>
          <w:color w:val="auto"/>
        </w:rPr>
        <w:t>T</w:t>
      </w:r>
      <w:r w:rsidRPr="008D7CA5">
        <w:rPr>
          <w:rFonts w:ascii="Open Sans" w:hAnsi="Open Sans" w:cs="Open Sans"/>
          <w:color w:val="auto"/>
        </w:rPr>
        <w:t>eam’s report received</w:t>
      </w:r>
      <w:r w:rsidR="00F44AC7">
        <w:rPr>
          <w:rFonts w:ascii="Open Sans" w:hAnsi="Open Sans" w:cs="Open Sans"/>
          <w:color w:val="auto"/>
        </w:rPr>
        <w:t xml:space="preserve"> in 2 </w:t>
      </w:r>
      <w:r w:rsidR="00D175E7">
        <w:rPr>
          <w:rFonts w:ascii="Open Sans" w:hAnsi="Open Sans" w:cs="Open Sans"/>
          <w:color w:val="auto"/>
        </w:rPr>
        <w:t xml:space="preserve">parts; </w:t>
      </w:r>
      <w:r w:rsidR="00D175E7" w:rsidRPr="008D7CA5">
        <w:rPr>
          <w:rFonts w:ascii="Open Sans" w:hAnsi="Open Sans" w:cs="Open Sans"/>
          <w:color w:val="auto"/>
        </w:rPr>
        <w:t>31</w:t>
      </w:r>
      <w:r w:rsidR="008D7CA5" w:rsidRPr="008D7CA5">
        <w:rPr>
          <w:rFonts w:ascii="Open Sans" w:hAnsi="Open Sans" w:cs="Open Sans"/>
          <w:color w:val="auto"/>
        </w:rPr>
        <w:t xml:space="preserve"> July 2025</w:t>
      </w:r>
      <w:r w:rsidR="00F44AC7">
        <w:rPr>
          <w:rFonts w:ascii="Open Sans" w:hAnsi="Open Sans" w:cs="Open Sans"/>
          <w:color w:val="auto"/>
        </w:rPr>
        <w:t xml:space="preserve"> and 1 August 2025</w:t>
      </w:r>
      <w:r w:rsidR="008D7CA5" w:rsidRPr="008D7CA5">
        <w:rPr>
          <w:rFonts w:ascii="Open Sans" w:hAnsi="Open Sans" w:cs="Open Sans"/>
          <w:color w:val="auto"/>
        </w:rPr>
        <w:t xml:space="preserve">. The response includes commentary to address aspects of the Assessment Team’s report, </w:t>
      </w:r>
      <w:r w:rsidR="009D25D6">
        <w:rPr>
          <w:rFonts w:ascii="Open Sans" w:hAnsi="Open Sans" w:cs="Open Sans"/>
          <w:color w:val="auto"/>
        </w:rPr>
        <w:t xml:space="preserve">a plan for continuous improvement activity report, and </w:t>
      </w:r>
      <w:r w:rsidR="008D7CA5" w:rsidRPr="008D7CA5">
        <w:rPr>
          <w:rFonts w:ascii="Open Sans" w:hAnsi="Open Sans" w:cs="Open Sans"/>
          <w:color w:val="auto"/>
        </w:rPr>
        <w:t xml:space="preserve">supporting documentation; and </w:t>
      </w:r>
      <w:r w:rsidRPr="008D7CA5">
        <w:rPr>
          <w:rFonts w:ascii="Open Sans" w:hAnsi="Open Sans" w:cs="Open Sans"/>
          <w:color w:val="auto"/>
        </w:rPr>
        <w:t xml:space="preserve">  </w:t>
      </w:r>
    </w:p>
    <w:p w14:paraId="1D18577A" w14:textId="47DF7FE3" w:rsidR="00B0031E" w:rsidRPr="001E694D" w:rsidRDefault="004F5870" w:rsidP="00B0031E">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B0031E">
        <w:rPr>
          <w:rFonts w:ascii="Open Sans" w:hAnsi="Open Sans" w:cs="Open Sans"/>
        </w:rPr>
        <w:t xml:space="preserve">3 April 2025 for a site audit undertake from 4 February 2025 to 7 February 2025. </w:t>
      </w:r>
    </w:p>
    <w:p w14:paraId="4836BF95" w14:textId="0A0F4D67" w:rsidR="004A4D04" w:rsidRPr="001E694D" w:rsidRDefault="004A4D04" w:rsidP="005A5B24">
      <w:pPr>
        <w:pStyle w:val="ListBullet"/>
        <w:spacing w:before="0" w:after="120" w:line="22" w:lineRule="atLeast"/>
        <w:ind w:left="425" w:hanging="425"/>
        <w:rPr>
          <w:rFonts w:ascii="Open Sans" w:hAnsi="Open Sans" w:cs="Open Sans"/>
        </w:rPr>
      </w:pPr>
      <w:r w:rsidRPr="001E694D">
        <w:rPr>
          <w:rFonts w:ascii="Open Sans" w:hAnsi="Open Sans" w:cs="Open Sans"/>
        </w:rPr>
        <w:br w:type="page"/>
      </w:r>
    </w:p>
    <w:p w14:paraId="7760972F" w14:textId="77777777" w:rsidR="004A4D04" w:rsidRPr="003E162B" w:rsidRDefault="004A4D0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44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550"/>
      </w:tblGrid>
      <w:tr w:rsidR="00461C3D" w14:paraId="293DD4A8" w14:textId="77777777" w:rsidTr="009D238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5FEAAEAF" w14:textId="77777777" w:rsidR="004A4D04" w:rsidRPr="001E694D" w:rsidRDefault="004A4D04"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2635D2">
              <w:rPr>
                <w:rFonts w:ascii="Open Sans" w:hAnsi="Open Sans" w:cs="Open Sans"/>
                <w:b w:val="0"/>
                <w:bCs/>
              </w:rPr>
              <w:t>Ongoing assessment and planning with consumers</w:t>
            </w:r>
          </w:p>
        </w:tc>
        <w:tc>
          <w:tcPr>
            <w:tcW w:w="1300" w:type="pct"/>
            <w:shd w:val="clear" w:color="auto" w:fill="auto"/>
          </w:tcPr>
          <w:p w14:paraId="493C4C09" w14:textId="2ADEDBC4" w:rsidR="004A4D04" w:rsidRPr="009D4347" w:rsidRDefault="007D7F9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0000"/>
              </w:rPr>
            </w:pPr>
            <w:sdt>
              <w:sdtPr>
                <w:rPr>
                  <w:rFonts w:ascii="Open Sans" w:hAnsi="Open Sans" w:cs="Open Sans"/>
                  <w:bCs/>
                  <w:color w:val="auto"/>
                </w:rPr>
                <w:alias w:val="Compliance Rating"/>
                <w:tag w:val="Compliance Rating"/>
                <w:id w:val="-103744132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34EBD" w:rsidRPr="00234EBD">
                  <w:rPr>
                    <w:rFonts w:ascii="Open Sans" w:hAnsi="Open Sans" w:cs="Open Sans"/>
                    <w:bCs/>
                    <w:color w:val="auto"/>
                  </w:rPr>
                  <w:t>Not Compliant</w:t>
                </w:r>
              </w:sdtContent>
            </w:sdt>
          </w:p>
        </w:tc>
      </w:tr>
      <w:tr w:rsidR="00461C3D" w14:paraId="66535626" w14:textId="77777777" w:rsidTr="009D2382">
        <w:trPr>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4413ED46" w14:textId="77777777" w:rsidR="004A4D04" w:rsidRPr="001E694D" w:rsidRDefault="004A4D0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300" w:type="pct"/>
            <w:shd w:val="clear" w:color="auto" w:fill="auto"/>
          </w:tcPr>
          <w:p w14:paraId="4B8271C4" w14:textId="2F76524B" w:rsidR="004A4D04" w:rsidRPr="009D4347" w:rsidRDefault="007D7F9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92147865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B6B6E" w:rsidRPr="00AB6B6E">
                  <w:rPr>
                    <w:rFonts w:ascii="Open Sans" w:hAnsi="Open Sans" w:cs="Open Sans"/>
                    <w:b/>
                    <w:bCs/>
                    <w:color w:val="auto"/>
                  </w:rPr>
                  <w:t>Not Compliant</w:t>
                </w:r>
              </w:sdtContent>
            </w:sdt>
          </w:p>
        </w:tc>
      </w:tr>
      <w:tr w:rsidR="00461C3D" w14:paraId="59023087" w14:textId="77777777" w:rsidTr="009D238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0B73CB04" w14:textId="77777777" w:rsidR="004A4D04" w:rsidRPr="001E694D" w:rsidRDefault="004A4D0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300" w:type="pct"/>
            <w:shd w:val="clear" w:color="auto" w:fill="auto"/>
          </w:tcPr>
          <w:p w14:paraId="74401212" w14:textId="4823CF90" w:rsidR="004A4D04" w:rsidRPr="009D4347" w:rsidRDefault="0039293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FF0000"/>
              </w:rPr>
            </w:pPr>
            <w:r w:rsidRPr="0039293F">
              <w:rPr>
                <w:rFonts w:ascii="Open Sans" w:hAnsi="Open Sans" w:cs="Open Sans"/>
                <w:b/>
                <w:bCs/>
                <w:color w:val="auto"/>
              </w:rPr>
              <w:t>Not fully assessed</w:t>
            </w:r>
          </w:p>
        </w:tc>
      </w:tr>
      <w:tr w:rsidR="00461C3D" w14:paraId="1BFD9BF6" w14:textId="77777777" w:rsidTr="009D2382">
        <w:trPr>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59E2B086" w14:textId="77777777" w:rsidR="004A4D04" w:rsidRPr="001E694D" w:rsidRDefault="004A4D0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00" w:type="pct"/>
            <w:shd w:val="clear" w:color="auto" w:fill="auto"/>
          </w:tcPr>
          <w:p w14:paraId="689AF6DE" w14:textId="78C7A001" w:rsidR="004A4D04" w:rsidRPr="009D4347" w:rsidRDefault="007D7F9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3824914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B6B6E" w:rsidRPr="00AB6B6E">
                  <w:rPr>
                    <w:rFonts w:ascii="Open Sans" w:hAnsi="Open Sans" w:cs="Open Sans"/>
                    <w:b/>
                    <w:bCs/>
                    <w:color w:val="auto"/>
                  </w:rPr>
                  <w:t>Not Compliant</w:t>
                </w:r>
              </w:sdtContent>
            </w:sdt>
          </w:p>
        </w:tc>
      </w:tr>
    </w:tbl>
    <w:p w14:paraId="6B54E2C3" w14:textId="77777777" w:rsidR="004A4D04" w:rsidRPr="001E694D" w:rsidRDefault="004A4D0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28C4E19" w14:textId="77777777" w:rsidR="004A4D04" w:rsidRPr="003E162B" w:rsidRDefault="004A4D0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025188" w14:textId="77777777" w:rsidR="004A4D04" w:rsidRDefault="004A4D04"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7E134F0" w14:textId="69D73281" w:rsidR="00234EBD" w:rsidRDefault="00234EBD" w:rsidP="0036130C">
      <w:pPr>
        <w:pStyle w:val="NormalArial"/>
        <w:rPr>
          <w:rFonts w:ascii="Open Sans" w:hAnsi="Open Sans" w:cs="Open Sans"/>
          <w:b/>
          <w:bCs/>
        </w:rPr>
      </w:pPr>
      <w:r w:rsidRPr="00234EBD">
        <w:rPr>
          <w:rFonts w:ascii="Open Sans" w:hAnsi="Open Sans" w:cs="Open Sans"/>
          <w:b/>
          <w:bCs/>
        </w:rPr>
        <w:t>Standard 2 requirement (3)(a)</w:t>
      </w:r>
    </w:p>
    <w:p w14:paraId="54E2F492" w14:textId="77777777" w:rsidR="004D1F8E" w:rsidRPr="00BC017A" w:rsidRDefault="004D1F8E" w:rsidP="004D1F8E">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53181BCD" w14:textId="77777777" w:rsidR="00862BC4" w:rsidRDefault="004D1F8E" w:rsidP="00862BC4">
      <w:pPr>
        <w:numPr>
          <w:ilvl w:val="0"/>
          <w:numId w:val="1"/>
        </w:numPr>
        <w:spacing w:line="22" w:lineRule="atLeast"/>
        <w:ind w:left="425" w:hanging="425"/>
        <w:rPr>
          <w:rFonts w:ascii="Open Sans" w:hAnsi="Open Sans" w:cs="Open Sans"/>
          <w:b/>
          <w:bCs/>
          <w:color w:val="auto"/>
        </w:rPr>
      </w:pPr>
      <w:r w:rsidRPr="00762238">
        <w:rPr>
          <w:rFonts w:ascii="Open Sans" w:hAnsi="Open Sans" w:cs="Open Sans"/>
          <w:color w:val="auto"/>
        </w:rPr>
        <w:t xml:space="preserve">assessments are undertaken to identify risks associated </w:t>
      </w:r>
      <w:r>
        <w:rPr>
          <w:rFonts w:ascii="Open Sans" w:hAnsi="Open Sans" w:cs="Open Sans"/>
          <w:color w:val="auto"/>
        </w:rPr>
        <w:t>consumers’</w:t>
      </w:r>
      <w:r w:rsidRPr="00762238">
        <w:rPr>
          <w:rFonts w:ascii="Open Sans" w:hAnsi="Open Sans" w:cs="Open Sans"/>
          <w:color w:val="auto"/>
        </w:rPr>
        <w:t xml:space="preserve"> </w:t>
      </w:r>
      <w:r w:rsidR="00862BC4">
        <w:rPr>
          <w:rFonts w:ascii="Open Sans" w:hAnsi="Open Sans" w:cs="Open Sans"/>
          <w:color w:val="auto"/>
        </w:rPr>
        <w:t xml:space="preserve">with </w:t>
      </w:r>
      <w:r w:rsidRPr="00762238">
        <w:rPr>
          <w:rFonts w:ascii="Open Sans" w:hAnsi="Open Sans" w:cs="Open Sans"/>
          <w:color w:val="auto"/>
        </w:rPr>
        <w:t xml:space="preserve">health and wellbeing, </w:t>
      </w:r>
      <w:r>
        <w:rPr>
          <w:rFonts w:ascii="Open Sans" w:hAnsi="Open Sans" w:cs="Open Sans"/>
          <w:color w:val="auto"/>
        </w:rPr>
        <w:t xml:space="preserve">and goals needs and preferences for care and services, including in relation to </w:t>
      </w:r>
      <w:r w:rsidR="00862BC4">
        <w:rPr>
          <w:rFonts w:ascii="Open Sans" w:hAnsi="Open Sans" w:cs="Open Sans"/>
          <w:color w:val="auto"/>
        </w:rPr>
        <w:t>use of and consent for restrictive practices in line with legislative requirements</w:t>
      </w:r>
      <w:r>
        <w:rPr>
          <w:rFonts w:ascii="Open Sans" w:hAnsi="Open Sans" w:cs="Open Sans"/>
          <w:color w:val="auto"/>
        </w:rPr>
        <w:t xml:space="preserve">. </w:t>
      </w:r>
    </w:p>
    <w:p w14:paraId="79F28C03" w14:textId="33655FC7" w:rsidR="00B90186" w:rsidRPr="00862BC4" w:rsidRDefault="00B90186" w:rsidP="00862BC4">
      <w:pPr>
        <w:spacing w:line="22" w:lineRule="atLeast"/>
        <w:rPr>
          <w:rFonts w:ascii="Open Sans" w:hAnsi="Open Sans" w:cs="Open Sans"/>
          <w:b/>
          <w:bCs/>
          <w:color w:val="auto"/>
        </w:rPr>
      </w:pPr>
      <w:r w:rsidRPr="00862BC4">
        <w:rPr>
          <w:rFonts w:ascii="Open Sans" w:hAnsi="Open Sans" w:cs="Open Sans"/>
          <w:b/>
          <w:bCs/>
          <w:color w:val="auto"/>
        </w:rPr>
        <w:t>Standard 3 requirement (3)(</w:t>
      </w:r>
      <w:r w:rsidR="00AB6B6E" w:rsidRPr="00862BC4">
        <w:rPr>
          <w:rFonts w:ascii="Open Sans" w:hAnsi="Open Sans" w:cs="Open Sans"/>
          <w:b/>
          <w:bCs/>
          <w:color w:val="auto"/>
        </w:rPr>
        <w:t>a</w:t>
      </w:r>
      <w:r w:rsidRPr="00862BC4">
        <w:rPr>
          <w:rFonts w:ascii="Open Sans" w:hAnsi="Open Sans" w:cs="Open Sans"/>
          <w:b/>
          <w:bCs/>
          <w:color w:val="auto"/>
        </w:rPr>
        <w:t>)</w:t>
      </w:r>
    </w:p>
    <w:p w14:paraId="4DDB6AE7" w14:textId="77777777" w:rsidR="00674220" w:rsidRPr="00AC3888" w:rsidRDefault="00674220" w:rsidP="00674220">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75A0EBE4" w14:textId="115A2B2C" w:rsidR="00674220" w:rsidRPr="00AC3888" w:rsidRDefault="00674220" w:rsidP="00674220">
      <w:pPr>
        <w:pStyle w:val="ListBullet"/>
        <w:spacing w:before="0" w:after="120" w:line="22" w:lineRule="atLeast"/>
        <w:ind w:left="425" w:hanging="425"/>
        <w:rPr>
          <w:rFonts w:ascii="Open Sans" w:hAnsi="Open Sans" w:cs="Open Sans"/>
          <w:color w:val="auto"/>
        </w:rPr>
      </w:pPr>
      <w:r>
        <w:rPr>
          <w:rFonts w:ascii="Open Sans" w:hAnsi="Open Sans" w:cs="Open Sans"/>
          <w:color w:val="auto"/>
        </w:rPr>
        <w:t>consumers are provided best practice, ta</w:t>
      </w:r>
      <w:r w:rsidR="00671285">
        <w:rPr>
          <w:rFonts w:ascii="Open Sans" w:hAnsi="Open Sans" w:cs="Open Sans"/>
          <w:color w:val="auto"/>
        </w:rPr>
        <w:t xml:space="preserve">ilored </w:t>
      </w:r>
      <w:r w:rsidRPr="00AC3888">
        <w:rPr>
          <w:rFonts w:ascii="Open Sans" w:hAnsi="Open Sans" w:cs="Open Sans"/>
          <w:color w:val="auto"/>
        </w:rPr>
        <w:t xml:space="preserve">personal and clinical care </w:t>
      </w:r>
      <w:r w:rsidR="00671285">
        <w:rPr>
          <w:rFonts w:ascii="Open Sans" w:hAnsi="Open Sans" w:cs="Open Sans"/>
          <w:color w:val="auto"/>
        </w:rPr>
        <w:t xml:space="preserve">which optimises their wellbeing and is </w:t>
      </w:r>
      <w:r w:rsidRPr="00AC3888">
        <w:rPr>
          <w:rFonts w:ascii="Open Sans" w:hAnsi="Open Sans" w:cs="Open Sans"/>
          <w:color w:val="auto"/>
        </w:rPr>
        <w:t xml:space="preserve">in line with their assessed needs and preferences, </w:t>
      </w:r>
      <w:r w:rsidR="00CA706F">
        <w:rPr>
          <w:rFonts w:ascii="Open Sans" w:hAnsi="Open Sans" w:cs="Open Sans"/>
          <w:color w:val="auto"/>
        </w:rPr>
        <w:t xml:space="preserve">as well as </w:t>
      </w:r>
      <w:r w:rsidR="00862BC4">
        <w:rPr>
          <w:rFonts w:ascii="Open Sans" w:hAnsi="Open Sans" w:cs="Open Sans"/>
          <w:color w:val="auto"/>
        </w:rPr>
        <w:t xml:space="preserve">general practitioner and allied health directives, </w:t>
      </w:r>
      <w:r>
        <w:rPr>
          <w:rFonts w:ascii="Open Sans" w:hAnsi="Open Sans" w:cs="Open Sans"/>
          <w:color w:val="auto"/>
        </w:rPr>
        <w:t>including</w:t>
      </w:r>
      <w:r w:rsidRPr="00AC3888">
        <w:rPr>
          <w:rFonts w:ascii="Open Sans" w:hAnsi="Open Sans" w:cs="Open Sans"/>
          <w:color w:val="auto"/>
        </w:rPr>
        <w:t xml:space="preserve"> in relation </w:t>
      </w:r>
      <w:r w:rsidR="00671285">
        <w:rPr>
          <w:rFonts w:ascii="Open Sans" w:hAnsi="Open Sans" w:cs="Open Sans"/>
          <w:color w:val="auto"/>
        </w:rPr>
        <w:t>pain and</w:t>
      </w:r>
      <w:r w:rsidR="00CA706F">
        <w:rPr>
          <w:rFonts w:ascii="Open Sans" w:hAnsi="Open Sans" w:cs="Open Sans"/>
          <w:color w:val="auto"/>
        </w:rPr>
        <w:t xml:space="preserve"> clinical monitoring. </w:t>
      </w:r>
      <w:r w:rsidR="00671285">
        <w:rPr>
          <w:rFonts w:ascii="Open Sans" w:hAnsi="Open Sans" w:cs="Open Sans"/>
          <w:color w:val="auto"/>
        </w:rPr>
        <w:t xml:space="preserve"> </w:t>
      </w:r>
      <w:r w:rsidRPr="00AC3888">
        <w:rPr>
          <w:rFonts w:ascii="Open Sans" w:hAnsi="Open Sans" w:cs="Open Sans"/>
          <w:color w:val="auto"/>
        </w:rPr>
        <w:t xml:space="preserve"> </w:t>
      </w:r>
    </w:p>
    <w:p w14:paraId="092FA7AB" w14:textId="77777777" w:rsidR="008A69E1" w:rsidRDefault="00B90186" w:rsidP="0036130C">
      <w:pPr>
        <w:pStyle w:val="NormalArial"/>
        <w:rPr>
          <w:rFonts w:ascii="Open Sans" w:hAnsi="Open Sans" w:cs="Open Sans"/>
          <w:b/>
          <w:bCs/>
        </w:rPr>
      </w:pPr>
      <w:r w:rsidRPr="00B90186">
        <w:rPr>
          <w:rFonts w:ascii="Open Sans" w:hAnsi="Open Sans" w:cs="Open Sans"/>
          <w:b/>
          <w:bCs/>
        </w:rPr>
        <w:t>Standard 8 requirement (3)(e)</w:t>
      </w:r>
    </w:p>
    <w:p w14:paraId="043FFC5A" w14:textId="77777777" w:rsidR="008A69E1" w:rsidRPr="000F12AB" w:rsidRDefault="008A69E1" w:rsidP="008A69E1">
      <w:pPr>
        <w:pStyle w:val="ListBullet"/>
        <w:numPr>
          <w:ilvl w:val="0"/>
          <w:numId w:val="0"/>
        </w:numPr>
        <w:spacing w:before="0" w:after="120" w:line="22" w:lineRule="atLeast"/>
        <w:rPr>
          <w:rFonts w:ascii="Open Sans" w:hAnsi="Open Sans" w:cs="Open Sans"/>
          <w:color w:val="auto"/>
        </w:rPr>
      </w:pPr>
      <w:r w:rsidRPr="000F12AB">
        <w:rPr>
          <w:rFonts w:ascii="Open Sans" w:hAnsi="Open Sans" w:cs="Open Sans"/>
          <w:color w:val="auto"/>
        </w:rPr>
        <w:t xml:space="preserve">The provider ensures: </w:t>
      </w:r>
    </w:p>
    <w:p w14:paraId="132A6152" w14:textId="381B9565" w:rsidR="004A4D04" w:rsidRPr="00B90186" w:rsidRDefault="00FC619A" w:rsidP="00FC619A">
      <w:pPr>
        <w:pStyle w:val="ListBullet"/>
        <w:spacing w:before="0" w:after="120" w:line="22" w:lineRule="atLeast"/>
        <w:ind w:left="425" w:hanging="425"/>
        <w:rPr>
          <w:rFonts w:ascii="Open Sans" w:hAnsi="Open Sans" w:cs="Open Sans"/>
          <w:b/>
          <w:bCs/>
        </w:rPr>
      </w:pPr>
      <w:r>
        <w:rPr>
          <w:rFonts w:ascii="Open Sans" w:hAnsi="Open Sans" w:cs="Open Sans"/>
          <w:color w:val="auto"/>
        </w:rPr>
        <w:t>the organisation’s</w:t>
      </w:r>
      <w:r w:rsidRPr="00617EA6">
        <w:rPr>
          <w:rFonts w:ascii="Open Sans" w:hAnsi="Open Sans" w:cs="Open Sans"/>
          <w:color w:val="auto"/>
        </w:rPr>
        <w:t xml:space="preserve"> clinical governance framework</w:t>
      </w:r>
      <w:r>
        <w:rPr>
          <w:rFonts w:ascii="Open Sans" w:hAnsi="Open Sans" w:cs="Open Sans"/>
          <w:color w:val="auto"/>
        </w:rPr>
        <w:t xml:space="preserve"> is reviewed, specifically in relation to </w:t>
      </w:r>
      <w:r w:rsidRPr="00617EA6">
        <w:rPr>
          <w:rFonts w:ascii="Open Sans" w:hAnsi="Open Sans" w:cs="Open Sans"/>
          <w:color w:val="auto"/>
        </w:rPr>
        <w:t>minimising use of restrictive practices</w:t>
      </w:r>
      <w:r w:rsidR="00EE42AA">
        <w:rPr>
          <w:rFonts w:ascii="Open Sans" w:hAnsi="Open Sans" w:cs="Open Sans"/>
          <w:color w:val="auto"/>
        </w:rPr>
        <w:t>.</w:t>
      </w:r>
      <w:r w:rsidRPr="00617EA6">
        <w:rPr>
          <w:rFonts w:ascii="Open Sans" w:hAnsi="Open Sans" w:cs="Open Sans"/>
          <w:color w:val="auto"/>
        </w:rPr>
        <w:t xml:space="preserve"> </w:t>
      </w:r>
      <w:r w:rsidR="004A4D04" w:rsidRPr="00B90186">
        <w:rPr>
          <w:rFonts w:ascii="Open Sans" w:hAnsi="Open Sans" w:cs="Open Sans"/>
          <w:b/>
          <w:bCs/>
        </w:rPr>
        <w:br w:type="page"/>
      </w:r>
    </w:p>
    <w:p w14:paraId="226E545B" w14:textId="77777777" w:rsidR="004A4D04" w:rsidRPr="001E694D" w:rsidRDefault="004A4D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461C3D" w14:paraId="7DD289D0" w14:textId="77777777" w:rsidTr="00373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7DA6E28C" w14:textId="77777777" w:rsidR="004A4D04" w:rsidRPr="001E694D" w:rsidRDefault="004A4D0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064E1D9B" w14:textId="77777777" w:rsidR="004A4D04" w:rsidRPr="001E694D" w:rsidRDefault="004A4D0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1C3D" w14:paraId="3027D7AC" w14:textId="77777777" w:rsidTr="003738DD">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10FDEDD9"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789A45EA" w14:textId="77777777" w:rsidR="004A4D04" w:rsidRPr="001E694D" w:rsidRDefault="004A4D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51792907" w14:textId="087DE48F" w:rsidR="004A4D04" w:rsidRPr="001E694D" w:rsidRDefault="007D7F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762063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D3CAF">
                  <w:rPr>
                    <w:rFonts w:ascii="Open Sans" w:hAnsi="Open Sans" w:cs="Open Sans"/>
                    <w:color w:val="auto"/>
                  </w:rPr>
                  <w:t>Not Compliant</w:t>
                </w:r>
              </w:sdtContent>
            </w:sdt>
          </w:p>
        </w:tc>
      </w:tr>
      <w:tr w:rsidR="00461C3D" w14:paraId="4C3E9DB0" w14:textId="77777777" w:rsidTr="003738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7FF090B1"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4AEBC425" w14:textId="77777777" w:rsidR="004A4D04" w:rsidRPr="001E694D" w:rsidRDefault="004A4D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51D0A45E" w14:textId="77777777" w:rsidR="004A4D04" w:rsidRPr="001E694D" w:rsidRDefault="007D7F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642444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A4D04" w:rsidRPr="001E694D">
                  <w:rPr>
                    <w:rFonts w:ascii="Open Sans" w:hAnsi="Open Sans" w:cs="Open Sans"/>
                  </w:rPr>
                  <w:t>Compliant</w:t>
                </w:r>
              </w:sdtContent>
            </w:sdt>
          </w:p>
        </w:tc>
      </w:tr>
    </w:tbl>
    <w:p w14:paraId="1934463A" w14:textId="77777777" w:rsidR="004A4D04" w:rsidRPr="003E162B" w:rsidRDefault="004A4D04" w:rsidP="00D87E7C">
      <w:pPr>
        <w:pStyle w:val="Heading20"/>
        <w:rPr>
          <w:rFonts w:ascii="Open Sans" w:hAnsi="Open Sans" w:cs="Open Sans"/>
          <w:color w:val="781E77"/>
        </w:rPr>
      </w:pPr>
      <w:r w:rsidRPr="003E162B">
        <w:rPr>
          <w:rFonts w:ascii="Open Sans" w:hAnsi="Open Sans" w:cs="Open Sans"/>
          <w:color w:val="781E77"/>
        </w:rPr>
        <w:t>Findings</w:t>
      </w:r>
    </w:p>
    <w:p w14:paraId="6772BA0C" w14:textId="47886BA1" w:rsidR="00305D0B" w:rsidRPr="00234EBD" w:rsidRDefault="00305D0B" w:rsidP="00305D0B">
      <w:pPr>
        <w:pStyle w:val="NormalArial"/>
        <w:rPr>
          <w:rFonts w:ascii="Open Sans" w:hAnsi="Open Sans" w:cs="Open Sans"/>
          <w:color w:val="auto"/>
        </w:rPr>
      </w:pPr>
      <w:r w:rsidRPr="00234EBD">
        <w:rPr>
          <w:rFonts w:ascii="Open Sans" w:hAnsi="Open Sans" w:cs="Open Sans"/>
          <w:color w:val="auto"/>
        </w:rPr>
        <w:t xml:space="preserve">The Quality Standard is non-compliant as </w:t>
      </w:r>
      <w:r w:rsidR="00234EBD" w:rsidRPr="00234EBD">
        <w:rPr>
          <w:rFonts w:ascii="Open Sans" w:hAnsi="Open Sans" w:cs="Open Sans"/>
          <w:color w:val="auto"/>
        </w:rPr>
        <w:t xml:space="preserve">one of the </w:t>
      </w:r>
      <w:r w:rsidRPr="00234EBD">
        <w:rPr>
          <w:rFonts w:ascii="Open Sans" w:hAnsi="Open Sans" w:cs="Open Sans"/>
          <w:color w:val="auto"/>
        </w:rPr>
        <w:t xml:space="preserve">2 requirements assessed </w:t>
      </w:r>
      <w:r w:rsidR="00234EBD" w:rsidRPr="00234EBD">
        <w:rPr>
          <w:rFonts w:ascii="Open Sans" w:hAnsi="Open Sans" w:cs="Open Sans"/>
          <w:color w:val="auto"/>
        </w:rPr>
        <w:t>is</w:t>
      </w:r>
      <w:r w:rsidRPr="00234EBD">
        <w:rPr>
          <w:rFonts w:ascii="Open Sans" w:hAnsi="Open Sans" w:cs="Open Sans"/>
          <w:color w:val="auto"/>
        </w:rPr>
        <w:t xml:space="preserve"> non-compliant. </w:t>
      </w:r>
    </w:p>
    <w:p w14:paraId="759079C5" w14:textId="5EBE156A" w:rsidR="00F50DFD" w:rsidRDefault="00305D0B" w:rsidP="00305D0B">
      <w:pPr>
        <w:pStyle w:val="NormalArial"/>
        <w:rPr>
          <w:rFonts w:ascii="Open Sans" w:hAnsi="Open Sans" w:cs="Open Sans"/>
        </w:rPr>
      </w:pPr>
      <w:r w:rsidRPr="00333C50">
        <w:rPr>
          <w:rFonts w:ascii="Open Sans" w:hAnsi="Open Sans" w:cs="Open Sans"/>
          <w:b/>
          <w:bCs/>
          <w:color w:val="auto"/>
        </w:rPr>
        <w:t xml:space="preserve">Requirement </w:t>
      </w:r>
      <w:r>
        <w:rPr>
          <w:rFonts w:ascii="Open Sans" w:hAnsi="Open Sans" w:cs="Open Sans"/>
          <w:b/>
          <w:bCs/>
          <w:color w:val="auto"/>
        </w:rPr>
        <w:t>2</w:t>
      </w:r>
      <w:r w:rsidRPr="00333C50">
        <w:rPr>
          <w:rFonts w:ascii="Open Sans" w:hAnsi="Open Sans" w:cs="Open Sans"/>
          <w:b/>
          <w:bCs/>
          <w:color w:val="auto"/>
        </w:rPr>
        <w:t>(3)(</w:t>
      </w:r>
      <w:r>
        <w:rPr>
          <w:rFonts w:ascii="Open Sans" w:hAnsi="Open Sans" w:cs="Open Sans"/>
          <w:b/>
          <w:bCs/>
          <w:color w:val="auto"/>
        </w:rPr>
        <w:t>a</w:t>
      </w:r>
      <w:r w:rsidRPr="00333C50">
        <w:rPr>
          <w:rFonts w:ascii="Open Sans" w:hAnsi="Open Sans" w:cs="Open Sans"/>
          <w:b/>
          <w:bCs/>
          <w:color w:val="auto"/>
        </w:rPr>
        <w:t>)</w:t>
      </w:r>
      <w:r w:rsidRPr="00797984">
        <w:rPr>
          <w:rFonts w:ascii="Open Sans" w:hAnsi="Open Sans" w:cs="Open Sans"/>
          <w:color w:val="auto"/>
        </w:rPr>
        <w:t xml:space="preserve"> was found non-compliant following </w:t>
      </w:r>
      <w:r>
        <w:rPr>
          <w:rFonts w:ascii="Open Sans" w:hAnsi="Open Sans" w:cs="Open Sans"/>
          <w:color w:val="auto"/>
        </w:rPr>
        <w:t>a site audit</w:t>
      </w:r>
      <w:r w:rsidRPr="00797984">
        <w:rPr>
          <w:rFonts w:ascii="Open Sans" w:hAnsi="Open Sans" w:cs="Open Sans"/>
          <w:color w:val="auto"/>
        </w:rPr>
        <w:t xml:space="preserve"> </w:t>
      </w:r>
      <w:r>
        <w:rPr>
          <w:rFonts w:ascii="Open Sans" w:hAnsi="Open Sans" w:cs="Open Sans"/>
          <w:color w:val="auto"/>
        </w:rPr>
        <w:t>conducted</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Pr>
          <w:rFonts w:ascii="Open Sans" w:hAnsi="Open Sans" w:cs="Open Sans"/>
        </w:rPr>
        <w:t>3 April 2025</w:t>
      </w:r>
      <w:r w:rsidR="00D175E7">
        <w:rPr>
          <w:rFonts w:ascii="Open Sans" w:hAnsi="Open Sans" w:cs="Open Sans"/>
        </w:rPr>
        <w:t xml:space="preserve">, </w:t>
      </w:r>
      <w:r w:rsidR="00377BEA">
        <w:rPr>
          <w:rFonts w:ascii="Open Sans" w:hAnsi="Open Sans" w:cs="Open Sans"/>
        </w:rPr>
        <w:t xml:space="preserve"> </w:t>
      </w:r>
      <w:r w:rsidRPr="00B80511">
        <w:rPr>
          <w:rFonts w:ascii="Open Sans" w:hAnsi="Open Sans" w:cs="Open Sans"/>
          <w:color w:val="auto"/>
        </w:rPr>
        <w:t xml:space="preserve"> finding </w:t>
      </w:r>
      <w:r>
        <w:rPr>
          <w:rFonts w:ascii="Open Sans" w:hAnsi="Open Sans" w:cs="Open Sans"/>
        </w:rPr>
        <w:t>a</w:t>
      </w:r>
      <w:r w:rsidRPr="001E694D">
        <w:rPr>
          <w:rFonts w:ascii="Open Sans" w:hAnsi="Open Sans" w:cs="Open Sans"/>
        </w:rPr>
        <w:t xml:space="preserve">ssessment and planning, including consideration of risks, </w:t>
      </w:r>
      <w:r>
        <w:rPr>
          <w:rFonts w:ascii="Open Sans" w:hAnsi="Open Sans" w:cs="Open Sans"/>
        </w:rPr>
        <w:t xml:space="preserve">did not </w:t>
      </w:r>
      <w:r w:rsidRPr="001E694D">
        <w:rPr>
          <w:rFonts w:ascii="Open Sans" w:hAnsi="Open Sans" w:cs="Open Sans"/>
        </w:rPr>
        <w:t>inform delivery of safe and effective care and services</w:t>
      </w:r>
      <w:r>
        <w:rPr>
          <w:rFonts w:ascii="Open Sans" w:hAnsi="Open Sans" w:cs="Open Sans"/>
        </w:rPr>
        <w:t xml:space="preserve">. This related specifically to medication self-administration, environmental restraint, diabetes management and chemical restrictive practices. </w:t>
      </w:r>
      <w:r w:rsidR="00F50DFD" w:rsidRPr="00F56A7C">
        <w:rPr>
          <w:rFonts w:ascii="Open Sans" w:hAnsi="Open Sans" w:cs="Open Sans"/>
        </w:rPr>
        <w:t>In response to the non-compliance, the provider implemented a range of improvement actions, including, but not limited to,</w:t>
      </w:r>
      <w:r w:rsidR="00716998" w:rsidRPr="00716998">
        <w:rPr>
          <w:rFonts w:ascii="Open Sans" w:eastAsia="Times New Roman" w:hAnsi="Open Sans" w:cs="Open Sans"/>
          <w:color w:val="000000"/>
          <w:lang w:eastAsia="en-AU"/>
        </w:rPr>
        <w:t xml:space="preserve"> </w:t>
      </w:r>
      <w:r w:rsidR="00716998" w:rsidRPr="00716998">
        <w:rPr>
          <w:rFonts w:ascii="Open Sans" w:hAnsi="Open Sans" w:cs="Open Sans"/>
        </w:rPr>
        <w:t xml:space="preserve">a clinical risk register to identify clinical risks; updating assessments relating to high impact high prevenance clinical risks weekly; and completing risk assessments, including for dignity of risk and behaviours. </w:t>
      </w:r>
    </w:p>
    <w:p w14:paraId="3758545F" w14:textId="19B5046F" w:rsidR="00305D0B" w:rsidRDefault="00305D0B" w:rsidP="00305D0B">
      <w:pPr>
        <w:pStyle w:val="NormalArial"/>
        <w:rPr>
          <w:rFonts w:ascii="Open Sans" w:hAnsi="Open Sans" w:cs="Open Sans"/>
          <w:color w:val="auto"/>
        </w:rPr>
      </w:pPr>
      <w:r w:rsidRPr="00B562D0">
        <w:rPr>
          <w:rFonts w:ascii="Open Sans" w:hAnsi="Open Sans" w:cs="Open Sans"/>
          <w:color w:val="auto"/>
        </w:rPr>
        <w:t xml:space="preserve">At the assessment contact in July 2025, the Assessment Team found </w:t>
      </w:r>
      <w:r w:rsidR="00B562D0" w:rsidRPr="00B562D0">
        <w:rPr>
          <w:rFonts w:ascii="Open Sans" w:eastAsia="Times New Roman" w:hAnsi="Open Sans" w:cs="Open Sans"/>
          <w:color w:val="auto"/>
          <w:lang w:eastAsia="en-AU"/>
        </w:rPr>
        <w:t xml:space="preserve">assessment </w:t>
      </w:r>
      <w:r w:rsidR="00B562D0" w:rsidRPr="00F8162A">
        <w:rPr>
          <w:rFonts w:ascii="Open Sans" w:eastAsia="Times New Roman" w:hAnsi="Open Sans" w:cs="Open Sans"/>
          <w:color w:val="000000"/>
          <w:lang w:eastAsia="en-AU"/>
        </w:rPr>
        <w:t>and planning</w:t>
      </w:r>
      <w:r w:rsidR="00B562D0">
        <w:rPr>
          <w:rFonts w:ascii="Open Sans" w:eastAsia="Times New Roman" w:hAnsi="Open Sans" w:cs="Open Sans"/>
          <w:color w:val="000000"/>
          <w:lang w:eastAsia="en-AU"/>
        </w:rPr>
        <w:t>, including</w:t>
      </w:r>
      <w:r w:rsidR="00B562D0" w:rsidRPr="00F8162A">
        <w:rPr>
          <w:rFonts w:ascii="Open Sans" w:eastAsia="Times New Roman" w:hAnsi="Open Sans" w:cs="Open Sans"/>
          <w:color w:val="000000"/>
          <w:lang w:eastAsia="en-AU"/>
        </w:rPr>
        <w:t xml:space="preserve"> consideration of risks </w:t>
      </w:r>
      <w:r w:rsidR="00B562D0">
        <w:rPr>
          <w:rFonts w:ascii="Open Sans" w:eastAsia="Times New Roman" w:hAnsi="Open Sans" w:cs="Open Sans"/>
          <w:color w:val="000000"/>
          <w:lang w:eastAsia="en-AU"/>
        </w:rPr>
        <w:t xml:space="preserve">did not </w:t>
      </w:r>
      <w:r w:rsidR="00B562D0" w:rsidRPr="00F8162A">
        <w:rPr>
          <w:rFonts w:ascii="Open Sans" w:eastAsia="Times New Roman" w:hAnsi="Open Sans" w:cs="Open Sans"/>
          <w:color w:val="000000"/>
          <w:lang w:eastAsia="en-AU"/>
        </w:rPr>
        <w:t>effectively inform delivery of safe and effective care and services</w:t>
      </w:r>
      <w:r w:rsidR="00B562D0">
        <w:rPr>
          <w:rFonts w:ascii="Open Sans" w:hAnsi="Open Sans" w:cs="Open Sans"/>
          <w:color w:val="auto"/>
        </w:rPr>
        <w:t xml:space="preserve"> and</w:t>
      </w:r>
      <w:r>
        <w:rPr>
          <w:rFonts w:ascii="Open Sans" w:hAnsi="Open Sans" w:cs="Open Sans"/>
          <w:color w:val="auto"/>
        </w:rPr>
        <w:t xml:space="preserve"> recommended requirement </w:t>
      </w:r>
      <w:r w:rsidR="00CF23AC">
        <w:rPr>
          <w:rFonts w:ascii="Open Sans" w:hAnsi="Open Sans" w:cs="Open Sans"/>
          <w:color w:val="auto"/>
        </w:rPr>
        <w:t>2</w:t>
      </w:r>
      <w:r>
        <w:rPr>
          <w:rFonts w:ascii="Open Sans" w:hAnsi="Open Sans" w:cs="Open Sans"/>
          <w:color w:val="auto"/>
        </w:rPr>
        <w:t>(3)(</w:t>
      </w:r>
      <w:r w:rsidR="00CF23AC">
        <w:rPr>
          <w:rFonts w:ascii="Open Sans" w:hAnsi="Open Sans" w:cs="Open Sans"/>
          <w:color w:val="auto"/>
        </w:rPr>
        <w:t>a</w:t>
      </w:r>
      <w:r>
        <w:rPr>
          <w:rFonts w:ascii="Open Sans" w:hAnsi="Open Sans" w:cs="Open Sans"/>
          <w:color w:val="auto"/>
        </w:rPr>
        <w:t>) not met</w:t>
      </w:r>
      <w:r w:rsidR="00B562D0">
        <w:rPr>
          <w:rFonts w:ascii="Open Sans" w:hAnsi="Open Sans" w:cs="Open Sans"/>
          <w:color w:val="auto"/>
        </w:rPr>
        <w:t>. The Assessment Team</w:t>
      </w:r>
      <w:r>
        <w:rPr>
          <w:rFonts w:ascii="Open Sans" w:hAnsi="Open Sans" w:cs="Open Sans"/>
          <w:color w:val="auto"/>
        </w:rPr>
        <w:t xml:space="preserve"> provided the following information gathered through </w:t>
      </w:r>
      <w:r w:rsidRPr="005710F3">
        <w:rPr>
          <w:rFonts w:ascii="Open Sans" w:hAnsi="Open Sans" w:cs="Open Sans"/>
          <w:color w:val="auto"/>
        </w:rPr>
        <w:t>interviews</w:t>
      </w:r>
      <w:r w:rsidRPr="00CF23AC">
        <w:rPr>
          <w:rFonts w:ascii="Open Sans" w:hAnsi="Open Sans" w:cs="Open Sans"/>
          <w:color w:val="FF0000"/>
        </w:rPr>
        <w:t xml:space="preserve"> </w:t>
      </w:r>
      <w:r w:rsidRPr="005710F3">
        <w:rPr>
          <w:rFonts w:ascii="Open Sans" w:hAnsi="Open Sans" w:cs="Open Sans"/>
          <w:color w:val="auto"/>
        </w:rPr>
        <w:t>and document review.</w:t>
      </w:r>
      <w:r>
        <w:rPr>
          <w:rFonts w:ascii="Open Sans" w:hAnsi="Open Sans" w:cs="Open Sans"/>
          <w:color w:val="auto"/>
        </w:rPr>
        <w:t xml:space="preserve"> </w:t>
      </w:r>
    </w:p>
    <w:p w14:paraId="0072F723" w14:textId="6BE12AF2" w:rsidR="00C86DF1" w:rsidRDefault="00F8162A" w:rsidP="00C86DF1">
      <w:pPr>
        <w:pStyle w:val="NormalArial"/>
        <w:rPr>
          <w:rFonts w:ascii="Open Sans" w:hAnsi="Open Sans" w:cs="Open Sans"/>
          <w:color w:val="auto"/>
        </w:rPr>
      </w:pPr>
      <w:r w:rsidRPr="00F9324C">
        <w:rPr>
          <w:rFonts w:ascii="Open Sans" w:hAnsi="Open Sans" w:cs="Open Sans"/>
          <w:color w:val="auto"/>
        </w:rPr>
        <w:t xml:space="preserve">Strategies to </w:t>
      </w:r>
      <w:r w:rsidR="00F9324C" w:rsidRPr="00F9324C">
        <w:rPr>
          <w:rFonts w:ascii="Open Sans" w:hAnsi="Open Sans" w:cs="Open Sans"/>
          <w:color w:val="auto"/>
        </w:rPr>
        <w:t>manage</w:t>
      </w:r>
      <w:r w:rsidRPr="00F9324C">
        <w:rPr>
          <w:rFonts w:ascii="Open Sans" w:hAnsi="Open Sans" w:cs="Open Sans"/>
          <w:color w:val="auto"/>
        </w:rPr>
        <w:t xml:space="preserve"> behaviours </w:t>
      </w:r>
      <w:r w:rsidR="00C34487">
        <w:rPr>
          <w:rFonts w:ascii="Open Sans" w:hAnsi="Open Sans" w:cs="Open Sans"/>
          <w:color w:val="auto"/>
        </w:rPr>
        <w:t xml:space="preserve">documented in </w:t>
      </w:r>
      <w:r w:rsidR="00CF23AC">
        <w:rPr>
          <w:rFonts w:ascii="Open Sans" w:hAnsi="Open Sans" w:cs="Open Sans"/>
          <w:color w:val="auto"/>
        </w:rPr>
        <w:t>behaviour support plans (BSP)</w:t>
      </w:r>
      <w:r w:rsidR="003355B4">
        <w:rPr>
          <w:rFonts w:ascii="Open Sans" w:hAnsi="Open Sans" w:cs="Open Sans"/>
          <w:color w:val="auto"/>
        </w:rPr>
        <w:t xml:space="preserve"> </w:t>
      </w:r>
      <w:r w:rsidR="000A702B">
        <w:rPr>
          <w:rFonts w:ascii="Open Sans" w:hAnsi="Open Sans" w:cs="Open Sans"/>
          <w:color w:val="auto"/>
        </w:rPr>
        <w:t>a</w:t>
      </w:r>
      <w:r w:rsidRPr="00F9324C">
        <w:rPr>
          <w:rFonts w:ascii="Open Sans" w:hAnsi="Open Sans" w:cs="Open Sans"/>
          <w:color w:val="auto"/>
        </w:rPr>
        <w:t>re generic</w:t>
      </w:r>
      <w:r w:rsidR="006D377B">
        <w:rPr>
          <w:rFonts w:ascii="Open Sans" w:hAnsi="Open Sans" w:cs="Open Sans"/>
          <w:color w:val="auto"/>
        </w:rPr>
        <w:t>,</w:t>
      </w:r>
      <w:r w:rsidRPr="00F9324C">
        <w:rPr>
          <w:rFonts w:ascii="Open Sans" w:hAnsi="Open Sans" w:cs="Open Sans"/>
          <w:color w:val="auto"/>
        </w:rPr>
        <w:t xml:space="preserve"> lack individualised information</w:t>
      </w:r>
      <w:r w:rsidR="006D377B">
        <w:rPr>
          <w:rFonts w:ascii="Open Sans" w:hAnsi="Open Sans" w:cs="Open Sans"/>
          <w:color w:val="auto"/>
        </w:rPr>
        <w:t>, and BSPs d</w:t>
      </w:r>
      <w:r w:rsidR="008D7AEA">
        <w:rPr>
          <w:rFonts w:ascii="Open Sans" w:hAnsi="Open Sans" w:cs="Open Sans"/>
          <w:color w:val="auto"/>
        </w:rPr>
        <w:t>o</w:t>
      </w:r>
      <w:r w:rsidR="006D377B">
        <w:rPr>
          <w:rFonts w:ascii="Open Sans" w:hAnsi="Open Sans" w:cs="Open Sans"/>
          <w:color w:val="auto"/>
        </w:rPr>
        <w:t xml:space="preserve"> not include l</w:t>
      </w:r>
      <w:r w:rsidRPr="00F9324C">
        <w:rPr>
          <w:rFonts w:ascii="Open Sans" w:hAnsi="Open Sans" w:cs="Open Sans"/>
          <w:color w:val="auto"/>
        </w:rPr>
        <w:t xml:space="preserve">ife stories to support development of personalised </w:t>
      </w:r>
      <w:r w:rsidR="003355B4">
        <w:rPr>
          <w:rFonts w:ascii="Open Sans" w:hAnsi="Open Sans" w:cs="Open Sans"/>
          <w:color w:val="auto"/>
        </w:rPr>
        <w:t>strategies</w:t>
      </w:r>
      <w:r w:rsidRPr="00F9324C">
        <w:rPr>
          <w:rFonts w:ascii="Open Sans" w:hAnsi="Open Sans" w:cs="Open Sans"/>
          <w:color w:val="auto"/>
        </w:rPr>
        <w:t xml:space="preserve">. </w:t>
      </w:r>
      <w:r w:rsidR="00F9324C">
        <w:rPr>
          <w:rFonts w:ascii="Open Sans" w:hAnsi="Open Sans" w:cs="Open Sans"/>
          <w:color w:val="auto"/>
        </w:rPr>
        <w:t>A BSP for a consumer subject to environmental restraint did</w:t>
      </w:r>
      <w:r w:rsidR="00F9324C" w:rsidRPr="00F9324C">
        <w:rPr>
          <w:rFonts w:ascii="Open Sans" w:hAnsi="Open Sans" w:cs="Open Sans"/>
          <w:color w:val="auto"/>
        </w:rPr>
        <w:t xml:space="preserve"> not include individualised</w:t>
      </w:r>
      <w:r w:rsidR="003355B4">
        <w:rPr>
          <w:rFonts w:ascii="Open Sans" w:hAnsi="Open Sans" w:cs="Open Sans"/>
          <w:color w:val="auto"/>
        </w:rPr>
        <w:t>,</w:t>
      </w:r>
      <w:r w:rsidR="00F9324C" w:rsidRPr="00F9324C">
        <w:rPr>
          <w:rFonts w:ascii="Open Sans" w:hAnsi="Open Sans" w:cs="Open Sans"/>
          <w:color w:val="auto"/>
        </w:rPr>
        <w:t xml:space="preserve"> person-centred strategies</w:t>
      </w:r>
      <w:r w:rsidR="00F9324C">
        <w:rPr>
          <w:rFonts w:ascii="Open Sans" w:hAnsi="Open Sans" w:cs="Open Sans"/>
          <w:color w:val="auto"/>
        </w:rPr>
        <w:t>, and s</w:t>
      </w:r>
      <w:r w:rsidR="00F9324C" w:rsidRPr="00F9324C">
        <w:rPr>
          <w:rFonts w:ascii="Open Sans" w:hAnsi="Open Sans" w:cs="Open Sans"/>
          <w:color w:val="auto"/>
        </w:rPr>
        <w:t xml:space="preserve">taff </w:t>
      </w:r>
      <w:r w:rsidR="00F9324C">
        <w:rPr>
          <w:rFonts w:ascii="Open Sans" w:hAnsi="Open Sans" w:cs="Open Sans"/>
          <w:color w:val="auto"/>
        </w:rPr>
        <w:t>could not</w:t>
      </w:r>
      <w:r w:rsidR="00F9324C" w:rsidRPr="00F9324C">
        <w:rPr>
          <w:rFonts w:ascii="Open Sans" w:hAnsi="Open Sans" w:cs="Open Sans"/>
          <w:color w:val="auto"/>
        </w:rPr>
        <w:t xml:space="preserve"> describe what was important to the consumer </w:t>
      </w:r>
      <w:r w:rsidR="003355B4">
        <w:rPr>
          <w:rFonts w:ascii="Open Sans" w:hAnsi="Open Sans" w:cs="Open Sans"/>
          <w:color w:val="auto"/>
        </w:rPr>
        <w:t xml:space="preserve">or </w:t>
      </w:r>
      <w:r w:rsidR="00F9324C" w:rsidRPr="00F9324C">
        <w:rPr>
          <w:rFonts w:ascii="Open Sans" w:hAnsi="Open Sans" w:cs="Open Sans"/>
          <w:color w:val="auto"/>
        </w:rPr>
        <w:t>strategies to minimise behaviours when they escalate.</w:t>
      </w:r>
      <w:r w:rsidR="00AE7CF9">
        <w:rPr>
          <w:rFonts w:ascii="Open Sans" w:hAnsi="Open Sans" w:cs="Open Sans"/>
          <w:color w:val="auto"/>
        </w:rPr>
        <w:t xml:space="preserve"> </w:t>
      </w:r>
      <w:r w:rsidR="00AF503E">
        <w:rPr>
          <w:rFonts w:ascii="Open Sans" w:hAnsi="Open Sans" w:cs="Open Sans"/>
          <w:color w:val="auto"/>
        </w:rPr>
        <w:t xml:space="preserve">In coming to my finding, I have also considered evidence highlighted in requirement 3(3)(a). </w:t>
      </w:r>
      <w:r w:rsidR="00C86DF1">
        <w:rPr>
          <w:rFonts w:ascii="Open Sans" w:hAnsi="Open Sans" w:cs="Open Sans"/>
          <w:color w:val="auto"/>
        </w:rPr>
        <w:t xml:space="preserve">Specifically, </w:t>
      </w:r>
      <w:r w:rsidR="00C86DF1" w:rsidRPr="00A57E81">
        <w:rPr>
          <w:rFonts w:ascii="Open Sans" w:hAnsi="Open Sans" w:cs="Open Sans"/>
          <w:color w:val="auto"/>
        </w:rPr>
        <w:t xml:space="preserve">BSPs for 2 </w:t>
      </w:r>
      <w:r w:rsidR="00D175E7" w:rsidRPr="00A57E81">
        <w:rPr>
          <w:rFonts w:ascii="Open Sans" w:hAnsi="Open Sans" w:cs="Open Sans"/>
          <w:color w:val="auto"/>
        </w:rPr>
        <w:t>consumers</w:t>
      </w:r>
      <w:r w:rsidR="00C86DF1" w:rsidRPr="00A57E81">
        <w:rPr>
          <w:rFonts w:ascii="Open Sans" w:hAnsi="Open Sans" w:cs="Open Sans"/>
          <w:color w:val="auto"/>
        </w:rPr>
        <w:t xml:space="preserve"> d</w:t>
      </w:r>
      <w:r w:rsidR="00C86DF1">
        <w:rPr>
          <w:rFonts w:ascii="Open Sans" w:hAnsi="Open Sans" w:cs="Open Sans"/>
          <w:color w:val="auto"/>
        </w:rPr>
        <w:t>id</w:t>
      </w:r>
      <w:r w:rsidR="00C86DF1" w:rsidRPr="00A57E81">
        <w:rPr>
          <w:rFonts w:ascii="Open Sans" w:hAnsi="Open Sans" w:cs="Open Sans"/>
          <w:color w:val="auto"/>
        </w:rPr>
        <w:t xml:space="preserve"> not include individual preferences, likes</w:t>
      </w:r>
      <w:r w:rsidR="002B6EB3">
        <w:rPr>
          <w:rFonts w:ascii="Open Sans" w:hAnsi="Open Sans" w:cs="Open Sans"/>
          <w:color w:val="auto"/>
        </w:rPr>
        <w:t>,</w:t>
      </w:r>
      <w:r w:rsidR="00C86DF1" w:rsidRPr="00A57E81">
        <w:rPr>
          <w:rFonts w:ascii="Open Sans" w:hAnsi="Open Sans" w:cs="Open Sans"/>
          <w:color w:val="auto"/>
        </w:rPr>
        <w:t xml:space="preserve"> interests, activities or music that could be used to support management of behaviours</w:t>
      </w:r>
      <w:r w:rsidR="00C86DF1">
        <w:rPr>
          <w:rFonts w:ascii="Open Sans" w:hAnsi="Open Sans" w:cs="Open Sans"/>
          <w:color w:val="auto"/>
        </w:rPr>
        <w:t xml:space="preserve">, which was </w:t>
      </w:r>
      <w:r w:rsidR="00C86DF1" w:rsidRPr="00A57E81">
        <w:rPr>
          <w:rFonts w:ascii="Open Sans" w:hAnsi="Open Sans" w:cs="Open Sans"/>
          <w:color w:val="auto"/>
        </w:rPr>
        <w:t xml:space="preserve">consistent with other BSPs sampled. While one staff member </w:t>
      </w:r>
      <w:r w:rsidR="00C86DF1" w:rsidRPr="00A57E81">
        <w:rPr>
          <w:rFonts w:ascii="Open Sans" w:hAnsi="Open Sans" w:cs="Open Sans"/>
          <w:color w:val="auto"/>
        </w:rPr>
        <w:lastRenderedPageBreak/>
        <w:t xml:space="preserve">described specific information regarding consumer preferences, likes and dislikes, other staff could not, </w:t>
      </w:r>
      <w:r w:rsidR="002B6EB3">
        <w:rPr>
          <w:rFonts w:ascii="Open Sans" w:hAnsi="Open Sans" w:cs="Open Sans"/>
          <w:color w:val="auto"/>
        </w:rPr>
        <w:t>including</w:t>
      </w:r>
      <w:r w:rsidR="00C86DF1" w:rsidRPr="00A57E81">
        <w:rPr>
          <w:rFonts w:ascii="Open Sans" w:hAnsi="Open Sans" w:cs="Open Sans"/>
          <w:color w:val="auto"/>
        </w:rPr>
        <w:t xml:space="preserve"> strategies they would implement for consumers experiencing changed behaviours.</w:t>
      </w:r>
    </w:p>
    <w:p w14:paraId="1FFBEF88" w14:textId="220F38BF" w:rsidR="00501352" w:rsidRPr="00263467" w:rsidRDefault="009375C4" w:rsidP="00501352">
      <w:pPr>
        <w:rPr>
          <w:rFonts w:ascii="Open Sans" w:hAnsi="Open Sans" w:cs="Open Sans"/>
          <w:color w:val="auto"/>
        </w:rPr>
      </w:pPr>
      <w:r>
        <w:rPr>
          <w:rFonts w:ascii="Open Sans" w:hAnsi="Open Sans" w:cs="Open Sans"/>
          <w:color w:val="auto"/>
        </w:rPr>
        <w:t>Care files</w:t>
      </w:r>
      <w:r w:rsidR="00501352" w:rsidRPr="00263467">
        <w:rPr>
          <w:rFonts w:ascii="Open Sans" w:hAnsi="Open Sans" w:cs="Open Sans"/>
          <w:color w:val="auto"/>
        </w:rPr>
        <w:t xml:space="preserve"> for </w:t>
      </w:r>
      <w:r w:rsidR="00501352">
        <w:rPr>
          <w:rFonts w:ascii="Open Sans" w:hAnsi="Open Sans" w:cs="Open Sans"/>
          <w:color w:val="auto"/>
        </w:rPr>
        <w:t>6 consumer</w:t>
      </w:r>
      <w:r w:rsidR="00CF2DEF">
        <w:rPr>
          <w:rFonts w:ascii="Open Sans" w:hAnsi="Open Sans" w:cs="Open Sans"/>
          <w:color w:val="auto"/>
        </w:rPr>
        <w:t>s</w:t>
      </w:r>
      <w:r w:rsidR="00501352" w:rsidRPr="00263467">
        <w:rPr>
          <w:rFonts w:ascii="Open Sans" w:hAnsi="Open Sans" w:cs="Open Sans"/>
          <w:color w:val="auto"/>
        </w:rPr>
        <w:t xml:space="preserve"> </w:t>
      </w:r>
      <w:r w:rsidR="0027668C">
        <w:rPr>
          <w:rFonts w:ascii="Open Sans" w:hAnsi="Open Sans" w:cs="Open Sans"/>
          <w:color w:val="auto"/>
        </w:rPr>
        <w:t>showed</w:t>
      </w:r>
      <w:r w:rsidR="00501352" w:rsidRPr="00263467">
        <w:rPr>
          <w:rFonts w:ascii="Open Sans" w:hAnsi="Open Sans" w:cs="Open Sans"/>
          <w:color w:val="auto"/>
        </w:rPr>
        <w:t xml:space="preserve"> </w:t>
      </w:r>
      <w:r w:rsidR="000104CC">
        <w:rPr>
          <w:rFonts w:ascii="Open Sans" w:hAnsi="Open Sans" w:cs="Open Sans"/>
          <w:color w:val="auto"/>
        </w:rPr>
        <w:t xml:space="preserve">that </w:t>
      </w:r>
      <w:r w:rsidR="00501352">
        <w:rPr>
          <w:rFonts w:ascii="Open Sans" w:hAnsi="Open Sans" w:cs="Open Sans"/>
          <w:color w:val="auto"/>
        </w:rPr>
        <w:t>a</w:t>
      </w:r>
      <w:r w:rsidR="00501352" w:rsidRPr="00263467">
        <w:rPr>
          <w:rFonts w:ascii="Open Sans" w:hAnsi="Open Sans" w:cs="Open Sans"/>
          <w:color w:val="auto"/>
        </w:rPr>
        <w:t>s restrictive practice(s) are implemented in addition to a current standing restrictive practice, the same consent signatures for the previous implemented restrictive practice</w:t>
      </w:r>
      <w:r w:rsidR="00501352">
        <w:rPr>
          <w:rFonts w:ascii="Open Sans" w:hAnsi="Open Sans" w:cs="Open Sans"/>
          <w:color w:val="auto"/>
        </w:rPr>
        <w:t xml:space="preserve"> </w:t>
      </w:r>
      <w:r w:rsidR="00DE084F">
        <w:rPr>
          <w:rFonts w:ascii="Open Sans" w:hAnsi="Open Sans" w:cs="Open Sans"/>
          <w:color w:val="auto"/>
        </w:rPr>
        <w:t>are</w:t>
      </w:r>
      <w:r w:rsidR="00501352">
        <w:rPr>
          <w:rFonts w:ascii="Open Sans" w:hAnsi="Open Sans" w:cs="Open Sans"/>
          <w:color w:val="auto"/>
        </w:rPr>
        <w:t xml:space="preserve"> being used</w:t>
      </w:r>
      <w:r w:rsidR="00501352" w:rsidRPr="00263467">
        <w:rPr>
          <w:rFonts w:ascii="Open Sans" w:hAnsi="Open Sans" w:cs="Open Sans"/>
          <w:color w:val="auto"/>
        </w:rPr>
        <w:t xml:space="preserve">. </w:t>
      </w:r>
      <w:r w:rsidR="008D24B1">
        <w:rPr>
          <w:rFonts w:ascii="Open Sans" w:hAnsi="Open Sans" w:cs="Open Sans"/>
          <w:color w:val="auto"/>
        </w:rPr>
        <w:t>Documentation included</w:t>
      </w:r>
      <w:r w:rsidR="008D24B1" w:rsidRPr="00263467">
        <w:rPr>
          <w:rFonts w:ascii="Open Sans" w:hAnsi="Open Sans" w:cs="Open Sans"/>
          <w:color w:val="auto"/>
        </w:rPr>
        <w:t xml:space="preserve"> further addition</w:t>
      </w:r>
      <w:r w:rsidR="008D24B1">
        <w:rPr>
          <w:rFonts w:ascii="Open Sans" w:hAnsi="Open Sans" w:cs="Open Sans"/>
          <w:color w:val="auto"/>
        </w:rPr>
        <w:t>s</w:t>
      </w:r>
      <w:r w:rsidR="008D24B1" w:rsidRPr="00263467">
        <w:rPr>
          <w:rFonts w:ascii="Open Sans" w:hAnsi="Open Sans" w:cs="Open Sans"/>
          <w:color w:val="auto"/>
        </w:rPr>
        <w:t xml:space="preserve"> </w:t>
      </w:r>
      <w:r w:rsidR="00AE28D8">
        <w:rPr>
          <w:rFonts w:ascii="Open Sans" w:hAnsi="Open Sans" w:cs="Open Sans"/>
          <w:color w:val="auto"/>
        </w:rPr>
        <w:t xml:space="preserve">in </w:t>
      </w:r>
      <w:r w:rsidR="008D24B1" w:rsidRPr="00263467">
        <w:rPr>
          <w:rFonts w:ascii="Open Sans" w:hAnsi="Open Sans" w:cs="Open Sans"/>
          <w:color w:val="auto"/>
        </w:rPr>
        <w:t>different handwriting to the document of a medication that would be considered a chemical restraint, with no date, name or designation</w:t>
      </w:r>
      <w:r w:rsidR="001E5F5C">
        <w:rPr>
          <w:rFonts w:ascii="Open Sans" w:hAnsi="Open Sans" w:cs="Open Sans"/>
          <w:color w:val="auto"/>
        </w:rPr>
        <w:t xml:space="preserve"> recorded</w:t>
      </w:r>
      <w:r w:rsidR="008D24B1" w:rsidRPr="00263467">
        <w:rPr>
          <w:rFonts w:ascii="Open Sans" w:hAnsi="Open Sans" w:cs="Open Sans"/>
          <w:color w:val="auto"/>
        </w:rPr>
        <w:t>.</w:t>
      </w:r>
      <w:r w:rsidR="008D24B1">
        <w:rPr>
          <w:rFonts w:ascii="Open Sans" w:hAnsi="Open Sans" w:cs="Open Sans"/>
          <w:color w:val="auto"/>
        </w:rPr>
        <w:t xml:space="preserve"> </w:t>
      </w:r>
      <w:r w:rsidR="00501352" w:rsidRPr="00EC0A80">
        <w:rPr>
          <w:rFonts w:ascii="Open Sans" w:hAnsi="Open Sans" w:cs="Open Sans"/>
          <w:color w:val="auto"/>
        </w:rPr>
        <w:t xml:space="preserve">Informed discussions relating to </w:t>
      </w:r>
      <w:r w:rsidR="00501352">
        <w:rPr>
          <w:rFonts w:ascii="Open Sans" w:hAnsi="Open Sans" w:cs="Open Sans"/>
          <w:color w:val="auto"/>
        </w:rPr>
        <w:t xml:space="preserve">use of the </w:t>
      </w:r>
      <w:r w:rsidR="00501352" w:rsidRPr="00EC0A80">
        <w:rPr>
          <w:rFonts w:ascii="Open Sans" w:hAnsi="Open Sans" w:cs="Open Sans"/>
          <w:color w:val="auto"/>
        </w:rPr>
        <w:t xml:space="preserve">restrictive practice </w:t>
      </w:r>
      <w:r w:rsidR="00A03273">
        <w:rPr>
          <w:rFonts w:ascii="Open Sans" w:hAnsi="Open Sans" w:cs="Open Sans"/>
          <w:color w:val="auto"/>
        </w:rPr>
        <w:t>is</w:t>
      </w:r>
      <w:r w:rsidR="00501352" w:rsidRPr="00EC0A80">
        <w:rPr>
          <w:rFonts w:ascii="Open Sans" w:hAnsi="Open Sans" w:cs="Open Sans"/>
          <w:color w:val="auto"/>
        </w:rPr>
        <w:t xml:space="preserve"> not evidenced </w:t>
      </w:r>
      <w:r w:rsidR="001C54B3">
        <w:rPr>
          <w:rFonts w:ascii="Open Sans" w:hAnsi="Open Sans" w:cs="Open Sans"/>
          <w:color w:val="auto"/>
        </w:rPr>
        <w:t>and n</w:t>
      </w:r>
      <w:r w:rsidR="001C54B3" w:rsidRPr="00D8029C">
        <w:rPr>
          <w:rFonts w:ascii="Open Sans" w:hAnsi="Open Sans" w:cs="Open Sans"/>
          <w:color w:val="auto"/>
        </w:rPr>
        <w:t xml:space="preserve">one of the documentation </w:t>
      </w:r>
      <w:r w:rsidR="00CA540C">
        <w:rPr>
          <w:rFonts w:ascii="Open Sans" w:hAnsi="Open Sans" w:cs="Open Sans"/>
          <w:color w:val="auto"/>
        </w:rPr>
        <w:t>i</w:t>
      </w:r>
      <w:r w:rsidR="001C54B3" w:rsidRPr="00D8029C">
        <w:rPr>
          <w:rFonts w:ascii="Open Sans" w:hAnsi="Open Sans" w:cs="Open Sans"/>
          <w:color w:val="auto"/>
        </w:rPr>
        <w:t>s signed by the decision make</w:t>
      </w:r>
      <w:r w:rsidR="002528D5">
        <w:rPr>
          <w:rFonts w:ascii="Open Sans" w:hAnsi="Open Sans" w:cs="Open Sans"/>
          <w:color w:val="auto"/>
        </w:rPr>
        <w:t>r</w:t>
      </w:r>
      <w:r w:rsidR="001C54B3" w:rsidRPr="00D8029C">
        <w:rPr>
          <w:rFonts w:ascii="Open Sans" w:hAnsi="Open Sans" w:cs="Open Sans"/>
          <w:color w:val="auto"/>
        </w:rPr>
        <w:t xml:space="preserve">, with a reference back to progress notes for verbal consent. </w:t>
      </w:r>
      <w:r w:rsidR="0027668C">
        <w:rPr>
          <w:rFonts w:ascii="Open Sans" w:hAnsi="Open Sans" w:cs="Open Sans"/>
          <w:color w:val="auto"/>
        </w:rPr>
        <w:t>P</w:t>
      </w:r>
      <w:r w:rsidR="001C54B3">
        <w:rPr>
          <w:rFonts w:ascii="Open Sans" w:hAnsi="Open Sans" w:cs="Open Sans"/>
          <w:color w:val="auto"/>
        </w:rPr>
        <w:t>rogress notes</w:t>
      </w:r>
      <w:r w:rsidR="0027668C">
        <w:rPr>
          <w:rFonts w:ascii="Open Sans" w:hAnsi="Open Sans" w:cs="Open Sans"/>
          <w:color w:val="auto"/>
        </w:rPr>
        <w:t xml:space="preserve"> reviewed</w:t>
      </w:r>
      <w:r w:rsidR="001C54B3">
        <w:rPr>
          <w:rFonts w:ascii="Open Sans" w:hAnsi="Open Sans" w:cs="Open Sans"/>
          <w:color w:val="auto"/>
        </w:rPr>
        <w:t xml:space="preserve"> d</w:t>
      </w:r>
      <w:r w:rsidR="00CA540C">
        <w:rPr>
          <w:rFonts w:ascii="Open Sans" w:hAnsi="Open Sans" w:cs="Open Sans"/>
          <w:color w:val="auto"/>
        </w:rPr>
        <w:t>o</w:t>
      </w:r>
      <w:r w:rsidR="001C54B3">
        <w:rPr>
          <w:rFonts w:ascii="Open Sans" w:hAnsi="Open Sans" w:cs="Open Sans"/>
          <w:color w:val="auto"/>
        </w:rPr>
        <w:t xml:space="preserve"> not confirm this </w:t>
      </w:r>
      <w:r w:rsidR="001C54B3" w:rsidRPr="00D8029C">
        <w:rPr>
          <w:rFonts w:ascii="Open Sans" w:hAnsi="Open Sans" w:cs="Open Sans"/>
          <w:color w:val="auto"/>
        </w:rPr>
        <w:t>consent</w:t>
      </w:r>
      <w:r w:rsidR="0027668C">
        <w:rPr>
          <w:rFonts w:ascii="Open Sans" w:hAnsi="Open Sans" w:cs="Open Sans"/>
          <w:color w:val="auto"/>
        </w:rPr>
        <w:t>, and while r</w:t>
      </w:r>
      <w:r w:rsidR="001C54B3" w:rsidRPr="00263467">
        <w:rPr>
          <w:rFonts w:ascii="Open Sans" w:hAnsi="Open Sans" w:cs="Open Sans"/>
          <w:color w:val="auto"/>
        </w:rPr>
        <w:t xml:space="preserve">epresentatives </w:t>
      </w:r>
      <w:r w:rsidR="001C54B3">
        <w:rPr>
          <w:rFonts w:ascii="Open Sans" w:hAnsi="Open Sans" w:cs="Open Sans"/>
          <w:color w:val="auto"/>
        </w:rPr>
        <w:t>interviewed</w:t>
      </w:r>
      <w:r w:rsidR="001C54B3" w:rsidRPr="00263467">
        <w:rPr>
          <w:rFonts w:ascii="Open Sans" w:hAnsi="Open Sans" w:cs="Open Sans"/>
          <w:color w:val="auto"/>
        </w:rPr>
        <w:t xml:space="preserve"> acknowledge they ha</w:t>
      </w:r>
      <w:r w:rsidR="00CA540C">
        <w:rPr>
          <w:rFonts w:ascii="Open Sans" w:hAnsi="Open Sans" w:cs="Open Sans"/>
          <w:color w:val="auto"/>
        </w:rPr>
        <w:t>ve</w:t>
      </w:r>
      <w:r w:rsidR="001C54B3" w:rsidRPr="00263467">
        <w:rPr>
          <w:rFonts w:ascii="Open Sans" w:hAnsi="Open Sans" w:cs="Open Sans"/>
          <w:color w:val="auto"/>
        </w:rPr>
        <w:t xml:space="preserve"> signed some forms </w:t>
      </w:r>
      <w:r w:rsidR="0027668C">
        <w:rPr>
          <w:rFonts w:ascii="Open Sans" w:hAnsi="Open Sans" w:cs="Open Sans"/>
          <w:color w:val="auto"/>
        </w:rPr>
        <w:t xml:space="preserve">they </w:t>
      </w:r>
      <w:r w:rsidR="00CA540C">
        <w:rPr>
          <w:rFonts w:ascii="Open Sans" w:hAnsi="Open Sans" w:cs="Open Sans"/>
          <w:color w:val="auto"/>
        </w:rPr>
        <w:t>a</w:t>
      </w:r>
      <w:r w:rsidR="001C54B3" w:rsidRPr="00263467">
        <w:rPr>
          <w:rFonts w:ascii="Open Sans" w:hAnsi="Open Sans" w:cs="Open Sans"/>
          <w:color w:val="auto"/>
        </w:rPr>
        <w:t xml:space="preserve">re not sure what they </w:t>
      </w:r>
      <w:r w:rsidR="00CA540C">
        <w:rPr>
          <w:rFonts w:ascii="Open Sans" w:hAnsi="Open Sans" w:cs="Open Sans"/>
          <w:color w:val="auto"/>
        </w:rPr>
        <w:t>a</w:t>
      </w:r>
      <w:r w:rsidR="001C54B3" w:rsidRPr="00263467">
        <w:rPr>
          <w:rFonts w:ascii="Open Sans" w:hAnsi="Open Sans" w:cs="Open Sans"/>
          <w:color w:val="auto"/>
        </w:rPr>
        <w:t>re for.</w:t>
      </w:r>
      <w:r w:rsidR="001C54B3">
        <w:rPr>
          <w:rFonts w:ascii="Open Sans" w:hAnsi="Open Sans" w:cs="Open Sans"/>
          <w:color w:val="auto"/>
        </w:rPr>
        <w:t xml:space="preserve"> </w:t>
      </w:r>
    </w:p>
    <w:p w14:paraId="717831B8" w14:textId="27B21757" w:rsidR="00BF0C6C" w:rsidRPr="006603FC" w:rsidRDefault="009D25D6" w:rsidP="00ED3CAF">
      <w:pPr>
        <w:pStyle w:val="NormalArial"/>
        <w:rPr>
          <w:rFonts w:ascii="Open Sans" w:hAnsi="Open Sans" w:cs="Open Sans"/>
          <w:color w:val="auto"/>
        </w:rPr>
      </w:pPr>
      <w:r>
        <w:rPr>
          <w:rFonts w:ascii="Open Sans" w:hAnsi="Open Sans" w:cs="Open Sans"/>
          <w:color w:val="auto"/>
        </w:rPr>
        <w:t>In their response, t</w:t>
      </w:r>
      <w:r w:rsidR="00ED3CAF" w:rsidRPr="006603FC">
        <w:rPr>
          <w:rFonts w:ascii="Open Sans" w:hAnsi="Open Sans" w:cs="Open Sans"/>
          <w:color w:val="auto"/>
        </w:rPr>
        <w:t>he provider acknowledges the findings and in response has undertaken a comprehensive review of BSPs. BSPs for the 3 highlighted consumers, included in the provider’s response, have been reviewed and updated to include individualised, person-centred information to guide staff in the management of behaviours. Other actions implemented include collecting life stories and behavioural insights, including through engagement of families and integrating these into BSPs; auditing current BSPs to identify gaps in personalisation and relevance; and prioritising consumers with complex behaviours or recent related incidents for immediate review. Staff have recently attended a training session encompassing restrictive practices, psychotropic medication management, and care needs and assessment</w:t>
      </w:r>
      <w:r w:rsidR="00A71ED8" w:rsidRPr="006603FC">
        <w:rPr>
          <w:rFonts w:ascii="Open Sans" w:hAnsi="Open Sans" w:cs="Open Sans"/>
          <w:color w:val="auto"/>
        </w:rPr>
        <w:t>; and a</w:t>
      </w:r>
      <w:r w:rsidR="00ED3CAF" w:rsidRPr="006603FC">
        <w:rPr>
          <w:rFonts w:ascii="Open Sans" w:hAnsi="Open Sans" w:cs="Open Sans"/>
          <w:color w:val="auto"/>
        </w:rPr>
        <w:t xml:space="preserve">ll clinical staff attended an education session provided by the Commission’s behaviour support and restrictive practice division. </w:t>
      </w:r>
    </w:p>
    <w:p w14:paraId="3348AAC0" w14:textId="2758538D" w:rsidR="00377BEA" w:rsidRPr="006603FC" w:rsidRDefault="00666379" w:rsidP="00ED3CAF">
      <w:pPr>
        <w:pStyle w:val="NormalArial"/>
        <w:rPr>
          <w:rFonts w:ascii="Open Sans" w:hAnsi="Open Sans" w:cs="Open Sans"/>
          <w:color w:val="auto"/>
        </w:rPr>
      </w:pPr>
      <w:r w:rsidRPr="006603FC">
        <w:rPr>
          <w:rFonts w:ascii="Open Sans" w:hAnsi="Open Sans" w:cs="Open Sans"/>
          <w:color w:val="auto"/>
        </w:rPr>
        <w:t>The provider acknowledges deficits relating to</w:t>
      </w:r>
      <w:r w:rsidR="00DE0FA8" w:rsidRPr="006603FC">
        <w:rPr>
          <w:rFonts w:ascii="Open Sans" w:hAnsi="Open Sans" w:cs="Open Sans"/>
          <w:color w:val="auto"/>
        </w:rPr>
        <w:t xml:space="preserve"> restrictive practice consent processes, </w:t>
      </w:r>
      <w:r w:rsidRPr="006603FC">
        <w:rPr>
          <w:rFonts w:ascii="Open Sans" w:hAnsi="Open Sans" w:cs="Open Sans"/>
          <w:color w:val="auto"/>
        </w:rPr>
        <w:t xml:space="preserve">and the need for these to be further strengthened. </w:t>
      </w:r>
      <w:r w:rsidR="00ED7AD1" w:rsidRPr="006603FC">
        <w:rPr>
          <w:rFonts w:ascii="Open Sans" w:hAnsi="Open Sans" w:cs="Open Sans"/>
          <w:color w:val="auto"/>
        </w:rPr>
        <w:t>H</w:t>
      </w:r>
      <w:r w:rsidRPr="006603FC">
        <w:rPr>
          <w:rFonts w:ascii="Open Sans" w:hAnsi="Open Sans" w:cs="Open Sans"/>
          <w:color w:val="auto"/>
        </w:rPr>
        <w:t xml:space="preserve">andwritten </w:t>
      </w:r>
      <w:r w:rsidR="00ED7AD1" w:rsidRPr="006603FC">
        <w:rPr>
          <w:rFonts w:ascii="Open Sans" w:hAnsi="Open Sans" w:cs="Open Sans"/>
          <w:color w:val="auto"/>
        </w:rPr>
        <w:t>restrictive practice documentation is being transitioned to the electronic care system with expected completion by August 2025.</w:t>
      </w:r>
      <w:r w:rsidR="00402171" w:rsidRPr="006603FC">
        <w:rPr>
          <w:rFonts w:ascii="Open Sans" w:hAnsi="Open Sans" w:cs="Open Sans"/>
          <w:color w:val="auto"/>
        </w:rPr>
        <w:t xml:space="preserve"> </w:t>
      </w:r>
      <w:bookmarkStart w:id="1" w:name="_Hlk205446449"/>
      <w:r w:rsidR="00402171" w:rsidRPr="006603FC">
        <w:rPr>
          <w:rFonts w:ascii="Open Sans" w:hAnsi="Open Sans" w:cs="Open Sans"/>
          <w:color w:val="auto"/>
        </w:rPr>
        <w:t>The plan for continuous improvement</w:t>
      </w:r>
      <w:r w:rsidR="00104B37">
        <w:rPr>
          <w:rFonts w:ascii="Open Sans" w:hAnsi="Open Sans" w:cs="Open Sans"/>
          <w:color w:val="auto"/>
        </w:rPr>
        <w:t xml:space="preserve"> (PCI)</w:t>
      </w:r>
      <w:r w:rsidR="00402171" w:rsidRPr="006603FC">
        <w:rPr>
          <w:rFonts w:ascii="Open Sans" w:hAnsi="Open Sans" w:cs="Open Sans"/>
          <w:color w:val="auto"/>
        </w:rPr>
        <w:t xml:space="preserve"> includes further actions </w:t>
      </w:r>
      <w:r w:rsidR="00AA0062" w:rsidRPr="006603FC">
        <w:rPr>
          <w:rFonts w:ascii="Open Sans" w:hAnsi="Open Sans" w:cs="Open Sans"/>
          <w:color w:val="auto"/>
        </w:rPr>
        <w:t xml:space="preserve">taken and planned, including reviewing all restrictive practices relating to use of bedrails and undertaking discussions with the consumer or </w:t>
      </w:r>
      <w:r w:rsidR="0034210F" w:rsidRPr="006603FC">
        <w:rPr>
          <w:rFonts w:ascii="Open Sans" w:hAnsi="Open Sans" w:cs="Open Sans"/>
          <w:color w:val="auto"/>
        </w:rPr>
        <w:t xml:space="preserve">the </w:t>
      </w:r>
      <w:r w:rsidR="00AA0062" w:rsidRPr="006603FC">
        <w:rPr>
          <w:rFonts w:ascii="Open Sans" w:hAnsi="Open Sans" w:cs="Open Sans"/>
          <w:color w:val="auto"/>
        </w:rPr>
        <w:t>substitute decision ma</w:t>
      </w:r>
      <w:r w:rsidR="0066735A" w:rsidRPr="006603FC">
        <w:rPr>
          <w:rFonts w:ascii="Open Sans" w:hAnsi="Open Sans" w:cs="Open Sans"/>
          <w:color w:val="auto"/>
        </w:rPr>
        <w:t xml:space="preserve">ker regarding minimising use of bedrails and addressing risks associated with restraint. </w:t>
      </w:r>
      <w:r w:rsidR="00ED7AD1" w:rsidRPr="006603FC">
        <w:rPr>
          <w:rFonts w:ascii="Open Sans" w:hAnsi="Open Sans" w:cs="Open Sans"/>
          <w:color w:val="auto"/>
        </w:rPr>
        <w:t xml:space="preserve"> </w:t>
      </w:r>
    </w:p>
    <w:bookmarkEnd w:id="1"/>
    <w:p w14:paraId="6596F918" w14:textId="28BE771B" w:rsidR="00377BEA" w:rsidRDefault="00A71ED8" w:rsidP="00305D0B">
      <w:pPr>
        <w:pStyle w:val="NormalArial"/>
        <w:rPr>
          <w:rFonts w:ascii="Open Sans" w:hAnsi="Open Sans" w:cs="Open Sans"/>
          <w:color w:val="auto"/>
        </w:rPr>
      </w:pPr>
      <w:r>
        <w:rPr>
          <w:rFonts w:ascii="Open Sans" w:hAnsi="Open Sans" w:cs="Open Sans"/>
          <w:color w:val="auto"/>
        </w:rPr>
        <w:t xml:space="preserve">I acknowledge the provider’s response. However, I find </w:t>
      </w:r>
      <w:r w:rsidR="006A1E5E">
        <w:rPr>
          <w:rFonts w:ascii="Open Sans" w:hAnsi="Open Sans" w:cs="Open Sans"/>
          <w:color w:val="auto"/>
        </w:rPr>
        <w:t xml:space="preserve">assessment and planning, specifically </w:t>
      </w:r>
      <w:r w:rsidR="000A4B7A">
        <w:rPr>
          <w:rFonts w:ascii="Open Sans" w:hAnsi="Open Sans" w:cs="Open Sans"/>
          <w:color w:val="auto"/>
        </w:rPr>
        <w:t xml:space="preserve">for </w:t>
      </w:r>
      <w:bookmarkStart w:id="2" w:name="_Hlk205469678"/>
      <w:r w:rsidR="000A4B7A">
        <w:rPr>
          <w:rFonts w:ascii="Open Sans" w:hAnsi="Open Sans" w:cs="Open Sans"/>
          <w:color w:val="auto"/>
        </w:rPr>
        <w:t>use of and consent for restrictive practices has not been undertaken in line with legislative requirements</w:t>
      </w:r>
      <w:bookmarkEnd w:id="2"/>
      <w:r w:rsidR="000A4B7A">
        <w:rPr>
          <w:rFonts w:ascii="Open Sans" w:hAnsi="Open Sans" w:cs="Open Sans"/>
          <w:color w:val="auto"/>
        </w:rPr>
        <w:t xml:space="preserve">. </w:t>
      </w:r>
      <w:r w:rsidR="00B1306A">
        <w:rPr>
          <w:rFonts w:ascii="Open Sans" w:hAnsi="Open Sans" w:cs="Open Sans"/>
          <w:color w:val="auto"/>
        </w:rPr>
        <w:t xml:space="preserve">Consent documentation </w:t>
      </w:r>
      <w:r w:rsidR="00DD1E51">
        <w:rPr>
          <w:rFonts w:ascii="Open Sans" w:hAnsi="Open Sans" w:cs="Open Sans"/>
          <w:color w:val="auto"/>
        </w:rPr>
        <w:t>sampled</w:t>
      </w:r>
      <w:r w:rsidR="00B1306A">
        <w:rPr>
          <w:rFonts w:ascii="Open Sans" w:hAnsi="Open Sans" w:cs="Open Sans"/>
          <w:color w:val="auto"/>
        </w:rPr>
        <w:t xml:space="preserve"> </w:t>
      </w:r>
      <w:r w:rsidR="00B14B48">
        <w:rPr>
          <w:rFonts w:ascii="Open Sans" w:hAnsi="Open Sans" w:cs="Open Sans"/>
          <w:color w:val="auto"/>
        </w:rPr>
        <w:t>included</w:t>
      </w:r>
      <w:r w:rsidR="005B5529">
        <w:rPr>
          <w:rFonts w:ascii="Open Sans" w:hAnsi="Open Sans" w:cs="Open Sans"/>
          <w:color w:val="auto"/>
        </w:rPr>
        <w:t xml:space="preserve"> multiple </w:t>
      </w:r>
      <w:r w:rsidR="000D35C8">
        <w:rPr>
          <w:rFonts w:ascii="Open Sans" w:hAnsi="Open Sans" w:cs="Open Sans"/>
          <w:color w:val="auto"/>
        </w:rPr>
        <w:t xml:space="preserve">forms of </w:t>
      </w:r>
      <w:r w:rsidR="005B5529">
        <w:rPr>
          <w:rFonts w:ascii="Open Sans" w:hAnsi="Open Sans" w:cs="Open Sans"/>
          <w:color w:val="auto"/>
        </w:rPr>
        <w:t>restrictive practices</w:t>
      </w:r>
      <w:r w:rsidR="00EA50BC">
        <w:rPr>
          <w:rFonts w:ascii="Open Sans" w:hAnsi="Open Sans" w:cs="Open Sans"/>
          <w:color w:val="auto"/>
        </w:rPr>
        <w:t xml:space="preserve"> documented on the same consent form</w:t>
      </w:r>
      <w:r w:rsidR="00D963BB">
        <w:rPr>
          <w:rFonts w:ascii="Open Sans" w:hAnsi="Open Sans" w:cs="Open Sans"/>
          <w:color w:val="auto"/>
        </w:rPr>
        <w:t>, and there was</w:t>
      </w:r>
      <w:r w:rsidR="00F136F5">
        <w:rPr>
          <w:rFonts w:ascii="Open Sans" w:hAnsi="Open Sans" w:cs="Open Sans"/>
          <w:color w:val="auto"/>
        </w:rPr>
        <w:t xml:space="preserve"> no evidence of i</w:t>
      </w:r>
      <w:r w:rsidR="00C82F48">
        <w:rPr>
          <w:rFonts w:ascii="Open Sans" w:hAnsi="Open Sans" w:cs="Open Sans"/>
          <w:color w:val="auto"/>
        </w:rPr>
        <w:t xml:space="preserve">nformed discussions relating to </w:t>
      </w:r>
      <w:r w:rsidR="0074488B">
        <w:rPr>
          <w:rFonts w:ascii="Open Sans" w:hAnsi="Open Sans" w:cs="Open Sans"/>
          <w:color w:val="auto"/>
        </w:rPr>
        <w:t>use of the restrictive practice</w:t>
      </w:r>
      <w:r w:rsidR="00CD3B78">
        <w:rPr>
          <w:rFonts w:ascii="Open Sans" w:hAnsi="Open Sans" w:cs="Open Sans"/>
          <w:color w:val="auto"/>
        </w:rPr>
        <w:t xml:space="preserve">. </w:t>
      </w:r>
      <w:r w:rsidR="00D963BB">
        <w:rPr>
          <w:rFonts w:ascii="Open Sans" w:hAnsi="Open Sans" w:cs="Open Sans"/>
          <w:color w:val="auto"/>
        </w:rPr>
        <w:t xml:space="preserve">This was supported by </w:t>
      </w:r>
      <w:r w:rsidR="00C9007F">
        <w:rPr>
          <w:rFonts w:ascii="Open Sans" w:hAnsi="Open Sans" w:cs="Open Sans"/>
          <w:color w:val="auto"/>
        </w:rPr>
        <w:t xml:space="preserve">representatives </w:t>
      </w:r>
      <w:r w:rsidR="00C9007F">
        <w:rPr>
          <w:rFonts w:ascii="Open Sans" w:hAnsi="Open Sans" w:cs="Open Sans"/>
          <w:color w:val="auto"/>
        </w:rPr>
        <w:lastRenderedPageBreak/>
        <w:t xml:space="preserve">interviewed who indicated while they had signed some forms they did not know what </w:t>
      </w:r>
      <w:r w:rsidR="00C9007F" w:rsidRPr="00A5726D">
        <w:rPr>
          <w:rFonts w:ascii="Open Sans" w:hAnsi="Open Sans" w:cs="Open Sans"/>
          <w:color w:val="auto"/>
        </w:rPr>
        <w:t xml:space="preserve">they were for. </w:t>
      </w:r>
      <w:r w:rsidR="00A24F83" w:rsidRPr="00A5726D">
        <w:rPr>
          <w:rFonts w:ascii="Open Sans" w:hAnsi="Open Sans" w:cs="Open Sans"/>
          <w:color w:val="auto"/>
        </w:rPr>
        <w:t>While I acknowledge the provider’s planned actions to address</w:t>
      </w:r>
      <w:r w:rsidR="00C17ECD" w:rsidRPr="00A5726D">
        <w:rPr>
          <w:rFonts w:ascii="Open Sans" w:hAnsi="Open Sans" w:cs="Open Sans"/>
          <w:color w:val="auto"/>
        </w:rPr>
        <w:t xml:space="preserve"> consent processes, </w:t>
      </w:r>
      <w:r w:rsidR="00B50D58" w:rsidRPr="00A5726D">
        <w:rPr>
          <w:rFonts w:ascii="Open Sans" w:hAnsi="Open Sans" w:cs="Open Sans"/>
          <w:color w:val="auto"/>
        </w:rPr>
        <w:t xml:space="preserve">this is limited to transitioning from paper-based documents to </w:t>
      </w:r>
      <w:r w:rsidR="00B34EBE" w:rsidRPr="00A5726D">
        <w:rPr>
          <w:rFonts w:ascii="Open Sans" w:hAnsi="Open Sans" w:cs="Open Sans"/>
          <w:color w:val="auto"/>
        </w:rPr>
        <w:t xml:space="preserve">the electronic care system. The provider should consider implementing actions to </w:t>
      </w:r>
      <w:r w:rsidR="00EF3369" w:rsidRPr="00A5726D">
        <w:rPr>
          <w:rFonts w:ascii="Open Sans" w:hAnsi="Open Sans" w:cs="Open Sans"/>
          <w:color w:val="auto"/>
        </w:rPr>
        <w:t xml:space="preserve">review restrictive practice consent and documentation </w:t>
      </w:r>
      <w:r w:rsidR="00B46E1C">
        <w:rPr>
          <w:rFonts w:ascii="Open Sans" w:hAnsi="Open Sans" w:cs="Open Sans"/>
          <w:color w:val="auto"/>
        </w:rPr>
        <w:t>processes and requirements</w:t>
      </w:r>
      <w:r w:rsidR="00EF3369" w:rsidRPr="00A5726D">
        <w:rPr>
          <w:rFonts w:ascii="Open Sans" w:hAnsi="Open Sans" w:cs="Open Sans"/>
          <w:color w:val="auto"/>
        </w:rPr>
        <w:t xml:space="preserve"> more broadly. </w:t>
      </w:r>
      <w:r w:rsidR="00363D5E" w:rsidRPr="00A5726D">
        <w:rPr>
          <w:rFonts w:ascii="Open Sans" w:hAnsi="Open Sans" w:cs="Open Sans"/>
          <w:color w:val="auto"/>
        </w:rPr>
        <w:t xml:space="preserve"> </w:t>
      </w:r>
      <w:r w:rsidR="00A24F83" w:rsidRPr="00A5726D">
        <w:rPr>
          <w:rFonts w:ascii="Open Sans" w:hAnsi="Open Sans" w:cs="Open Sans"/>
          <w:color w:val="auto"/>
        </w:rPr>
        <w:t xml:space="preserve"> </w:t>
      </w:r>
    </w:p>
    <w:p w14:paraId="66C9EC8B" w14:textId="7C230AD8" w:rsidR="00377BEA" w:rsidRDefault="00D85497" w:rsidP="00305D0B">
      <w:pPr>
        <w:pStyle w:val="NormalArial"/>
        <w:rPr>
          <w:rFonts w:ascii="Open Sans" w:hAnsi="Open Sans" w:cs="Open Sans"/>
          <w:color w:val="auto"/>
        </w:rPr>
      </w:pPr>
      <w:r>
        <w:rPr>
          <w:rFonts w:ascii="Open Sans" w:hAnsi="Open Sans" w:cs="Open Sans"/>
          <w:color w:val="auto"/>
        </w:rPr>
        <w:t>For the reasons detailed above, I find requirement 2(3)(a) no</w:t>
      </w:r>
      <w:r w:rsidR="00F62820">
        <w:rPr>
          <w:rFonts w:ascii="Open Sans" w:hAnsi="Open Sans" w:cs="Open Sans"/>
          <w:color w:val="auto"/>
        </w:rPr>
        <w:t>n</w:t>
      </w:r>
      <w:r>
        <w:rPr>
          <w:rFonts w:ascii="Open Sans" w:hAnsi="Open Sans" w:cs="Open Sans"/>
          <w:color w:val="auto"/>
        </w:rPr>
        <w:t xml:space="preserve">-compliant. </w:t>
      </w:r>
    </w:p>
    <w:p w14:paraId="51052041" w14:textId="37E569AF" w:rsidR="005B44C6" w:rsidRPr="005B44C6" w:rsidRDefault="00305D0B" w:rsidP="005B44C6">
      <w:pPr>
        <w:pStyle w:val="NormalArial"/>
        <w:rPr>
          <w:rFonts w:ascii="Open Sans" w:hAnsi="Open Sans" w:cs="Open Sans"/>
          <w:color w:val="auto"/>
        </w:rPr>
      </w:pPr>
      <w:r w:rsidRPr="005B44C6">
        <w:rPr>
          <w:rFonts w:ascii="Open Sans" w:hAnsi="Open Sans" w:cs="Open Sans"/>
          <w:b/>
          <w:bCs/>
          <w:color w:val="auto"/>
        </w:rPr>
        <w:t xml:space="preserve">Requirement </w:t>
      </w:r>
      <w:r w:rsidR="00921ACC" w:rsidRPr="005B44C6">
        <w:rPr>
          <w:rFonts w:ascii="Open Sans" w:hAnsi="Open Sans" w:cs="Open Sans"/>
          <w:b/>
          <w:bCs/>
          <w:color w:val="auto"/>
        </w:rPr>
        <w:t>2</w:t>
      </w:r>
      <w:r w:rsidRPr="005B44C6">
        <w:rPr>
          <w:rFonts w:ascii="Open Sans" w:hAnsi="Open Sans" w:cs="Open Sans"/>
          <w:b/>
          <w:bCs/>
          <w:color w:val="auto"/>
        </w:rPr>
        <w:t>(3)(</w:t>
      </w:r>
      <w:r w:rsidR="00921ACC" w:rsidRPr="005B44C6">
        <w:rPr>
          <w:rFonts w:ascii="Open Sans" w:hAnsi="Open Sans" w:cs="Open Sans"/>
          <w:b/>
          <w:bCs/>
          <w:color w:val="auto"/>
        </w:rPr>
        <w:t>e</w:t>
      </w:r>
      <w:r w:rsidRPr="005B44C6">
        <w:rPr>
          <w:rFonts w:ascii="Open Sans" w:hAnsi="Open Sans" w:cs="Open Sans"/>
          <w:b/>
          <w:bCs/>
          <w:color w:val="auto"/>
        </w:rPr>
        <w:t>)</w:t>
      </w:r>
      <w:r w:rsidRPr="005B44C6">
        <w:rPr>
          <w:rFonts w:ascii="Open Sans" w:hAnsi="Open Sans" w:cs="Open Sans"/>
          <w:color w:val="auto"/>
        </w:rPr>
        <w:t xml:space="preserve"> </w:t>
      </w:r>
      <w:r w:rsidRPr="00797984">
        <w:rPr>
          <w:rFonts w:ascii="Open Sans" w:hAnsi="Open Sans" w:cs="Open Sans"/>
          <w:color w:val="auto"/>
        </w:rPr>
        <w:t xml:space="preserve">was found non-compliant following </w:t>
      </w:r>
      <w:r>
        <w:rPr>
          <w:rFonts w:ascii="Open Sans" w:hAnsi="Open Sans" w:cs="Open Sans"/>
          <w:color w:val="auto"/>
        </w:rPr>
        <w:t>a site audit</w:t>
      </w:r>
      <w:r w:rsidRPr="00797984">
        <w:rPr>
          <w:rFonts w:ascii="Open Sans" w:hAnsi="Open Sans" w:cs="Open Sans"/>
          <w:color w:val="auto"/>
        </w:rPr>
        <w:t xml:space="preserve"> </w:t>
      </w:r>
      <w:r>
        <w:rPr>
          <w:rFonts w:ascii="Open Sans" w:hAnsi="Open Sans" w:cs="Open Sans"/>
          <w:color w:val="auto"/>
        </w:rPr>
        <w:t>conducted</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sidRPr="005B44C6">
        <w:rPr>
          <w:rFonts w:ascii="Open Sans" w:hAnsi="Open Sans" w:cs="Open Sans"/>
          <w:color w:val="auto"/>
        </w:rPr>
        <w:t>3 April 2025</w:t>
      </w:r>
      <w:r w:rsidR="00D175E7">
        <w:rPr>
          <w:rFonts w:ascii="Open Sans" w:hAnsi="Open Sans" w:cs="Open Sans"/>
          <w:color w:val="auto"/>
        </w:rPr>
        <w:t xml:space="preserve">, </w:t>
      </w:r>
      <w:r w:rsidR="00377BEA" w:rsidRPr="005B44C6">
        <w:rPr>
          <w:rFonts w:ascii="Open Sans" w:hAnsi="Open Sans" w:cs="Open Sans"/>
          <w:color w:val="auto"/>
        </w:rPr>
        <w:t xml:space="preserve"> </w:t>
      </w:r>
      <w:r w:rsidRPr="00B80511">
        <w:rPr>
          <w:rFonts w:ascii="Open Sans" w:hAnsi="Open Sans" w:cs="Open Sans"/>
          <w:color w:val="auto"/>
        </w:rPr>
        <w:t xml:space="preserve"> finding </w:t>
      </w:r>
      <w:r w:rsidR="00921ACC" w:rsidRPr="005B44C6">
        <w:rPr>
          <w:rFonts w:ascii="Open Sans" w:hAnsi="Open Sans" w:cs="Open Sans"/>
          <w:color w:val="auto"/>
        </w:rPr>
        <w:t>care and services were not reviewed regularly for effectiveness, and when circumstances changed or when incidents impacted on consumers’ needs, goals or preferences</w:t>
      </w:r>
      <w:r w:rsidRPr="00797984">
        <w:rPr>
          <w:rFonts w:ascii="Open Sans" w:hAnsi="Open Sans" w:cs="Open Sans"/>
          <w:color w:val="auto"/>
        </w:rPr>
        <w:t xml:space="preserve">. </w:t>
      </w:r>
      <w:r w:rsidR="00A44244" w:rsidRPr="005B44C6">
        <w:rPr>
          <w:rFonts w:ascii="Open Sans" w:hAnsi="Open Sans" w:cs="Open Sans"/>
          <w:color w:val="auto"/>
        </w:rPr>
        <w:t>In response to the non-compliance, the provider implemented</w:t>
      </w:r>
      <w:r w:rsidR="005B44C6">
        <w:rPr>
          <w:rFonts w:ascii="Open Sans" w:hAnsi="Open Sans" w:cs="Open Sans"/>
          <w:color w:val="auto"/>
        </w:rPr>
        <w:t xml:space="preserve"> or is in the process of implementing </w:t>
      </w:r>
      <w:r w:rsidR="00A44244" w:rsidRPr="005B44C6">
        <w:rPr>
          <w:rFonts w:ascii="Open Sans" w:hAnsi="Open Sans" w:cs="Open Sans"/>
          <w:color w:val="auto"/>
        </w:rPr>
        <w:t xml:space="preserve">improvement actions, including </w:t>
      </w:r>
      <w:r w:rsidR="005B44C6">
        <w:rPr>
          <w:rFonts w:ascii="Open Sans" w:hAnsi="Open Sans" w:cs="Open Sans"/>
          <w:color w:val="auto"/>
        </w:rPr>
        <w:t>t</w:t>
      </w:r>
      <w:r w:rsidR="005B44C6" w:rsidRPr="005B44C6">
        <w:rPr>
          <w:rFonts w:ascii="Open Sans" w:hAnsi="Open Sans" w:cs="Open Sans"/>
          <w:color w:val="auto"/>
        </w:rPr>
        <w:t>oolbox training to staff on pre and post hospital transfers, behaviour support and restrictive practices</w:t>
      </w:r>
      <w:r w:rsidR="00D175E7">
        <w:rPr>
          <w:rFonts w:ascii="Open Sans" w:hAnsi="Open Sans" w:cs="Open Sans"/>
          <w:color w:val="auto"/>
        </w:rPr>
        <w:t xml:space="preserve">, </w:t>
      </w:r>
      <w:r w:rsidR="005B44C6" w:rsidRPr="005B44C6">
        <w:rPr>
          <w:rFonts w:ascii="Open Sans" w:hAnsi="Open Sans" w:cs="Open Sans"/>
          <w:color w:val="auto"/>
        </w:rPr>
        <w:t>and review of hospital transfers.</w:t>
      </w:r>
    </w:p>
    <w:p w14:paraId="2BE50C4C" w14:textId="47D33C86" w:rsidR="00A44244" w:rsidRDefault="00A44244" w:rsidP="00A44244">
      <w:pPr>
        <w:pStyle w:val="NormalArial"/>
        <w:rPr>
          <w:rFonts w:ascii="Open Sans" w:hAnsi="Open Sans" w:cs="Open Sans"/>
          <w:color w:val="auto"/>
        </w:rPr>
      </w:pPr>
      <w:r w:rsidRPr="00B562D0">
        <w:rPr>
          <w:rFonts w:ascii="Open Sans" w:hAnsi="Open Sans" w:cs="Open Sans"/>
          <w:color w:val="auto"/>
        </w:rPr>
        <w:t xml:space="preserve">At the assessment contact in July 2025, the Assessment Team found </w:t>
      </w:r>
      <w:r>
        <w:rPr>
          <w:rFonts w:ascii="Open Sans" w:hAnsi="Open Sans" w:cs="Open Sans"/>
          <w:color w:val="000000"/>
          <w:szCs w:val="22"/>
        </w:rPr>
        <w:t>c</w:t>
      </w:r>
      <w:r w:rsidRPr="00BC0C3B">
        <w:rPr>
          <w:rFonts w:ascii="Open Sans" w:hAnsi="Open Sans" w:cs="Open Sans"/>
          <w:color w:val="000000"/>
          <w:szCs w:val="22"/>
        </w:rPr>
        <w:t xml:space="preserve">are plans are not </w:t>
      </w:r>
      <w:r>
        <w:rPr>
          <w:rFonts w:ascii="Open Sans" w:hAnsi="Open Sans" w:cs="Open Sans"/>
          <w:color w:val="000000"/>
          <w:szCs w:val="22"/>
        </w:rPr>
        <w:t xml:space="preserve">consistently </w:t>
      </w:r>
      <w:r w:rsidRPr="00BC0C3B">
        <w:rPr>
          <w:rFonts w:ascii="Open Sans" w:hAnsi="Open Sans" w:cs="Open Sans"/>
          <w:color w:val="000000"/>
          <w:szCs w:val="22"/>
        </w:rPr>
        <w:t>updated to reflect changes to</w:t>
      </w:r>
      <w:r w:rsidR="00190BE3">
        <w:rPr>
          <w:rFonts w:ascii="Open Sans" w:hAnsi="Open Sans" w:cs="Open Sans"/>
          <w:color w:val="000000"/>
          <w:szCs w:val="22"/>
        </w:rPr>
        <w:t xml:space="preserve"> consumers’ care</w:t>
      </w:r>
      <w:r w:rsidR="005B44C6">
        <w:rPr>
          <w:rFonts w:ascii="Open Sans" w:hAnsi="Open Sans" w:cs="Open Sans"/>
          <w:color w:val="000000"/>
          <w:szCs w:val="22"/>
        </w:rPr>
        <w:t>,</w:t>
      </w:r>
      <w:r w:rsidRPr="00BC0C3B">
        <w:rPr>
          <w:rFonts w:ascii="Open Sans" w:hAnsi="Open Sans" w:cs="Open Sans"/>
          <w:color w:val="000000"/>
          <w:szCs w:val="22"/>
        </w:rPr>
        <w:t xml:space="preserve"> and some reviews are not undertaken when recommended.</w:t>
      </w:r>
      <w:r>
        <w:rPr>
          <w:rFonts w:ascii="Open Sans" w:hAnsi="Open Sans" w:cs="Open Sans"/>
          <w:color w:val="auto"/>
        </w:rPr>
        <w:t xml:space="preserve"> </w:t>
      </w:r>
      <w:r w:rsidR="005B44C6">
        <w:rPr>
          <w:rFonts w:ascii="Open Sans" w:hAnsi="Open Sans" w:cs="Open Sans"/>
          <w:color w:val="auto"/>
        </w:rPr>
        <w:t>The Assessment Team recommended requirement 2(3)(e)</w:t>
      </w:r>
      <w:r>
        <w:rPr>
          <w:rFonts w:ascii="Open Sans" w:hAnsi="Open Sans" w:cs="Open Sans"/>
          <w:color w:val="auto"/>
        </w:rPr>
        <w:t xml:space="preserve"> not met</w:t>
      </w:r>
      <w:r w:rsidR="005B44C6">
        <w:rPr>
          <w:rFonts w:ascii="Open Sans" w:hAnsi="Open Sans" w:cs="Open Sans"/>
          <w:color w:val="auto"/>
        </w:rPr>
        <w:t xml:space="preserve"> and</w:t>
      </w:r>
      <w:r>
        <w:rPr>
          <w:rFonts w:ascii="Open Sans" w:hAnsi="Open Sans" w:cs="Open Sans"/>
          <w:color w:val="auto"/>
        </w:rPr>
        <w:t xml:space="preserve"> provided the following information gathered through </w:t>
      </w:r>
      <w:r w:rsidRPr="005710F3">
        <w:rPr>
          <w:rFonts w:ascii="Open Sans" w:hAnsi="Open Sans" w:cs="Open Sans"/>
          <w:color w:val="auto"/>
        </w:rPr>
        <w:t>interviews and document review.</w:t>
      </w:r>
      <w:r>
        <w:rPr>
          <w:rFonts w:ascii="Open Sans" w:hAnsi="Open Sans" w:cs="Open Sans"/>
          <w:color w:val="auto"/>
        </w:rPr>
        <w:t xml:space="preserve"> </w:t>
      </w:r>
    </w:p>
    <w:p w14:paraId="27F65ECD" w14:textId="0F6F72A0" w:rsidR="003A0E6E" w:rsidRDefault="00BF76CF" w:rsidP="003A0E6E">
      <w:pPr>
        <w:pStyle w:val="NormalArial"/>
        <w:rPr>
          <w:rFonts w:ascii="Open Sans" w:hAnsi="Open Sans" w:cs="Open Sans"/>
          <w:color w:val="000000"/>
        </w:rPr>
      </w:pPr>
      <w:r>
        <w:rPr>
          <w:rFonts w:ascii="Open Sans" w:hAnsi="Open Sans" w:cs="Open Sans"/>
          <w:color w:val="auto"/>
        </w:rPr>
        <w:t xml:space="preserve">Following </w:t>
      </w:r>
      <w:r w:rsidR="00A66943">
        <w:rPr>
          <w:rFonts w:ascii="Open Sans" w:hAnsi="Open Sans" w:cs="Open Sans"/>
          <w:color w:val="auto"/>
        </w:rPr>
        <w:t>discharge from hospital in June 2025</w:t>
      </w:r>
      <w:r>
        <w:rPr>
          <w:rFonts w:ascii="Open Sans" w:hAnsi="Open Sans" w:cs="Open Sans"/>
          <w:color w:val="auto"/>
        </w:rPr>
        <w:t xml:space="preserve"> </w:t>
      </w:r>
      <w:r w:rsidR="00A66943">
        <w:rPr>
          <w:rFonts w:ascii="Open Sans" w:hAnsi="Open Sans" w:cs="Open Sans"/>
          <w:color w:val="auto"/>
        </w:rPr>
        <w:t xml:space="preserve">and an </w:t>
      </w:r>
      <w:r w:rsidR="00BC0C3B" w:rsidRPr="009A5059">
        <w:rPr>
          <w:rFonts w:ascii="Open Sans" w:hAnsi="Open Sans" w:cs="Open Sans"/>
          <w:color w:val="auto"/>
        </w:rPr>
        <w:t xml:space="preserve">unwitnessed fall </w:t>
      </w:r>
      <w:r w:rsidR="001012D4" w:rsidRPr="009A5059">
        <w:rPr>
          <w:rFonts w:ascii="Open Sans" w:hAnsi="Open Sans" w:cs="Open Sans"/>
          <w:color w:val="auto"/>
        </w:rPr>
        <w:t>in</w:t>
      </w:r>
      <w:r w:rsidR="00BC0C3B" w:rsidRPr="009A5059">
        <w:rPr>
          <w:rFonts w:ascii="Open Sans" w:hAnsi="Open Sans" w:cs="Open Sans"/>
          <w:color w:val="auto"/>
        </w:rPr>
        <w:t xml:space="preserve"> June 2025</w:t>
      </w:r>
      <w:r w:rsidR="00E45E63">
        <w:rPr>
          <w:rFonts w:ascii="Open Sans" w:hAnsi="Open Sans" w:cs="Open Sans"/>
          <w:color w:val="auto"/>
        </w:rPr>
        <w:t>,</w:t>
      </w:r>
      <w:r w:rsidR="001012D4" w:rsidRPr="009A5059">
        <w:rPr>
          <w:rFonts w:ascii="Open Sans" w:hAnsi="Open Sans" w:cs="Open Sans"/>
          <w:color w:val="auto"/>
        </w:rPr>
        <w:t xml:space="preserve"> </w:t>
      </w:r>
      <w:r w:rsidR="00BC0C3B" w:rsidRPr="009A5059">
        <w:rPr>
          <w:rFonts w:ascii="Open Sans" w:hAnsi="Open Sans" w:cs="Open Sans"/>
          <w:color w:val="auto"/>
        </w:rPr>
        <w:t xml:space="preserve">information </w:t>
      </w:r>
      <w:r w:rsidR="001012D4" w:rsidRPr="009A5059">
        <w:rPr>
          <w:rFonts w:ascii="Open Sans" w:hAnsi="Open Sans" w:cs="Open Sans"/>
          <w:color w:val="auto"/>
        </w:rPr>
        <w:t>relating to</w:t>
      </w:r>
      <w:r w:rsidR="00BC0C3B" w:rsidRPr="009A5059">
        <w:rPr>
          <w:rFonts w:ascii="Open Sans" w:hAnsi="Open Sans" w:cs="Open Sans"/>
          <w:color w:val="auto"/>
        </w:rPr>
        <w:t xml:space="preserve"> mobility </w:t>
      </w:r>
      <w:r w:rsidR="00221410">
        <w:rPr>
          <w:rFonts w:ascii="Open Sans" w:hAnsi="Open Sans" w:cs="Open Sans"/>
          <w:color w:val="auto"/>
        </w:rPr>
        <w:t>and recommendation</w:t>
      </w:r>
      <w:r w:rsidR="00E45E63">
        <w:rPr>
          <w:rFonts w:ascii="Open Sans" w:hAnsi="Open Sans" w:cs="Open Sans"/>
          <w:color w:val="auto"/>
        </w:rPr>
        <w:t>s</w:t>
      </w:r>
      <w:r w:rsidR="00221410">
        <w:rPr>
          <w:rFonts w:ascii="Open Sans" w:hAnsi="Open Sans" w:cs="Open Sans"/>
          <w:color w:val="auto"/>
        </w:rPr>
        <w:t xml:space="preserve"> </w:t>
      </w:r>
      <w:r w:rsidR="009D25D6">
        <w:rPr>
          <w:rFonts w:ascii="Open Sans" w:hAnsi="Open Sans" w:cs="Open Sans"/>
          <w:color w:val="auto"/>
        </w:rPr>
        <w:t>for</w:t>
      </w:r>
      <w:r w:rsidR="00221410">
        <w:rPr>
          <w:rFonts w:ascii="Open Sans" w:hAnsi="Open Sans" w:cs="Open Sans"/>
          <w:color w:val="auto"/>
        </w:rPr>
        <w:t xml:space="preserve"> positioning </w:t>
      </w:r>
      <w:r w:rsidR="00E45E63">
        <w:rPr>
          <w:rFonts w:ascii="Open Sans" w:hAnsi="Open Sans" w:cs="Open Sans"/>
          <w:color w:val="auto"/>
        </w:rPr>
        <w:t xml:space="preserve">from physiotherapist reviews </w:t>
      </w:r>
      <w:r w:rsidR="00221410">
        <w:rPr>
          <w:rFonts w:ascii="Open Sans" w:hAnsi="Open Sans" w:cs="Open Sans"/>
          <w:color w:val="auto"/>
        </w:rPr>
        <w:t>were</w:t>
      </w:r>
      <w:r w:rsidR="00BC0C3B" w:rsidRPr="009A5059">
        <w:rPr>
          <w:rFonts w:ascii="Open Sans" w:hAnsi="Open Sans" w:cs="Open Sans"/>
          <w:color w:val="auto"/>
        </w:rPr>
        <w:t xml:space="preserve"> not transferred to </w:t>
      </w:r>
      <w:r w:rsidR="003A0E6E">
        <w:rPr>
          <w:rFonts w:ascii="Open Sans" w:hAnsi="Open Sans" w:cs="Open Sans"/>
          <w:color w:val="auto"/>
        </w:rPr>
        <w:t>a consumer’s (</w:t>
      </w:r>
      <w:r w:rsidR="00291FB4">
        <w:rPr>
          <w:rFonts w:ascii="Open Sans" w:hAnsi="Open Sans" w:cs="Open Sans"/>
          <w:color w:val="auto"/>
        </w:rPr>
        <w:t>Consumer A</w:t>
      </w:r>
      <w:r w:rsidR="003A0E6E">
        <w:rPr>
          <w:rFonts w:ascii="Open Sans" w:hAnsi="Open Sans" w:cs="Open Sans"/>
          <w:color w:val="auto"/>
        </w:rPr>
        <w:t>)</w:t>
      </w:r>
      <w:r w:rsidR="00BC0C3B" w:rsidRPr="009A5059">
        <w:rPr>
          <w:rFonts w:ascii="Open Sans" w:hAnsi="Open Sans" w:cs="Open Sans"/>
          <w:color w:val="auto"/>
        </w:rPr>
        <w:t xml:space="preserve"> care plan</w:t>
      </w:r>
      <w:r w:rsidR="00221410">
        <w:rPr>
          <w:rFonts w:ascii="Open Sans" w:hAnsi="Open Sans" w:cs="Open Sans"/>
          <w:color w:val="auto"/>
        </w:rPr>
        <w:t>,</w:t>
      </w:r>
      <w:r w:rsidR="00BC0C3B" w:rsidRPr="009A5059">
        <w:rPr>
          <w:rFonts w:ascii="Open Sans" w:hAnsi="Open Sans" w:cs="Open Sans"/>
          <w:color w:val="auto"/>
        </w:rPr>
        <w:t xml:space="preserve"> functional assessment plan</w:t>
      </w:r>
      <w:r w:rsidR="00221410">
        <w:rPr>
          <w:rFonts w:ascii="Open Sans" w:hAnsi="Open Sans" w:cs="Open Sans"/>
          <w:color w:val="auto"/>
        </w:rPr>
        <w:t xml:space="preserve"> or handover sheet</w:t>
      </w:r>
      <w:r w:rsidR="00BC0C3B" w:rsidRPr="009A5059">
        <w:rPr>
          <w:rFonts w:ascii="Open Sans" w:hAnsi="Open Sans" w:cs="Open Sans"/>
          <w:color w:val="auto"/>
        </w:rPr>
        <w:t>.</w:t>
      </w:r>
      <w:r w:rsidR="003A0E6E" w:rsidRPr="003A0E6E">
        <w:rPr>
          <w:rFonts w:ascii="Open Sans" w:hAnsi="Open Sans" w:cs="Open Sans"/>
          <w:color w:val="auto"/>
        </w:rPr>
        <w:t xml:space="preserve"> </w:t>
      </w:r>
      <w:r w:rsidR="003A0E6E">
        <w:rPr>
          <w:rFonts w:ascii="Open Sans" w:hAnsi="Open Sans" w:cs="Open Sans"/>
          <w:color w:val="auto"/>
        </w:rPr>
        <w:t xml:space="preserve">Additionally, </w:t>
      </w:r>
      <w:r w:rsidR="00A776E8">
        <w:rPr>
          <w:rFonts w:ascii="Open Sans" w:hAnsi="Open Sans" w:cs="Open Sans"/>
          <w:color w:val="auto"/>
        </w:rPr>
        <w:t>general practitioner (</w:t>
      </w:r>
      <w:r w:rsidR="000648A3">
        <w:rPr>
          <w:rFonts w:ascii="Open Sans" w:hAnsi="Open Sans" w:cs="Open Sans"/>
          <w:color w:val="auto"/>
        </w:rPr>
        <w:t>GP</w:t>
      </w:r>
      <w:r w:rsidR="00A776E8">
        <w:rPr>
          <w:rFonts w:ascii="Open Sans" w:hAnsi="Open Sans" w:cs="Open Sans"/>
          <w:color w:val="auto"/>
        </w:rPr>
        <w:t>)</w:t>
      </w:r>
      <w:r w:rsidR="003A0E6E" w:rsidRPr="009A5059">
        <w:rPr>
          <w:rFonts w:ascii="Open Sans" w:hAnsi="Open Sans" w:cs="Open Sans"/>
          <w:color w:val="auto"/>
        </w:rPr>
        <w:t xml:space="preserve"> recommendations in July 2025 relating to monitoring of oxygen levels and vital signs were not included in </w:t>
      </w:r>
      <w:r w:rsidR="003A0E6E">
        <w:rPr>
          <w:rFonts w:ascii="Open Sans" w:hAnsi="Open Sans" w:cs="Open Sans"/>
          <w:color w:val="auto"/>
        </w:rPr>
        <w:t>Consumer A’s</w:t>
      </w:r>
      <w:r w:rsidR="003A0E6E" w:rsidRPr="009A5059">
        <w:rPr>
          <w:rFonts w:ascii="Open Sans" w:hAnsi="Open Sans" w:cs="Open Sans"/>
          <w:color w:val="auto"/>
        </w:rPr>
        <w:t xml:space="preserve"> care plan or </w:t>
      </w:r>
      <w:r w:rsidR="00326D5F">
        <w:rPr>
          <w:rFonts w:ascii="Open Sans" w:hAnsi="Open Sans" w:cs="Open Sans"/>
          <w:color w:val="auto"/>
        </w:rPr>
        <w:t xml:space="preserve">the </w:t>
      </w:r>
      <w:r w:rsidR="003A0E6E" w:rsidRPr="009A5059">
        <w:rPr>
          <w:rFonts w:ascii="Open Sans" w:hAnsi="Open Sans" w:cs="Open Sans"/>
          <w:color w:val="auto"/>
        </w:rPr>
        <w:t>handover sheet</w:t>
      </w:r>
      <w:r w:rsidR="003A0E6E">
        <w:rPr>
          <w:rFonts w:ascii="Open Sans" w:hAnsi="Open Sans" w:cs="Open Sans"/>
          <w:color w:val="auto"/>
        </w:rPr>
        <w:t xml:space="preserve">, with care </w:t>
      </w:r>
      <w:r w:rsidR="003A0E6E" w:rsidRPr="009A5059">
        <w:rPr>
          <w:rFonts w:ascii="Open Sans" w:hAnsi="Open Sans" w:cs="Open Sans"/>
          <w:color w:val="auto"/>
        </w:rPr>
        <w:t>documentation show</w:t>
      </w:r>
      <w:r w:rsidR="003A0E6E">
        <w:rPr>
          <w:rFonts w:ascii="Open Sans" w:hAnsi="Open Sans" w:cs="Open Sans"/>
          <w:color w:val="auto"/>
        </w:rPr>
        <w:t xml:space="preserve">ing monitoring was not </w:t>
      </w:r>
      <w:r w:rsidR="003A0E6E" w:rsidRPr="009A5059">
        <w:rPr>
          <w:rFonts w:ascii="Open Sans" w:hAnsi="Open Sans" w:cs="Open Sans"/>
          <w:color w:val="auto"/>
        </w:rPr>
        <w:t xml:space="preserve">undertaken in line with recommendations. </w:t>
      </w:r>
      <w:r w:rsidR="003A0E6E">
        <w:rPr>
          <w:rFonts w:ascii="Open Sans" w:hAnsi="Open Sans" w:cs="Open Sans"/>
          <w:color w:val="000000"/>
        </w:rPr>
        <w:t xml:space="preserve">Furthermore, Consumer A was attending a routine appointment at the hospital during </w:t>
      </w:r>
      <w:r w:rsidR="003A0E6E" w:rsidRPr="00BC0C3B">
        <w:rPr>
          <w:rFonts w:ascii="Open Sans" w:hAnsi="Open Sans" w:cs="Open Sans"/>
          <w:color w:val="000000"/>
        </w:rPr>
        <w:t xml:space="preserve">the assessment </w:t>
      </w:r>
      <w:r w:rsidR="001132D3">
        <w:rPr>
          <w:rFonts w:ascii="Open Sans" w:hAnsi="Open Sans" w:cs="Open Sans"/>
          <w:color w:val="000000"/>
        </w:rPr>
        <w:t xml:space="preserve">contact </w:t>
      </w:r>
      <w:r w:rsidR="003A0E6E" w:rsidRPr="00BC0C3B">
        <w:rPr>
          <w:rFonts w:ascii="Open Sans" w:hAnsi="Open Sans" w:cs="Open Sans"/>
          <w:color w:val="000000"/>
        </w:rPr>
        <w:t xml:space="preserve">and was due to return the same day. </w:t>
      </w:r>
      <w:r w:rsidR="003A0E6E">
        <w:rPr>
          <w:rFonts w:ascii="Open Sans" w:hAnsi="Open Sans" w:cs="Open Sans"/>
          <w:color w:val="000000"/>
        </w:rPr>
        <w:t>Consumer A</w:t>
      </w:r>
      <w:r w:rsidR="003A0E6E" w:rsidRPr="00BC0C3B">
        <w:rPr>
          <w:rFonts w:ascii="Open Sans" w:hAnsi="Open Sans" w:cs="Open Sans"/>
          <w:color w:val="000000"/>
        </w:rPr>
        <w:t xml:space="preserve"> did not return to the service and management and the </w:t>
      </w:r>
      <w:r w:rsidR="003A0E6E">
        <w:rPr>
          <w:rFonts w:ascii="Open Sans" w:hAnsi="Open Sans" w:cs="Open Sans"/>
          <w:color w:val="000000"/>
        </w:rPr>
        <w:t>registered nurse</w:t>
      </w:r>
      <w:r w:rsidR="003A0E6E" w:rsidRPr="00BC0C3B">
        <w:rPr>
          <w:rFonts w:ascii="Open Sans" w:hAnsi="Open Sans" w:cs="Open Sans"/>
          <w:color w:val="000000"/>
        </w:rPr>
        <w:t xml:space="preserve"> were unsure why. </w:t>
      </w:r>
      <w:r w:rsidR="009D25D6">
        <w:rPr>
          <w:rFonts w:ascii="Open Sans" w:hAnsi="Open Sans" w:cs="Open Sans"/>
          <w:color w:val="000000"/>
        </w:rPr>
        <w:t>T</w:t>
      </w:r>
      <w:r w:rsidR="003A0E6E">
        <w:rPr>
          <w:rFonts w:ascii="Open Sans" w:hAnsi="Open Sans" w:cs="Open Sans"/>
          <w:color w:val="000000"/>
        </w:rPr>
        <w:t>he</w:t>
      </w:r>
      <w:r w:rsidR="003A0E6E" w:rsidRPr="00BC0C3B">
        <w:rPr>
          <w:rFonts w:ascii="Open Sans" w:hAnsi="Open Sans" w:cs="Open Sans"/>
          <w:color w:val="000000"/>
        </w:rPr>
        <w:t xml:space="preserve"> representative </w:t>
      </w:r>
      <w:r w:rsidR="003A0E6E">
        <w:rPr>
          <w:rFonts w:ascii="Open Sans" w:hAnsi="Open Sans" w:cs="Open Sans"/>
          <w:color w:val="000000"/>
        </w:rPr>
        <w:t xml:space="preserve">said they had </w:t>
      </w:r>
      <w:r w:rsidR="003A0E6E" w:rsidRPr="00BC0C3B">
        <w:rPr>
          <w:rFonts w:ascii="Open Sans" w:hAnsi="Open Sans" w:cs="Open Sans"/>
          <w:color w:val="000000"/>
        </w:rPr>
        <w:t xml:space="preserve">not been advised </w:t>
      </w:r>
      <w:r w:rsidR="003A0E6E">
        <w:rPr>
          <w:rFonts w:ascii="Open Sans" w:hAnsi="Open Sans" w:cs="Open Sans"/>
          <w:color w:val="000000"/>
        </w:rPr>
        <w:t>the consumer</w:t>
      </w:r>
      <w:r w:rsidR="003A0E6E" w:rsidRPr="00BC0C3B">
        <w:rPr>
          <w:rFonts w:ascii="Open Sans" w:hAnsi="Open Sans" w:cs="Open Sans"/>
          <w:color w:val="000000"/>
        </w:rPr>
        <w:t xml:space="preserve"> was kept in hospital overnight. </w:t>
      </w:r>
    </w:p>
    <w:p w14:paraId="67FD4124" w14:textId="5EDECD52" w:rsidR="00BC0C3B" w:rsidRDefault="00BC0C3B" w:rsidP="00BA118F">
      <w:pPr>
        <w:pStyle w:val="NormalArial"/>
        <w:rPr>
          <w:rFonts w:ascii="Open Sans" w:hAnsi="Open Sans" w:cs="Open Sans"/>
          <w:color w:val="auto"/>
        </w:rPr>
      </w:pPr>
      <w:r w:rsidRPr="00BA118F">
        <w:rPr>
          <w:rFonts w:ascii="Open Sans" w:hAnsi="Open Sans" w:cs="Open Sans"/>
          <w:color w:val="auto"/>
        </w:rPr>
        <w:t>The incident register show</w:t>
      </w:r>
      <w:r w:rsidR="00CA3BAB" w:rsidRPr="00BA118F">
        <w:rPr>
          <w:rFonts w:ascii="Open Sans" w:hAnsi="Open Sans" w:cs="Open Sans"/>
          <w:color w:val="auto"/>
        </w:rPr>
        <w:t>s</w:t>
      </w:r>
      <w:r w:rsidR="005E704B">
        <w:rPr>
          <w:rFonts w:ascii="Open Sans" w:hAnsi="Open Sans" w:cs="Open Sans"/>
          <w:color w:val="auto"/>
        </w:rPr>
        <w:t xml:space="preserve"> a consumer</w:t>
      </w:r>
      <w:r w:rsidR="006A662D">
        <w:rPr>
          <w:rFonts w:ascii="Open Sans" w:hAnsi="Open Sans" w:cs="Open Sans"/>
          <w:color w:val="auto"/>
        </w:rPr>
        <w:t xml:space="preserve"> (Consumer B)</w:t>
      </w:r>
      <w:r w:rsidRPr="00BA118F">
        <w:rPr>
          <w:rFonts w:ascii="Open Sans" w:hAnsi="Open Sans" w:cs="Open Sans"/>
          <w:color w:val="auto"/>
        </w:rPr>
        <w:t xml:space="preserve"> was verbally aggressive to staff </w:t>
      </w:r>
      <w:r w:rsidR="00BA118F" w:rsidRPr="00BA118F">
        <w:rPr>
          <w:rFonts w:ascii="Open Sans" w:hAnsi="Open Sans" w:cs="Open Sans"/>
          <w:color w:val="auto"/>
        </w:rPr>
        <w:t xml:space="preserve">on one occasion </w:t>
      </w:r>
      <w:r w:rsidR="00CA3BAB" w:rsidRPr="00BA118F">
        <w:rPr>
          <w:rFonts w:ascii="Open Sans" w:hAnsi="Open Sans" w:cs="Open Sans"/>
          <w:color w:val="auto"/>
        </w:rPr>
        <w:t>in</w:t>
      </w:r>
      <w:r w:rsidRPr="00BA118F">
        <w:rPr>
          <w:rFonts w:ascii="Open Sans" w:hAnsi="Open Sans" w:cs="Open Sans"/>
          <w:color w:val="auto"/>
        </w:rPr>
        <w:t xml:space="preserve"> June 2025</w:t>
      </w:r>
      <w:r w:rsidR="00BC5E3D">
        <w:rPr>
          <w:rFonts w:ascii="Open Sans" w:hAnsi="Open Sans" w:cs="Open Sans"/>
          <w:color w:val="auto"/>
        </w:rPr>
        <w:t>. T</w:t>
      </w:r>
      <w:r w:rsidRPr="00BA118F">
        <w:rPr>
          <w:rFonts w:ascii="Open Sans" w:hAnsi="Open Sans" w:cs="Open Sans"/>
          <w:color w:val="auto"/>
        </w:rPr>
        <w:t xml:space="preserve">here was no review by </w:t>
      </w:r>
      <w:r w:rsidR="00304326" w:rsidRPr="00BA118F">
        <w:rPr>
          <w:rFonts w:ascii="Open Sans" w:hAnsi="Open Sans" w:cs="Open Sans"/>
          <w:color w:val="auto"/>
        </w:rPr>
        <w:t xml:space="preserve">the </w:t>
      </w:r>
      <w:r w:rsidR="001132D3">
        <w:rPr>
          <w:rFonts w:ascii="Open Sans" w:hAnsi="Open Sans" w:cs="Open Sans"/>
          <w:color w:val="auto"/>
        </w:rPr>
        <w:t>GP</w:t>
      </w:r>
      <w:r w:rsidR="00304326" w:rsidRPr="00BA118F">
        <w:rPr>
          <w:rFonts w:ascii="Open Sans" w:hAnsi="Open Sans" w:cs="Open Sans"/>
          <w:color w:val="auto"/>
        </w:rPr>
        <w:t xml:space="preserve"> or registered nurse</w:t>
      </w:r>
      <w:r w:rsidRPr="00BA118F">
        <w:rPr>
          <w:rFonts w:ascii="Open Sans" w:hAnsi="Open Sans" w:cs="Open Sans"/>
          <w:color w:val="auto"/>
        </w:rPr>
        <w:t xml:space="preserve"> following the incident</w:t>
      </w:r>
      <w:r w:rsidR="00304326" w:rsidRPr="00BA118F">
        <w:rPr>
          <w:rFonts w:ascii="Open Sans" w:hAnsi="Open Sans" w:cs="Open Sans"/>
          <w:color w:val="auto"/>
        </w:rPr>
        <w:t xml:space="preserve">, and the </w:t>
      </w:r>
      <w:r w:rsidRPr="00BA118F">
        <w:rPr>
          <w:rFonts w:ascii="Open Sans" w:hAnsi="Open Sans" w:cs="Open Sans"/>
          <w:color w:val="auto"/>
        </w:rPr>
        <w:t>BSP was not updated.</w:t>
      </w:r>
    </w:p>
    <w:p w14:paraId="01DA2631" w14:textId="24779968" w:rsidR="00BC0C3B" w:rsidRDefault="00E452EA" w:rsidP="005E704B">
      <w:pPr>
        <w:pStyle w:val="NormalArial"/>
        <w:rPr>
          <w:rFonts w:ascii="Open Sans" w:hAnsi="Open Sans" w:cs="Open Sans"/>
          <w:color w:val="auto"/>
        </w:rPr>
      </w:pPr>
      <w:r w:rsidRPr="005E704B">
        <w:rPr>
          <w:rFonts w:ascii="Open Sans" w:hAnsi="Open Sans" w:cs="Open Sans"/>
          <w:color w:val="auto"/>
        </w:rPr>
        <w:t>A d</w:t>
      </w:r>
      <w:r w:rsidR="00BC0C3B" w:rsidRPr="005E704B">
        <w:rPr>
          <w:rFonts w:ascii="Open Sans" w:hAnsi="Open Sans" w:cs="Open Sans"/>
          <w:color w:val="auto"/>
        </w:rPr>
        <w:t>ischarge summary</w:t>
      </w:r>
      <w:r w:rsidRPr="005E704B">
        <w:rPr>
          <w:rFonts w:ascii="Open Sans" w:hAnsi="Open Sans" w:cs="Open Sans"/>
          <w:color w:val="auto"/>
        </w:rPr>
        <w:t xml:space="preserve"> </w:t>
      </w:r>
      <w:r w:rsidR="001820C9" w:rsidRPr="005E704B">
        <w:rPr>
          <w:rFonts w:ascii="Open Sans" w:hAnsi="Open Sans" w:cs="Open Sans"/>
          <w:color w:val="auto"/>
        </w:rPr>
        <w:t>following a consumer’s</w:t>
      </w:r>
      <w:r w:rsidR="006A662D">
        <w:rPr>
          <w:rFonts w:ascii="Open Sans" w:hAnsi="Open Sans" w:cs="Open Sans"/>
          <w:color w:val="auto"/>
        </w:rPr>
        <w:t xml:space="preserve"> (Consumer C)</w:t>
      </w:r>
      <w:r w:rsidR="001820C9" w:rsidRPr="005E704B">
        <w:rPr>
          <w:rFonts w:ascii="Open Sans" w:hAnsi="Open Sans" w:cs="Open Sans"/>
          <w:color w:val="auto"/>
        </w:rPr>
        <w:t xml:space="preserve"> hospital transfer in June 2025</w:t>
      </w:r>
      <w:r w:rsidR="00BC0C3B" w:rsidRPr="005E704B">
        <w:rPr>
          <w:rFonts w:ascii="Open Sans" w:hAnsi="Open Sans" w:cs="Open Sans"/>
          <w:color w:val="auto"/>
        </w:rPr>
        <w:t xml:space="preserve"> include</w:t>
      </w:r>
      <w:r w:rsidR="00304326" w:rsidRPr="005E704B">
        <w:rPr>
          <w:rFonts w:ascii="Open Sans" w:hAnsi="Open Sans" w:cs="Open Sans"/>
          <w:color w:val="auto"/>
        </w:rPr>
        <w:t>s</w:t>
      </w:r>
      <w:r w:rsidR="00BC0C3B" w:rsidRPr="005E704B">
        <w:rPr>
          <w:rFonts w:ascii="Open Sans" w:hAnsi="Open Sans" w:cs="Open Sans"/>
          <w:color w:val="auto"/>
        </w:rPr>
        <w:t xml:space="preserve"> a request for speech pathologist review</w:t>
      </w:r>
      <w:r w:rsidR="009514C4" w:rsidRPr="005E704B">
        <w:rPr>
          <w:rFonts w:ascii="Open Sans" w:hAnsi="Open Sans" w:cs="Open Sans"/>
          <w:color w:val="auto"/>
        </w:rPr>
        <w:t xml:space="preserve"> which has </w:t>
      </w:r>
      <w:r w:rsidR="00BC0C3B" w:rsidRPr="005E704B">
        <w:rPr>
          <w:rFonts w:ascii="Open Sans" w:hAnsi="Open Sans" w:cs="Open Sans"/>
          <w:color w:val="auto"/>
        </w:rPr>
        <w:t xml:space="preserve">not been undertaken. </w:t>
      </w:r>
      <w:r w:rsidR="006A662D" w:rsidRPr="00D6475C">
        <w:rPr>
          <w:rFonts w:ascii="Open Sans" w:hAnsi="Open Sans" w:cs="Open Sans"/>
          <w:color w:val="auto"/>
        </w:rPr>
        <w:t>A</w:t>
      </w:r>
      <w:r w:rsidR="00D923A0" w:rsidRPr="00D6475C">
        <w:rPr>
          <w:rFonts w:ascii="Open Sans" w:hAnsi="Open Sans" w:cs="Open Sans"/>
          <w:color w:val="auto"/>
        </w:rPr>
        <w:t xml:space="preserve">nother consumer (Consumer D) </w:t>
      </w:r>
      <w:r w:rsidR="00BC0C3B" w:rsidRPr="005E704B">
        <w:rPr>
          <w:rFonts w:ascii="Open Sans" w:hAnsi="Open Sans" w:cs="Open Sans"/>
          <w:color w:val="auto"/>
        </w:rPr>
        <w:t xml:space="preserve">had a choking episode </w:t>
      </w:r>
      <w:r w:rsidR="009514C4" w:rsidRPr="005E704B">
        <w:rPr>
          <w:rFonts w:ascii="Open Sans" w:hAnsi="Open Sans" w:cs="Open Sans"/>
          <w:color w:val="auto"/>
        </w:rPr>
        <w:t>in</w:t>
      </w:r>
      <w:r w:rsidR="00BC0C3B" w:rsidRPr="005E704B">
        <w:rPr>
          <w:rFonts w:ascii="Open Sans" w:hAnsi="Open Sans" w:cs="Open Sans"/>
          <w:color w:val="auto"/>
        </w:rPr>
        <w:t xml:space="preserve"> April 2025</w:t>
      </w:r>
      <w:r w:rsidR="001132D3">
        <w:rPr>
          <w:rFonts w:ascii="Open Sans" w:hAnsi="Open Sans" w:cs="Open Sans"/>
          <w:color w:val="auto"/>
        </w:rPr>
        <w:t>, with the related h</w:t>
      </w:r>
      <w:r w:rsidR="00BC0C3B" w:rsidRPr="005E704B">
        <w:rPr>
          <w:rFonts w:ascii="Open Sans" w:hAnsi="Open Sans" w:cs="Open Sans"/>
          <w:color w:val="auto"/>
        </w:rPr>
        <w:t>ospital discharge summary</w:t>
      </w:r>
      <w:r w:rsidR="001820C9" w:rsidRPr="005E704B">
        <w:rPr>
          <w:rFonts w:ascii="Open Sans" w:hAnsi="Open Sans" w:cs="Open Sans"/>
          <w:color w:val="auto"/>
        </w:rPr>
        <w:t xml:space="preserve"> </w:t>
      </w:r>
      <w:r w:rsidR="001132D3">
        <w:rPr>
          <w:rFonts w:ascii="Open Sans" w:hAnsi="Open Sans" w:cs="Open Sans"/>
          <w:color w:val="auto"/>
        </w:rPr>
        <w:t>recommending</w:t>
      </w:r>
      <w:r w:rsidR="00BC0C3B" w:rsidRPr="005E704B">
        <w:rPr>
          <w:rFonts w:ascii="Open Sans" w:hAnsi="Open Sans" w:cs="Open Sans"/>
          <w:color w:val="auto"/>
        </w:rPr>
        <w:t xml:space="preserve"> a dietitian </w:t>
      </w:r>
      <w:r w:rsidR="00BC0C3B" w:rsidRPr="005E704B">
        <w:rPr>
          <w:rFonts w:ascii="Open Sans" w:hAnsi="Open Sans" w:cs="Open Sans"/>
          <w:color w:val="auto"/>
        </w:rPr>
        <w:lastRenderedPageBreak/>
        <w:t>review</w:t>
      </w:r>
      <w:r w:rsidR="005E704B" w:rsidRPr="005E704B">
        <w:rPr>
          <w:rFonts w:ascii="Open Sans" w:hAnsi="Open Sans" w:cs="Open Sans"/>
          <w:color w:val="auto"/>
        </w:rPr>
        <w:t xml:space="preserve">, </w:t>
      </w:r>
      <w:r w:rsidR="001132D3">
        <w:rPr>
          <w:rFonts w:ascii="Open Sans" w:hAnsi="Open Sans" w:cs="Open Sans"/>
          <w:color w:val="auto"/>
        </w:rPr>
        <w:t>which while</w:t>
      </w:r>
      <w:r w:rsidR="00BC0C3B" w:rsidRPr="005E704B">
        <w:rPr>
          <w:rFonts w:ascii="Open Sans" w:hAnsi="Open Sans" w:cs="Open Sans"/>
          <w:color w:val="auto"/>
        </w:rPr>
        <w:t xml:space="preserve"> care documentation </w:t>
      </w:r>
      <w:r w:rsidR="00C65738" w:rsidRPr="005E704B">
        <w:rPr>
          <w:rFonts w:ascii="Open Sans" w:hAnsi="Open Sans" w:cs="Open Sans"/>
          <w:color w:val="auto"/>
        </w:rPr>
        <w:t>indicat</w:t>
      </w:r>
      <w:r w:rsidR="005E704B" w:rsidRPr="005E704B">
        <w:rPr>
          <w:rFonts w:ascii="Open Sans" w:hAnsi="Open Sans" w:cs="Open Sans"/>
          <w:color w:val="auto"/>
        </w:rPr>
        <w:t>es</w:t>
      </w:r>
      <w:r w:rsidR="00C65738" w:rsidRPr="005E704B">
        <w:rPr>
          <w:rFonts w:ascii="Open Sans" w:hAnsi="Open Sans" w:cs="Open Sans"/>
          <w:color w:val="auto"/>
        </w:rPr>
        <w:t xml:space="preserve"> a review is booked</w:t>
      </w:r>
      <w:r w:rsidR="005E704B" w:rsidRPr="005E704B">
        <w:rPr>
          <w:rFonts w:ascii="Open Sans" w:hAnsi="Open Sans" w:cs="Open Sans"/>
          <w:color w:val="auto"/>
        </w:rPr>
        <w:t xml:space="preserve">, has not occurred. </w:t>
      </w:r>
      <w:r w:rsidR="009514C4" w:rsidRPr="005E704B">
        <w:rPr>
          <w:rFonts w:ascii="Open Sans" w:hAnsi="Open Sans" w:cs="Open Sans"/>
          <w:color w:val="auto"/>
        </w:rPr>
        <w:t xml:space="preserve"> </w:t>
      </w:r>
    </w:p>
    <w:p w14:paraId="567BCB2D" w14:textId="4ACF791D" w:rsidR="00543385" w:rsidRDefault="00543385" w:rsidP="005E704B">
      <w:pPr>
        <w:pStyle w:val="NormalArial"/>
        <w:rPr>
          <w:rFonts w:ascii="Open Sans" w:hAnsi="Open Sans" w:cs="Open Sans"/>
          <w:color w:val="auto"/>
        </w:rPr>
      </w:pPr>
      <w:r w:rsidRPr="005E704B">
        <w:rPr>
          <w:rFonts w:ascii="Open Sans" w:hAnsi="Open Sans" w:cs="Open Sans"/>
          <w:color w:val="auto"/>
        </w:rPr>
        <w:t xml:space="preserve">In coming to my finding, I have also considered evidence highlighted in requirement 3(3)(b). Specifically, </w:t>
      </w:r>
      <w:r w:rsidR="002B2D06" w:rsidRPr="005E704B">
        <w:rPr>
          <w:rFonts w:ascii="Open Sans" w:hAnsi="Open Sans" w:cs="Open Sans"/>
          <w:color w:val="auto"/>
        </w:rPr>
        <w:t>a</w:t>
      </w:r>
      <w:r w:rsidR="002B2D06">
        <w:rPr>
          <w:rFonts w:ascii="Open Sans" w:hAnsi="Open Sans" w:cs="Open Sans"/>
          <w:color w:val="auto"/>
        </w:rPr>
        <w:t xml:space="preserve"> </w:t>
      </w:r>
      <w:r w:rsidRPr="00372E0F">
        <w:rPr>
          <w:rFonts w:ascii="Open Sans" w:hAnsi="Open Sans" w:cs="Open Sans"/>
          <w:color w:val="auto"/>
        </w:rPr>
        <w:t>range of assessments</w:t>
      </w:r>
      <w:r w:rsidR="002B2D06">
        <w:rPr>
          <w:rFonts w:ascii="Open Sans" w:hAnsi="Open Sans" w:cs="Open Sans"/>
          <w:color w:val="auto"/>
        </w:rPr>
        <w:t>,</w:t>
      </w:r>
      <w:r w:rsidRPr="00372E0F">
        <w:rPr>
          <w:rFonts w:ascii="Open Sans" w:hAnsi="Open Sans" w:cs="Open Sans"/>
          <w:color w:val="auto"/>
        </w:rPr>
        <w:t xml:space="preserve"> including skin and mobility </w:t>
      </w:r>
      <w:r w:rsidR="002B2D06">
        <w:rPr>
          <w:rFonts w:ascii="Open Sans" w:hAnsi="Open Sans" w:cs="Open Sans"/>
          <w:color w:val="auto"/>
        </w:rPr>
        <w:t xml:space="preserve">were </w:t>
      </w:r>
      <w:r w:rsidRPr="00372E0F">
        <w:rPr>
          <w:rFonts w:ascii="Open Sans" w:hAnsi="Open Sans" w:cs="Open Sans"/>
          <w:color w:val="auto"/>
        </w:rPr>
        <w:t>not reviewed</w:t>
      </w:r>
      <w:r w:rsidR="002B2D06">
        <w:rPr>
          <w:rFonts w:ascii="Open Sans" w:hAnsi="Open Sans" w:cs="Open Sans"/>
          <w:color w:val="auto"/>
        </w:rPr>
        <w:t>, in line with organisational policy,</w:t>
      </w:r>
      <w:r w:rsidRPr="00372E0F">
        <w:rPr>
          <w:rFonts w:ascii="Open Sans" w:hAnsi="Open Sans" w:cs="Open Sans"/>
          <w:color w:val="auto"/>
        </w:rPr>
        <w:t xml:space="preserve"> </w:t>
      </w:r>
      <w:r w:rsidR="002B2D06">
        <w:rPr>
          <w:rFonts w:ascii="Open Sans" w:hAnsi="Open Sans" w:cs="Open Sans"/>
          <w:color w:val="auto"/>
        </w:rPr>
        <w:t xml:space="preserve">following </w:t>
      </w:r>
      <w:r w:rsidR="005E704B">
        <w:rPr>
          <w:rFonts w:ascii="Open Sans" w:hAnsi="Open Sans" w:cs="Open Sans"/>
          <w:color w:val="auto"/>
        </w:rPr>
        <w:t>a consumer’s</w:t>
      </w:r>
      <w:r w:rsidR="00D923A0">
        <w:rPr>
          <w:rFonts w:ascii="Open Sans" w:hAnsi="Open Sans" w:cs="Open Sans"/>
          <w:color w:val="auto"/>
        </w:rPr>
        <w:t xml:space="preserve"> (Consumer E)</w:t>
      </w:r>
      <w:r w:rsidR="005E704B">
        <w:rPr>
          <w:rFonts w:ascii="Open Sans" w:hAnsi="Open Sans" w:cs="Open Sans"/>
          <w:color w:val="auto"/>
        </w:rPr>
        <w:t xml:space="preserve"> </w:t>
      </w:r>
      <w:r w:rsidR="002B2D06">
        <w:rPr>
          <w:rFonts w:ascii="Open Sans" w:hAnsi="Open Sans" w:cs="Open Sans"/>
          <w:color w:val="auto"/>
        </w:rPr>
        <w:t>return from h</w:t>
      </w:r>
      <w:r w:rsidRPr="00372E0F">
        <w:rPr>
          <w:rFonts w:ascii="Open Sans" w:hAnsi="Open Sans" w:cs="Open Sans"/>
          <w:color w:val="auto"/>
        </w:rPr>
        <w:t xml:space="preserve">ospital </w:t>
      </w:r>
      <w:r w:rsidR="002B2D06">
        <w:rPr>
          <w:rFonts w:ascii="Open Sans" w:hAnsi="Open Sans" w:cs="Open Sans"/>
          <w:color w:val="auto"/>
        </w:rPr>
        <w:t>in July 2025. A</w:t>
      </w:r>
      <w:r w:rsidR="00D85497">
        <w:rPr>
          <w:rFonts w:ascii="Open Sans" w:hAnsi="Open Sans" w:cs="Open Sans"/>
          <w:color w:val="auto"/>
        </w:rPr>
        <w:t>nother</w:t>
      </w:r>
      <w:r w:rsidR="002B2D06">
        <w:rPr>
          <w:rFonts w:ascii="Open Sans" w:hAnsi="Open Sans" w:cs="Open Sans"/>
          <w:color w:val="auto"/>
        </w:rPr>
        <w:t xml:space="preserve"> </w:t>
      </w:r>
      <w:r w:rsidR="005E704B">
        <w:rPr>
          <w:rFonts w:ascii="Open Sans" w:hAnsi="Open Sans" w:cs="Open Sans"/>
          <w:color w:val="auto"/>
        </w:rPr>
        <w:t>consumer’s</w:t>
      </w:r>
      <w:r w:rsidR="00D923A0">
        <w:rPr>
          <w:rFonts w:ascii="Open Sans" w:hAnsi="Open Sans" w:cs="Open Sans"/>
          <w:color w:val="auto"/>
        </w:rPr>
        <w:t xml:space="preserve"> (Consumer</w:t>
      </w:r>
      <w:r w:rsidR="003D6132">
        <w:rPr>
          <w:rFonts w:ascii="Open Sans" w:hAnsi="Open Sans" w:cs="Open Sans"/>
          <w:color w:val="auto"/>
        </w:rPr>
        <w:t xml:space="preserve"> F)</w:t>
      </w:r>
      <w:r w:rsidR="005E704B">
        <w:rPr>
          <w:rFonts w:ascii="Open Sans" w:hAnsi="Open Sans" w:cs="Open Sans"/>
          <w:color w:val="auto"/>
        </w:rPr>
        <w:t xml:space="preserve"> </w:t>
      </w:r>
      <w:r w:rsidR="002B2D06">
        <w:rPr>
          <w:rFonts w:ascii="Open Sans" w:hAnsi="Open Sans" w:cs="Open Sans"/>
          <w:color w:val="auto"/>
        </w:rPr>
        <w:t xml:space="preserve">falls risk assessment was not updated </w:t>
      </w:r>
      <w:r w:rsidR="00FD3ADA">
        <w:rPr>
          <w:rFonts w:ascii="Open Sans" w:hAnsi="Open Sans" w:cs="Open Sans"/>
          <w:color w:val="auto"/>
        </w:rPr>
        <w:t xml:space="preserve">following a fall in July 2025, with the </w:t>
      </w:r>
      <w:r w:rsidRPr="00372E0F">
        <w:rPr>
          <w:rFonts w:ascii="Open Sans" w:hAnsi="Open Sans" w:cs="Open Sans"/>
          <w:color w:val="auto"/>
        </w:rPr>
        <w:t>last assessment completed in June 2025.</w:t>
      </w:r>
    </w:p>
    <w:p w14:paraId="6B283A29" w14:textId="2E2C532A" w:rsidR="00741A42" w:rsidRDefault="00EE383C" w:rsidP="00EE383C">
      <w:pPr>
        <w:pStyle w:val="NormalArial"/>
        <w:rPr>
          <w:rFonts w:ascii="Open Sans" w:hAnsi="Open Sans" w:cs="Open Sans"/>
          <w:color w:val="auto"/>
        </w:rPr>
      </w:pPr>
      <w:r w:rsidRPr="00234EBD">
        <w:rPr>
          <w:rFonts w:ascii="Open Sans" w:hAnsi="Open Sans" w:cs="Open Sans"/>
          <w:color w:val="auto"/>
        </w:rPr>
        <w:t xml:space="preserve">I have come to a different finding to that of the Assessment Team’s recommendation of not met and find this requirement compliant. While I acknowledge evidence brought forward by the Assessment Team, I do not consider these instances are indicative of systemic issues as they relate </w:t>
      </w:r>
      <w:r w:rsidR="00D175E7" w:rsidRPr="00234EBD">
        <w:rPr>
          <w:rFonts w:ascii="Open Sans" w:hAnsi="Open Sans" w:cs="Open Sans"/>
          <w:color w:val="auto"/>
        </w:rPr>
        <w:t>to regular</w:t>
      </w:r>
      <w:r w:rsidR="00722406" w:rsidRPr="00234EBD">
        <w:rPr>
          <w:rFonts w:ascii="Open Sans" w:hAnsi="Open Sans" w:cs="Open Sans"/>
          <w:color w:val="auto"/>
        </w:rPr>
        <w:t xml:space="preserve"> review </w:t>
      </w:r>
      <w:r w:rsidR="00234EBD">
        <w:rPr>
          <w:rFonts w:ascii="Open Sans" w:hAnsi="Open Sans" w:cs="Open Sans"/>
          <w:color w:val="auto"/>
        </w:rPr>
        <w:t xml:space="preserve">of </w:t>
      </w:r>
      <w:r w:rsidR="00722406" w:rsidRPr="00234EBD">
        <w:rPr>
          <w:rFonts w:ascii="Open Sans" w:hAnsi="Open Sans" w:cs="Open Sans"/>
          <w:color w:val="auto"/>
        </w:rPr>
        <w:t>care and services</w:t>
      </w:r>
      <w:r w:rsidR="00234EBD" w:rsidRPr="00234EBD">
        <w:rPr>
          <w:rFonts w:ascii="Open Sans" w:hAnsi="Open Sans" w:cs="Open Sans"/>
          <w:color w:val="auto"/>
        </w:rPr>
        <w:t xml:space="preserve"> in response to incidents and changes in consumers’ condition</w:t>
      </w:r>
      <w:r w:rsidRPr="00234EBD">
        <w:rPr>
          <w:rFonts w:ascii="Open Sans" w:hAnsi="Open Sans" w:cs="Open Sans"/>
          <w:color w:val="auto"/>
        </w:rPr>
        <w:t>.</w:t>
      </w:r>
      <w:r w:rsidR="00741A42">
        <w:rPr>
          <w:rFonts w:ascii="Open Sans" w:hAnsi="Open Sans" w:cs="Open Sans"/>
          <w:color w:val="auto"/>
        </w:rPr>
        <w:t xml:space="preserve"> In coming to my finding, I have placed weight on supporting documentation included in the provider</w:t>
      </w:r>
      <w:r w:rsidR="00542E9A">
        <w:rPr>
          <w:rFonts w:ascii="Open Sans" w:hAnsi="Open Sans" w:cs="Open Sans"/>
          <w:color w:val="auto"/>
        </w:rPr>
        <w:t xml:space="preserve">’s response which demonstrates for all consumers highlighted, appropriate actions have been taken in response to incidents and changes in condition. </w:t>
      </w:r>
      <w:r w:rsidRPr="00234EBD">
        <w:rPr>
          <w:rFonts w:ascii="Open Sans" w:hAnsi="Open Sans" w:cs="Open Sans"/>
          <w:color w:val="auto"/>
        </w:rPr>
        <w:t xml:space="preserve"> </w:t>
      </w:r>
    </w:p>
    <w:p w14:paraId="1A010929" w14:textId="4582DF3C" w:rsidR="00CE7CEA" w:rsidRPr="002C4448" w:rsidRDefault="00CE7CEA" w:rsidP="00CE7CEA">
      <w:pPr>
        <w:pStyle w:val="NormalArial"/>
        <w:rPr>
          <w:rFonts w:ascii="Open Sans" w:hAnsi="Open Sans" w:cs="Open Sans"/>
          <w:color w:val="auto"/>
        </w:rPr>
      </w:pPr>
      <w:r w:rsidRPr="002C4448">
        <w:rPr>
          <w:rFonts w:ascii="Open Sans" w:hAnsi="Open Sans" w:cs="Open Sans"/>
          <w:color w:val="auto"/>
        </w:rPr>
        <w:t xml:space="preserve">In relation to Consumer A, progress notes show a physiotherapy review occurred the day following the fall with no changes to mobility and transfers noted. Physiotherapy progress notes one day following return from hospital include a range of management strategies which, as </w:t>
      </w:r>
      <w:r w:rsidR="000B4196" w:rsidRPr="002C4448">
        <w:rPr>
          <w:rFonts w:ascii="Open Sans" w:hAnsi="Open Sans" w:cs="Open Sans"/>
          <w:color w:val="auto"/>
        </w:rPr>
        <w:t xml:space="preserve">acknowledged by </w:t>
      </w:r>
      <w:r w:rsidRPr="002C4448">
        <w:rPr>
          <w:rFonts w:ascii="Open Sans" w:hAnsi="Open Sans" w:cs="Open Sans"/>
          <w:color w:val="auto"/>
        </w:rPr>
        <w:t>the provider, were updated in the related assessment and care plan 5 days post review. While the provider asserts vital signs and oxygen levels were monitored, the response does not indicate the recommendations were documented in the care plan or the handover sheet to guide staff.</w:t>
      </w:r>
      <w:r w:rsidR="006A2681" w:rsidRPr="002C4448">
        <w:rPr>
          <w:rFonts w:ascii="Open Sans" w:hAnsi="Open Sans" w:cs="Open Sans"/>
          <w:color w:val="auto"/>
        </w:rPr>
        <w:t xml:space="preserve"> </w:t>
      </w:r>
      <w:r w:rsidR="006A2681" w:rsidRPr="0007536B">
        <w:rPr>
          <w:rFonts w:ascii="Open Sans" w:hAnsi="Open Sans" w:cs="Open Sans"/>
          <w:color w:val="auto"/>
        </w:rPr>
        <w:t>I have considered this oversight further in my finding for requirement</w:t>
      </w:r>
      <w:r w:rsidR="00D16601" w:rsidRPr="0007536B">
        <w:rPr>
          <w:rFonts w:ascii="Open Sans" w:hAnsi="Open Sans" w:cs="Open Sans"/>
          <w:color w:val="auto"/>
        </w:rPr>
        <w:t xml:space="preserve"> 3(3)(</w:t>
      </w:r>
      <w:r w:rsidR="0007536B" w:rsidRPr="0007536B">
        <w:rPr>
          <w:rFonts w:ascii="Open Sans" w:hAnsi="Open Sans" w:cs="Open Sans"/>
          <w:color w:val="auto"/>
        </w:rPr>
        <w:t>a</w:t>
      </w:r>
      <w:r w:rsidR="00D16601" w:rsidRPr="0007536B">
        <w:rPr>
          <w:rFonts w:ascii="Open Sans" w:hAnsi="Open Sans" w:cs="Open Sans"/>
          <w:color w:val="auto"/>
        </w:rPr>
        <w:t>).</w:t>
      </w:r>
      <w:r w:rsidRPr="0007536B">
        <w:rPr>
          <w:rFonts w:ascii="Open Sans" w:hAnsi="Open Sans" w:cs="Open Sans"/>
          <w:color w:val="auto"/>
        </w:rPr>
        <w:t xml:space="preserve"> </w:t>
      </w:r>
    </w:p>
    <w:p w14:paraId="190BDEB9" w14:textId="0A281716" w:rsidR="00CE7CEA" w:rsidRPr="002C4448" w:rsidRDefault="006068F8" w:rsidP="00CE7CEA">
      <w:pPr>
        <w:pStyle w:val="NormalArial"/>
        <w:rPr>
          <w:rFonts w:ascii="Open Sans" w:hAnsi="Open Sans" w:cs="Open Sans"/>
          <w:color w:val="auto"/>
        </w:rPr>
      </w:pPr>
      <w:r>
        <w:rPr>
          <w:rFonts w:ascii="Open Sans" w:hAnsi="Open Sans" w:cs="Open Sans"/>
          <w:color w:val="auto"/>
        </w:rPr>
        <w:t>D</w:t>
      </w:r>
      <w:r w:rsidR="00CE7CEA" w:rsidRPr="002C4448">
        <w:rPr>
          <w:rFonts w:ascii="Open Sans" w:hAnsi="Open Sans" w:cs="Open Sans"/>
          <w:color w:val="auto"/>
        </w:rPr>
        <w:t xml:space="preserve">ocumentation relating to </w:t>
      </w:r>
      <w:r w:rsidR="009D25D6">
        <w:rPr>
          <w:rFonts w:ascii="Open Sans" w:hAnsi="Open Sans" w:cs="Open Sans"/>
          <w:color w:val="auto"/>
        </w:rPr>
        <w:t>an</w:t>
      </w:r>
      <w:r w:rsidR="00CE7CEA" w:rsidRPr="002C4448">
        <w:rPr>
          <w:rFonts w:ascii="Open Sans" w:hAnsi="Open Sans" w:cs="Open Sans"/>
          <w:color w:val="auto"/>
        </w:rPr>
        <w:t xml:space="preserve"> incident involving Consumer B </w:t>
      </w:r>
      <w:r w:rsidR="0007536B">
        <w:rPr>
          <w:rFonts w:ascii="Open Sans" w:hAnsi="Open Sans" w:cs="Open Sans"/>
          <w:color w:val="auto"/>
        </w:rPr>
        <w:t xml:space="preserve">shows </w:t>
      </w:r>
      <w:r w:rsidR="00CE7CEA" w:rsidRPr="002C4448">
        <w:rPr>
          <w:rFonts w:ascii="Open Sans" w:hAnsi="Open Sans" w:cs="Open Sans"/>
          <w:color w:val="auto"/>
        </w:rPr>
        <w:t>appropriate actions were taken in response, including commen</w:t>
      </w:r>
      <w:r w:rsidR="00D16601" w:rsidRPr="002C4448">
        <w:rPr>
          <w:rFonts w:ascii="Open Sans" w:hAnsi="Open Sans" w:cs="Open Sans"/>
          <w:color w:val="auto"/>
        </w:rPr>
        <w:t xml:space="preserve">cement of </w:t>
      </w:r>
      <w:r w:rsidR="00CE7CEA" w:rsidRPr="002C4448">
        <w:rPr>
          <w:rFonts w:ascii="Open Sans" w:hAnsi="Open Sans" w:cs="Open Sans"/>
          <w:color w:val="auto"/>
        </w:rPr>
        <w:t xml:space="preserve">pain, sleep and behaviour assessments. The consumer was reviewed by the </w:t>
      </w:r>
      <w:r w:rsidR="00027270">
        <w:rPr>
          <w:rFonts w:ascii="Open Sans" w:hAnsi="Open Sans" w:cs="Open Sans"/>
          <w:color w:val="auto"/>
        </w:rPr>
        <w:t>GP</w:t>
      </w:r>
      <w:r w:rsidR="00CE7CEA" w:rsidRPr="002C4448">
        <w:rPr>
          <w:rFonts w:ascii="Open Sans" w:hAnsi="Open Sans" w:cs="Open Sans"/>
          <w:color w:val="auto"/>
        </w:rPr>
        <w:t xml:space="preserve"> 2 days post the incident. There is no indication through the documentation provided that the behaviour demonstrated is ongoing warranting inclusion in the BSP.  </w:t>
      </w:r>
    </w:p>
    <w:p w14:paraId="7ED15EE9" w14:textId="03EEF38C" w:rsidR="00D6475C" w:rsidRPr="002C4448" w:rsidRDefault="00D6475C" w:rsidP="00D6475C">
      <w:pPr>
        <w:pStyle w:val="NormalArial"/>
        <w:rPr>
          <w:rFonts w:ascii="Open Sans" w:hAnsi="Open Sans" w:cs="Open Sans"/>
          <w:color w:val="auto"/>
        </w:rPr>
      </w:pPr>
      <w:r w:rsidRPr="002C4448">
        <w:rPr>
          <w:rFonts w:ascii="Open Sans" w:hAnsi="Open Sans" w:cs="Open Sans"/>
          <w:color w:val="auto"/>
        </w:rPr>
        <w:t>The provider states, and documentation provided for Consumer C confirms, there was no directive recommending a speech pathology review noted in hospital transfer documentation. The discharge summary does note that a speech pathology review occurred during the consumer’s hospital stay, and outlines recommendations. Additionally for Consumer D, the discharge quality review and progress notes outlining a conversation with staff from the health service do not include recommendations for a dietitian review. Progress notes do show the consumer was reviewed by the GP the day following the incident, with a speech pathology review occurring 6 days post the incident with no changes implemented. The provider acknowledge</w:t>
      </w:r>
      <w:r w:rsidR="00E5352D">
        <w:rPr>
          <w:rFonts w:ascii="Open Sans" w:hAnsi="Open Sans" w:cs="Open Sans"/>
          <w:color w:val="auto"/>
        </w:rPr>
        <w:t>s</w:t>
      </w:r>
      <w:r w:rsidRPr="002C4448">
        <w:rPr>
          <w:rFonts w:ascii="Open Sans" w:hAnsi="Open Sans" w:cs="Open Sans"/>
          <w:color w:val="auto"/>
        </w:rPr>
        <w:t xml:space="preserve"> skin and mobility </w:t>
      </w:r>
      <w:r w:rsidRPr="002C4448">
        <w:rPr>
          <w:rFonts w:ascii="Open Sans" w:hAnsi="Open Sans" w:cs="Open Sans"/>
          <w:color w:val="auto"/>
        </w:rPr>
        <w:lastRenderedPageBreak/>
        <w:t xml:space="preserve">assessments were not updated following </w:t>
      </w:r>
      <w:r w:rsidR="002C4448" w:rsidRPr="002C4448">
        <w:rPr>
          <w:rFonts w:ascii="Open Sans" w:hAnsi="Open Sans" w:cs="Open Sans"/>
          <w:color w:val="auto"/>
        </w:rPr>
        <w:t>Consumer E’s</w:t>
      </w:r>
      <w:r w:rsidRPr="002C4448">
        <w:rPr>
          <w:rFonts w:ascii="Open Sans" w:hAnsi="Open Sans" w:cs="Open Sans"/>
          <w:color w:val="auto"/>
        </w:rPr>
        <w:t xml:space="preserve"> return from hospital in July 2025. Progress notes included in the response show registered staff conducted a skin assessment</w:t>
      </w:r>
      <w:r w:rsidR="00E5352D">
        <w:rPr>
          <w:rFonts w:ascii="Open Sans" w:hAnsi="Open Sans" w:cs="Open Sans"/>
          <w:color w:val="auto"/>
        </w:rPr>
        <w:t xml:space="preserve"> on the consumer’s return to the service</w:t>
      </w:r>
      <w:r w:rsidRPr="002C4448">
        <w:rPr>
          <w:rFonts w:ascii="Open Sans" w:hAnsi="Open Sans" w:cs="Open Sans"/>
          <w:color w:val="auto"/>
        </w:rPr>
        <w:t xml:space="preserve"> with skin integrity issues identified. No changes to mobility are noted. The provider states Consumer F’s falls risk assessment was updated the day following the fall. </w:t>
      </w:r>
    </w:p>
    <w:p w14:paraId="1E0FE728" w14:textId="4AED817B" w:rsidR="00E518AF" w:rsidRPr="00792F43" w:rsidRDefault="0017119E" w:rsidP="00D6475C">
      <w:pPr>
        <w:pStyle w:val="NormalArial"/>
        <w:rPr>
          <w:rFonts w:ascii="Open Sans" w:hAnsi="Open Sans" w:cs="Open Sans"/>
          <w:i/>
          <w:iCs/>
          <w:color w:val="auto"/>
        </w:rPr>
      </w:pPr>
      <w:r w:rsidRPr="00792F43">
        <w:rPr>
          <w:rFonts w:ascii="Open Sans" w:hAnsi="Open Sans" w:cs="Open Sans"/>
          <w:color w:val="auto"/>
        </w:rPr>
        <w:t>I have also considered the service</w:t>
      </w:r>
      <w:r w:rsidR="002D058D" w:rsidRPr="00792F43">
        <w:rPr>
          <w:rFonts w:ascii="Open Sans" w:hAnsi="Open Sans" w:cs="Open Sans"/>
          <w:color w:val="auto"/>
        </w:rPr>
        <w:t xml:space="preserve"> </w:t>
      </w:r>
      <w:r w:rsidR="00253DDF" w:rsidRPr="00792F43">
        <w:rPr>
          <w:rFonts w:ascii="Open Sans" w:hAnsi="Open Sans" w:cs="Open Sans"/>
          <w:color w:val="auto"/>
        </w:rPr>
        <w:t xml:space="preserve">is proactively monitoring and evaluating hospital transfer processes through </w:t>
      </w:r>
      <w:r w:rsidR="002D058D" w:rsidRPr="00792F43">
        <w:rPr>
          <w:rFonts w:ascii="Open Sans" w:hAnsi="Open Sans" w:cs="Open Sans"/>
          <w:color w:val="auto"/>
        </w:rPr>
        <w:t>monthly quality care review meetings and hospital transfer audi</w:t>
      </w:r>
      <w:r w:rsidR="00253DDF" w:rsidRPr="00792F43">
        <w:rPr>
          <w:rFonts w:ascii="Open Sans" w:hAnsi="Open Sans" w:cs="Open Sans"/>
          <w:color w:val="auto"/>
        </w:rPr>
        <w:t>ts</w:t>
      </w:r>
      <w:r w:rsidR="00792F43" w:rsidRPr="00792F43">
        <w:rPr>
          <w:rFonts w:ascii="Open Sans" w:hAnsi="Open Sans" w:cs="Open Sans"/>
          <w:color w:val="auto"/>
        </w:rPr>
        <w:t>.</w:t>
      </w:r>
      <w:r w:rsidR="00253DDF" w:rsidRPr="00792F43">
        <w:rPr>
          <w:rFonts w:ascii="Open Sans" w:hAnsi="Open Sans" w:cs="Open Sans"/>
          <w:color w:val="auto"/>
        </w:rPr>
        <w:t xml:space="preserve"> </w:t>
      </w:r>
    </w:p>
    <w:p w14:paraId="490AE821" w14:textId="3F176F55" w:rsidR="00E518AF" w:rsidRDefault="00E518AF" w:rsidP="00E518AF">
      <w:pPr>
        <w:pStyle w:val="NormalArial"/>
        <w:rPr>
          <w:rFonts w:ascii="Open Sans" w:hAnsi="Open Sans" w:cs="Open Sans"/>
          <w:color w:val="auto"/>
        </w:rPr>
      </w:pPr>
      <w:r>
        <w:rPr>
          <w:rFonts w:ascii="Open Sans" w:hAnsi="Open Sans" w:cs="Open Sans"/>
          <w:color w:val="auto"/>
        </w:rPr>
        <w:t xml:space="preserve">For the reasons detailed above, I find requirement 2(3)(e) compliant. </w:t>
      </w:r>
    </w:p>
    <w:p w14:paraId="6BEB9DA0" w14:textId="77777777" w:rsidR="00E518AF" w:rsidRDefault="00E518AF" w:rsidP="00BC0C3B">
      <w:pPr>
        <w:rPr>
          <w:rFonts w:ascii="Open Sans" w:hAnsi="Open Sans" w:cs="Open Sans"/>
        </w:rPr>
      </w:pPr>
    </w:p>
    <w:p w14:paraId="52A99D92" w14:textId="6323B535" w:rsidR="00305D0B" w:rsidRPr="001E694D" w:rsidRDefault="00305D0B" w:rsidP="00BC0C3B">
      <w:pPr>
        <w:rPr>
          <w:rFonts w:ascii="Open Sans" w:hAnsi="Open Sans" w:cs="Open Sans"/>
        </w:rPr>
      </w:pPr>
      <w:r w:rsidRPr="001E694D">
        <w:rPr>
          <w:rFonts w:ascii="Open Sans" w:hAnsi="Open Sans" w:cs="Open Sans"/>
        </w:rPr>
        <w:br w:type="page"/>
      </w:r>
    </w:p>
    <w:p w14:paraId="1E196AD1" w14:textId="77777777" w:rsidR="004A4D04" w:rsidRPr="001E694D" w:rsidRDefault="004A4D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311"/>
      </w:tblGrid>
      <w:tr w:rsidR="00461C3D" w14:paraId="7B4CC4C8" w14:textId="77777777" w:rsidTr="00373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0239723" w14:textId="77777777" w:rsidR="004A4D04" w:rsidRPr="001E694D" w:rsidRDefault="004A4D0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311" w:type="dxa"/>
            <w:shd w:val="clear" w:color="auto" w:fill="781E77"/>
          </w:tcPr>
          <w:p w14:paraId="0069F0F0" w14:textId="77777777" w:rsidR="004A4D04" w:rsidRPr="001E694D" w:rsidRDefault="004A4D0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1C3D" w14:paraId="6C8F4395" w14:textId="77777777" w:rsidTr="003738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62332"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12104AB" w14:textId="77777777" w:rsidR="004A4D04" w:rsidRPr="001E694D" w:rsidRDefault="004A4D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ABCBCE2" w14:textId="77777777" w:rsidR="004A4D04" w:rsidRPr="001E694D" w:rsidRDefault="004A4D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A6FCBF" w14:textId="77777777" w:rsidR="004A4D04" w:rsidRPr="001E694D" w:rsidRDefault="004A4D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23B12A4" w14:textId="77777777" w:rsidR="004A4D04" w:rsidRPr="001E694D" w:rsidRDefault="004A4D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311" w:type="dxa"/>
            <w:shd w:val="clear" w:color="auto" w:fill="auto"/>
          </w:tcPr>
          <w:p w14:paraId="4F46DCBE" w14:textId="2F88FB68" w:rsidR="004A4D04" w:rsidRPr="001E694D" w:rsidRDefault="007D7F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813090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02236">
                  <w:rPr>
                    <w:rFonts w:ascii="Open Sans" w:hAnsi="Open Sans" w:cs="Open Sans"/>
                    <w:color w:val="auto"/>
                  </w:rPr>
                  <w:t>Not Compliant</w:t>
                </w:r>
              </w:sdtContent>
            </w:sdt>
          </w:p>
        </w:tc>
      </w:tr>
      <w:tr w:rsidR="00461C3D" w14:paraId="758CF642" w14:textId="77777777" w:rsidTr="003738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208DCF"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2EED2095" w14:textId="77777777" w:rsidR="004A4D04" w:rsidRPr="001E694D" w:rsidRDefault="004A4D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311" w:type="dxa"/>
            <w:shd w:val="clear" w:color="auto" w:fill="auto"/>
          </w:tcPr>
          <w:p w14:paraId="5A07BA8F" w14:textId="77777777" w:rsidR="004A4D04" w:rsidRPr="001E694D" w:rsidRDefault="007D7F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15915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A4D04" w:rsidRPr="001E694D">
                  <w:rPr>
                    <w:rFonts w:ascii="Open Sans" w:hAnsi="Open Sans" w:cs="Open Sans"/>
                  </w:rPr>
                  <w:t>Compliant</w:t>
                </w:r>
              </w:sdtContent>
            </w:sdt>
          </w:p>
        </w:tc>
      </w:tr>
    </w:tbl>
    <w:p w14:paraId="48EC2B50" w14:textId="77777777" w:rsidR="004A4D04" w:rsidRPr="003E162B" w:rsidRDefault="004A4D04" w:rsidP="00D87E7C">
      <w:pPr>
        <w:pStyle w:val="Heading20"/>
        <w:rPr>
          <w:rFonts w:ascii="Open Sans" w:hAnsi="Open Sans" w:cs="Open Sans"/>
          <w:color w:val="781E77"/>
        </w:rPr>
      </w:pPr>
      <w:r w:rsidRPr="003E162B">
        <w:rPr>
          <w:rFonts w:ascii="Open Sans" w:hAnsi="Open Sans" w:cs="Open Sans"/>
          <w:color w:val="781E77"/>
        </w:rPr>
        <w:t>Findings</w:t>
      </w:r>
    </w:p>
    <w:p w14:paraId="1219E9FE" w14:textId="7B6365C7" w:rsidR="00876539" w:rsidRPr="0098615E" w:rsidRDefault="00876539" w:rsidP="00876539">
      <w:pPr>
        <w:pStyle w:val="NormalArial"/>
        <w:rPr>
          <w:rFonts w:ascii="Open Sans" w:hAnsi="Open Sans" w:cs="Open Sans"/>
          <w:color w:val="auto"/>
        </w:rPr>
      </w:pPr>
      <w:r w:rsidRPr="0098615E">
        <w:rPr>
          <w:rFonts w:ascii="Open Sans" w:hAnsi="Open Sans" w:cs="Open Sans"/>
          <w:color w:val="auto"/>
        </w:rPr>
        <w:t xml:space="preserve">The Quality Standard is non-compliant as </w:t>
      </w:r>
      <w:r w:rsidR="0014743B" w:rsidRPr="0098615E">
        <w:rPr>
          <w:rFonts w:ascii="Open Sans" w:hAnsi="Open Sans" w:cs="Open Sans"/>
          <w:color w:val="auto"/>
        </w:rPr>
        <w:t>one of the</w:t>
      </w:r>
      <w:r w:rsidRPr="0098615E">
        <w:rPr>
          <w:rFonts w:ascii="Open Sans" w:hAnsi="Open Sans" w:cs="Open Sans"/>
          <w:color w:val="auto"/>
        </w:rPr>
        <w:t xml:space="preserve"> 2 requirements assessed </w:t>
      </w:r>
      <w:r w:rsidR="0014743B" w:rsidRPr="0098615E">
        <w:rPr>
          <w:rFonts w:ascii="Open Sans" w:hAnsi="Open Sans" w:cs="Open Sans"/>
          <w:color w:val="auto"/>
        </w:rPr>
        <w:t>is</w:t>
      </w:r>
      <w:r w:rsidRPr="0098615E">
        <w:rPr>
          <w:rFonts w:ascii="Open Sans" w:hAnsi="Open Sans" w:cs="Open Sans"/>
          <w:color w:val="auto"/>
        </w:rPr>
        <w:t xml:space="preserve"> non-compliant. </w:t>
      </w:r>
    </w:p>
    <w:p w14:paraId="0F493DD8" w14:textId="2FD38A0A" w:rsidR="00E11552" w:rsidRDefault="00876539" w:rsidP="00305D0B">
      <w:pPr>
        <w:rPr>
          <w:rFonts w:ascii="Open Sans" w:hAnsi="Open Sans" w:cs="Open Sans"/>
          <w:color w:val="auto"/>
        </w:rPr>
      </w:pPr>
      <w:r w:rsidRPr="00333C50">
        <w:rPr>
          <w:rFonts w:ascii="Open Sans" w:hAnsi="Open Sans" w:cs="Open Sans"/>
          <w:b/>
          <w:bCs/>
          <w:color w:val="auto"/>
        </w:rPr>
        <w:t xml:space="preserve">Requirement </w:t>
      </w:r>
      <w:r>
        <w:rPr>
          <w:rFonts w:ascii="Open Sans" w:hAnsi="Open Sans" w:cs="Open Sans"/>
          <w:b/>
          <w:bCs/>
          <w:color w:val="auto"/>
        </w:rPr>
        <w:t>3</w:t>
      </w:r>
      <w:r w:rsidRPr="00333C50">
        <w:rPr>
          <w:rFonts w:ascii="Open Sans" w:hAnsi="Open Sans" w:cs="Open Sans"/>
          <w:b/>
          <w:bCs/>
          <w:color w:val="auto"/>
        </w:rPr>
        <w:t>(3)(</w:t>
      </w:r>
      <w:r>
        <w:rPr>
          <w:rFonts w:ascii="Open Sans" w:hAnsi="Open Sans" w:cs="Open Sans"/>
          <w:b/>
          <w:bCs/>
          <w:color w:val="auto"/>
        </w:rPr>
        <w:t>a</w:t>
      </w:r>
      <w:r w:rsidRPr="00333C50">
        <w:rPr>
          <w:rFonts w:ascii="Open Sans" w:hAnsi="Open Sans" w:cs="Open Sans"/>
          <w:b/>
          <w:bCs/>
          <w:color w:val="auto"/>
        </w:rPr>
        <w:t>)</w:t>
      </w:r>
      <w:r w:rsidRPr="00797984">
        <w:rPr>
          <w:rFonts w:ascii="Open Sans" w:hAnsi="Open Sans" w:cs="Open Sans"/>
          <w:color w:val="auto"/>
        </w:rPr>
        <w:t xml:space="preserve"> was found non-compliant following </w:t>
      </w:r>
      <w:r>
        <w:rPr>
          <w:rFonts w:ascii="Open Sans" w:hAnsi="Open Sans" w:cs="Open Sans"/>
          <w:color w:val="auto"/>
        </w:rPr>
        <w:t>a site audit</w:t>
      </w:r>
      <w:r w:rsidRPr="00797984">
        <w:rPr>
          <w:rFonts w:ascii="Open Sans" w:hAnsi="Open Sans" w:cs="Open Sans"/>
          <w:color w:val="auto"/>
        </w:rPr>
        <w:t xml:space="preserve"> </w:t>
      </w:r>
      <w:r>
        <w:rPr>
          <w:rFonts w:ascii="Open Sans" w:hAnsi="Open Sans" w:cs="Open Sans"/>
          <w:color w:val="auto"/>
        </w:rPr>
        <w:t>conducted</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Pr>
          <w:rFonts w:ascii="Open Sans" w:hAnsi="Open Sans" w:cs="Open Sans"/>
        </w:rPr>
        <w:t>3 April 2025</w:t>
      </w:r>
      <w:r w:rsidR="00D175E7">
        <w:rPr>
          <w:rFonts w:ascii="Open Sans" w:hAnsi="Open Sans" w:cs="Open Sans"/>
        </w:rPr>
        <w:t xml:space="preserve">, </w:t>
      </w:r>
      <w:r w:rsidR="00377BEA">
        <w:rPr>
          <w:rFonts w:ascii="Open Sans" w:hAnsi="Open Sans" w:cs="Open Sans"/>
        </w:rPr>
        <w:t xml:space="preserve"> </w:t>
      </w:r>
      <w:r w:rsidRPr="00B80511">
        <w:rPr>
          <w:rFonts w:ascii="Open Sans" w:hAnsi="Open Sans" w:cs="Open Sans"/>
          <w:color w:val="auto"/>
        </w:rPr>
        <w:t xml:space="preserve"> finding </w:t>
      </w:r>
      <w:r w:rsidR="00305D0B" w:rsidRPr="00EC3C31">
        <w:rPr>
          <w:rFonts w:ascii="Open Sans" w:hAnsi="Open Sans" w:cs="Open Sans"/>
        </w:rPr>
        <w:t xml:space="preserve">each consumer </w:t>
      </w:r>
      <w:r w:rsidR="00305D0B">
        <w:rPr>
          <w:rFonts w:ascii="Open Sans" w:hAnsi="Open Sans" w:cs="Open Sans"/>
        </w:rPr>
        <w:t>did not receive</w:t>
      </w:r>
      <w:r w:rsidR="00305D0B" w:rsidRPr="00EC3C31">
        <w:rPr>
          <w:rFonts w:ascii="Open Sans" w:hAnsi="Open Sans" w:cs="Open Sans"/>
        </w:rPr>
        <w:t xml:space="preserve"> safe and effective clinical care that </w:t>
      </w:r>
      <w:r w:rsidR="00305D0B">
        <w:rPr>
          <w:rFonts w:ascii="Open Sans" w:hAnsi="Open Sans" w:cs="Open Sans"/>
        </w:rPr>
        <w:t>was</w:t>
      </w:r>
      <w:r w:rsidR="00305D0B" w:rsidRPr="00EC3C31">
        <w:rPr>
          <w:rFonts w:ascii="Open Sans" w:hAnsi="Open Sans" w:cs="Open Sans"/>
        </w:rPr>
        <w:t xml:space="preserve"> best practice</w:t>
      </w:r>
      <w:r w:rsidR="00305D0B">
        <w:rPr>
          <w:rFonts w:ascii="Open Sans" w:hAnsi="Open Sans" w:cs="Open Sans"/>
        </w:rPr>
        <w:t xml:space="preserve">, tailored and optimised </w:t>
      </w:r>
      <w:r w:rsidR="00305D0B" w:rsidRPr="00EC3C31">
        <w:rPr>
          <w:rFonts w:ascii="Open Sans" w:hAnsi="Open Sans" w:cs="Open Sans"/>
        </w:rPr>
        <w:t xml:space="preserve">their </w:t>
      </w:r>
      <w:r w:rsidR="00305D0B" w:rsidRPr="001E694D">
        <w:rPr>
          <w:rFonts w:ascii="Open Sans" w:hAnsi="Open Sans" w:cs="Open Sans"/>
        </w:rPr>
        <w:t>health and wellbeing</w:t>
      </w:r>
      <w:r w:rsidR="00305D0B">
        <w:rPr>
          <w:rFonts w:ascii="Open Sans" w:hAnsi="Open Sans" w:cs="Open Sans"/>
        </w:rPr>
        <w:t>, specifically in relation to restrictive practices, pressure injury prevention and pain</w:t>
      </w:r>
      <w:r w:rsidRPr="00797984">
        <w:rPr>
          <w:rFonts w:ascii="Open Sans" w:hAnsi="Open Sans" w:cs="Open Sans"/>
          <w:color w:val="auto"/>
        </w:rPr>
        <w:t>.</w:t>
      </w:r>
      <w:r w:rsidR="00E11552" w:rsidRPr="00E11552">
        <w:rPr>
          <w:rFonts w:ascii="Open Sans" w:hAnsi="Open Sans" w:cs="Open Sans"/>
          <w:color w:val="auto"/>
        </w:rPr>
        <w:t xml:space="preserve"> </w:t>
      </w:r>
      <w:r w:rsidR="00247D62">
        <w:rPr>
          <w:rFonts w:ascii="Open Sans" w:hAnsi="Open Sans" w:cs="Open Sans"/>
          <w:color w:val="auto"/>
        </w:rPr>
        <w:t xml:space="preserve">The Assessment Team’s report did not include </w:t>
      </w:r>
      <w:r w:rsidR="00E11552" w:rsidRPr="005B44C6">
        <w:rPr>
          <w:rFonts w:ascii="Open Sans" w:hAnsi="Open Sans" w:cs="Open Sans"/>
          <w:color w:val="auto"/>
        </w:rPr>
        <w:t>improvement actions</w:t>
      </w:r>
      <w:r w:rsidR="003366BF">
        <w:rPr>
          <w:rFonts w:ascii="Open Sans" w:hAnsi="Open Sans" w:cs="Open Sans"/>
          <w:color w:val="auto"/>
        </w:rPr>
        <w:t xml:space="preserve"> the provider has implemented in response to the non-compliance</w:t>
      </w:r>
      <w:r w:rsidR="001F5227">
        <w:rPr>
          <w:rFonts w:ascii="Open Sans" w:hAnsi="Open Sans" w:cs="Open Sans"/>
          <w:color w:val="auto"/>
        </w:rPr>
        <w:t xml:space="preserve"> specific to this requirement</w:t>
      </w:r>
      <w:r w:rsidR="003366BF">
        <w:rPr>
          <w:rFonts w:ascii="Open Sans" w:hAnsi="Open Sans" w:cs="Open Sans"/>
          <w:color w:val="auto"/>
        </w:rPr>
        <w:t xml:space="preserve">. </w:t>
      </w:r>
    </w:p>
    <w:p w14:paraId="01E4772E" w14:textId="0DE321FE" w:rsidR="000379BA" w:rsidRPr="00EA6A08" w:rsidRDefault="00E11552" w:rsidP="00EA6A08">
      <w:pPr>
        <w:rPr>
          <w:rFonts w:ascii="Open Sans" w:hAnsi="Open Sans" w:cs="Open Sans"/>
          <w:color w:val="auto"/>
        </w:rPr>
      </w:pPr>
      <w:r w:rsidRPr="00EA6A08">
        <w:rPr>
          <w:rFonts w:ascii="Open Sans" w:hAnsi="Open Sans" w:cs="Open Sans"/>
          <w:color w:val="auto"/>
        </w:rPr>
        <w:t xml:space="preserve">At the assessment contact in July 2025, the Assessment Team found </w:t>
      </w:r>
      <w:r w:rsidR="00EA6A08" w:rsidRPr="00EA6A08">
        <w:rPr>
          <w:rFonts w:ascii="Open Sans" w:hAnsi="Open Sans" w:cs="Open Sans"/>
          <w:color w:val="auto"/>
        </w:rPr>
        <w:t xml:space="preserve">personal and clinical care that is best practice, tailored and optimises consumers’ health and wellbeing, particularly in relation to restrictive practices and wound management, is not consistently provided. </w:t>
      </w:r>
      <w:r w:rsidRPr="00EA6A08">
        <w:rPr>
          <w:rFonts w:ascii="Open Sans" w:hAnsi="Open Sans" w:cs="Open Sans"/>
          <w:color w:val="auto"/>
        </w:rPr>
        <w:t xml:space="preserve">The Assessment Team recommended requirement 3(3)(a) not met and provided the following information gathered through interviews and document review. </w:t>
      </w:r>
    </w:p>
    <w:p w14:paraId="425A1168" w14:textId="25F792C0" w:rsidR="005310B2" w:rsidRDefault="00263467" w:rsidP="008127F5">
      <w:pPr>
        <w:rPr>
          <w:rFonts w:ascii="Open Sans" w:hAnsi="Open Sans" w:cs="Open Sans"/>
          <w:color w:val="auto"/>
        </w:rPr>
      </w:pPr>
      <w:r w:rsidRPr="00A57E81">
        <w:rPr>
          <w:rFonts w:ascii="Open Sans" w:hAnsi="Open Sans" w:cs="Open Sans"/>
          <w:color w:val="auto"/>
        </w:rPr>
        <w:t xml:space="preserve">BSPs </w:t>
      </w:r>
      <w:r w:rsidR="0013761D" w:rsidRPr="00A57E81">
        <w:rPr>
          <w:rFonts w:ascii="Open Sans" w:hAnsi="Open Sans" w:cs="Open Sans"/>
          <w:color w:val="auto"/>
        </w:rPr>
        <w:t xml:space="preserve">do not include </w:t>
      </w:r>
      <w:r w:rsidR="002D4AB0">
        <w:rPr>
          <w:rFonts w:ascii="Open Sans" w:hAnsi="Open Sans" w:cs="Open Sans"/>
          <w:color w:val="auto"/>
        </w:rPr>
        <w:t xml:space="preserve">a </w:t>
      </w:r>
      <w:r w:rsidR="0013761D" w:rsidRPr="00A57E81">
        <w:rPr>
          <w:rFonts w:ascii="Open Sans" w:hAnsi="Open Sans" w:cs="Open Sans"/>
          <w:color w:val="auto"/>
        </w:rPr>
        <w:t>l</w:t>
      </w:r>
      <w:r w:rsidRPr="00A57E81">
        <w:rPr>
          <w:rFonts w:ascii="Open Sans" w:hAnsi="Open Sans" w:cs="Open Sans"/>
          <w:color w:val="auto"/>
        </w:rPr>
        <w:t xml:space="preserve">ife story </w:t>
      </w:r>
      <w:r w:rsidR="00614076" w:rsidRPr="00A57E81">
        <w:rPr>
          <w:rFonts w:ascii="Open Sans" w:hAnsi="Open Sans" w:cs="Open Sans"/>
          <w:color w:val="auto"/>
        </w:rPr>
        <w:t>and lack</w:t>
      </w:r>
      <w:r w:rsidRPr="00A57E81">
        <w:rPr>
          <w:rFonts w:ascii="Open Sans" w:hAnsi="Open Sans" w:cs="Open Sans"/>
          <w:color w:val="auto"/>
        </w:rPr>
        <w:t xml:space="preserve"> personal specific information</w:t>
      </w:r>
      <w:r w:rsidR="00522260">
        <w:rPr>
          <w:rFonts w:ascii="Open Sans" w:hAnsi="Open Sans" w:cs="Open Sans"/>
          <w:color w:val="auto"/>
        </w:rPr>
        <w:t xml:space="preserve"> and </w:t>
      </w:r>
      <w:r w:rsidRPr="00A57E81">
        <w:rPr>
          <w:rFonts w:ascii="Open Sans" w:hAnsi="Open Sans" w:cs="Open Sans"/>
          <w:color w:val="auto"/>
        </w:rPr>
        <w:t xml:space="preserve">strategies. BSPs </w:t>
      </w:r>
      <w:r w:rsidR="006C023B" w:rsidRPr="00A57E81">
        <w:rPr>
          <w:rFonts w:ascii="Open Sans" w:hAnsi="Open Sans" w:cs="Open Sans"/>
          <w:color w:val="auto"/>
        </w:rPr>
        <w:t xml:space="preserve">highlighted for 2 </w:t>
      </w:r>
      <w:r w:rsidR="00D175E7" w:rsidRPr="00A57E81">
        <w:rPr>
          <w:rFonts w:ascii="Open Sans" w:hAnsi="Open Sans" w:cs="Open Sans"/>
          <w:color w:val="auto"/>
        </w:rPr>
        <w:t>consumers</w:t>
      </w:r>
      <w:r w:rsidR="006C023B" w:rsidRPr="00A57E81">
        <w:rPr>
          <w:rFonts w:ascii="Open Sans" w:hAnsi="Open Sans" w:cs="Open Sans"/>
          <w:color w:val="auto"/>
        </w:rPr>
        <w:t xml:space="preserve"> do not include</w:t>
      </w:r>
      <w:r w:rsidRPr="00A57E81">
        <w:rPr>
          <w:rFonts w:ascii="Open Sans" w:hAnsi="Open Sans" w:cs="Open Sans"/>
          <w:color w:val="auto"/>
        </w:rPr>
        <w:t xml:space="preserve"> individual preferences, likes and interests, activities or music that could be used to support </w:t>
      </w:r>
      <w:r w:rsidR="00C3056C" w:rsidRPr="00A57E81">
        <w:rPr>
          <w:rFonts w:ascii="Open Sans" w:hAnsi="Open Sans" w:cs="Open Sans"/>
          <w:color w:val="auto"/>
        </w:rPr>
        <w:t xml:space="preserve">management </w:t>
      </w:r>
      <w:r w:rsidR="00B60FD5" w:rsidRPr="00A57E81">
        <w:rPr>
          <w:rFonts w:ascii="Open Sans" w:hAnsi="Open Sans" w:cs="Open Sans"/>
          <w:color w:val="auto"/>
        </w:rPr>
        <w:t>of behaviours</w:t>
      </w:r>
      <w:r w:rsidRPr="00A57E81">
        <w:rPr>
          <w:rFonts w:ascii="Open Sans" w:hAnsi="Open Sans" w:cs="Open Sans"/>
          <w:color w:val="auto"/>
        </w:rPr>
        <w:t xml:space="preserve">. </w:t>
      </w:r>
      <w:r w:rsidR="00C3056C" w:rsidRPr="00A57E81">
        <w:rPr>
          <w:rFonts w:ascii="Open Sans" w:hAnsi="Open Sans" w:cs="Open Sans"/>
          <w:color w:val="auto"/>
        </w:rPr>
        <w:t>While one staff member described</w:t>
      </w:r>
      <w:r w:rsidRPr="00A57E81">
        <w:rPr>
          <w:rFonts w:ascii="Open Sans" w:hAnsi="Open Sans" w:cs="Open Sans"/>
          <w:color w:val="auto"/>
        </w:rPr>
        <w:t xml:space="preserve"> specific information regarding consumer preferences, likes and dislikes</w:t>
      </w:r>
      <w:r w:rsidR="00C3056C" w:rsidRPr="00A57E81">
        <w:rPr>
          <w:rFonts w:ascii="Open Sans" w:hAnsi="Open Sans" w:cs="Open Sans"/>
          <w:color w:val="auto"/>
        </w:rPr>
        <w:t xml:space="preserve">, other staff could not describe this information, nor </w:t>
      </w:r>
      <w:r w:rsidRPr="00A57E81">
        <w:rPr>
          <w:rFonts w:ascii="Open Sans" w:hAnsi="Open Sans" w:cs="Open Sans"/>
          <w:color w:val="auto"/>
        </w:rPr>
        <w:t>strategies they would implement for consumers experiencing changed behaviours.</w:t>
      </w:r>
    </w:p>
    <w:p w14:paraId="613B2F50" w14:textId="2DD8F9C0" w:rsidR="00263467" w:rsidRDefault="00BF0BDA" w:rsidP="008127F5">
      <w:pPr>
        <w:rPr>
          <w:rFonts w:ascii="Open Sans" w:hAnsi="Open Sans" w:cs="Open Sans"/>
          <w:color w:val="auto"/>
        </w:rPr>
      </w:pPr>
      <w:r w:rsidRPr="008127F5">
        <w:rPr>
          <w:rFonts w:ascii="Open Sans" w:hAnsi="Open Sans" w:cs="Open Sans"/>
          <w:color w:val="auto"/>
        </w:rPr>
        <w:t>Forty-five</w:t>
      </w:r>
      <w:r w:rsidR="00263467" w:rsidRPr="008127F5">
        <w:rPr>
          <w:rFonts w:ascii="Open Sans" w:hAnsi="Open Sans" w:cs="Open Sans"/>
          <w:color w:val="auto"/>
        </w:rPr>
        <w:t xml:space="preserve"> consumers </w:t>
      </w:r>
      <w:r w:rsidRPr="008127F5">
        <w:rPr>
          <w:rFonts w:ascii="Open Sans" w:hAnsi="Open Sans" w:cs="Open Sans"/>
          <w:color w:val="auto"/>
        </w:rPr>
        <w:t xml:space="preserve">are </w:t>
      </w:r>
      <w:r w:rsidR="00263467" w:rsidRPr="008127F5">
        <w:rPr>
          <w:rFonts w:ascii="Open Sans" w:hAnsi="Open Sans" w:cs="Open Sans"/>
          <w:color w:val="auto"/>
        </w:rPr>
        <w:t>considered to be mechanically restrained</w:t>
      </w:r>
      <w:r w:rsidR="000409B8">
        <w:rPr>
          <w:rFonts w:ascii="Open Sans" w:hAnsi="Open Sans" w:cs="Open Sans"/>
          <w:color w:val="auto"/>
        </w:rPr>
        <w:t>, including 30 consumers</w:t>
      </w:r>
      <w:r w:rsidR="003064F9">
        <w:rPr>
          <w:rFonts w:ascii="Open Sans" w:hAnsi="Open Sans" w:cs="Open Sans"/>
          <w:color w:val="auto"/>
        </w:rPr>
        <w:t xml:space="preserve"> through use of </w:t>
      </w:r>
      <w:r w:rsidRPr="008127F5">
        <w:rPr>
          <w:rFonts w:ascii="Open Sans" w:hAnsi="Open Sans" w:cs="Open Sans"/>
          <w:color w:val="auto"/>
        </w:rPr>
        <w:t>bedrails</w:t>
      </w:r>
      <w:r w:rsidR="00263467" w:rsidRPr="008127F5">
        <w:rPr>
          <w:rFonts w:ascii="Open Sans" w:hAnsi="Open Sans" w:cs="Open Sans"/>
          <w:color w:val="auto"/>
        </w:rPr>
        <w:t>.</w:t>
      </w:r>
      <w:r w:rsidR="003811ED" w:rsidRPr="008127F5">
        <w:rPr>
          <w:rFonts w:ascii="Open Sans" w:hAnsi="Open Sans" w:cs="Open Sans"/>
          <w:color w:val="auto"/>
        </w:rPr>
        <w:t xml:space="preserve"> </w:t>
      </w:r>
      <w:r w:rsidR="00B72D9A">
        <w:rPr>
          <w:rFonts w:ascii="Open Sans" w:hAnsi="Open Sans" w:cs="Open Sans"/>
          <w:color w:val="auto"/>
        </w:rPr>
        <w:t>Management said use of bedrails</w:t>
      </w:r>
      <w:r w:rsidR="00263467" w:rsidRPr="008127F5">
        <w:rPr>
          <w:rFonts w:ascii="Open Sans" w:hAnsi="Open Sans" w:cs="Open Sans"/>
          <w:color w:val="auto"/>
        </w:rPr>
        <w:t xml:space="preserve"> was at the representatives’ request for safety and </w:t>
      </w:r>
      <w:r w:rsidR="009E0B00">
        <w:rPr>
          <w:rFonts w:ascii="Open Sans" w:hAnsi="Open Sans" w:cs="Open Sans"/>
          <w:color w:val="auto"/>
        </w:rPr>
        <w:t>associated risks have been discussed.</w:t>
      </w:r>
      <w:r w:rsidR="00263467" w:rsidRPr="008127F5">
        <w:rPr>
          <w:rFonts w:ascii="Open Sans" w:hAnsi="Open Sans" w:cs="Open Sans"/>
          <w:color w:val="auto"/>
        </w:rPr>
        <w:t xml:space="preserve"> </w:t>
      </w:r>
      <w:r w:rsidR="00C749C1" w:rsidRPr="008127F5">
        <w:rPr>
          <w:rFonts w:ascii="Open Sans" w:hAnsi="Open Sans" w:cs="Open Sans"/>
          <w:color w:val="auto"/>
        </w:rPr>
        <w:lastRenderedPageBreak/>
        <w:t>O</w:t>
      </w:r>
      <w:r w:rsidR="00263467" w:rsidRPr="008127F5">
        <w:rPr>
          <w:rFonts w:ascii="Open Sans" w:hAnsi="Open Sans" w:cs="Open Sans"/>
          <w:color w:val="auto"/>
        </w:rPr>
        <w:t xml:space="preserve">ne representative said they were not aware of </w:t>
      </w:r>
      <w:r w:rsidR="00C749C1" w:rsidRPr="008127F5">
        <w:rPr>
          <w:rFonts w:ascii="Open Sans" w:hAnsi="Open Sans" w:cs="Open Sans"/>
          <w:color w:val="auto"/>
        </w:rPr>
        <w:t xml:space="preserve">risks </w:t>
      </w:r>
      <w:r w:rsidR="00263467" w:rsidRPr="008127F5">
        <w:rPr>
          <w:rFonts w:ascii="Open Sans" w:hAnsi="Open Sans" w:cs="Open Sans"/>
          <w:color w:val="auto"/>
        </w:rPr>
        <w:t xml:space="preserve">associated </w:t>
      </w:r>
      <w:r w:rsidR="00C749C1" w:rsidRPr="008127F5">
        <w:rPr>
          <w:rFonts w:ascii="Open Sans" w:hAnsi="Open Sans" w:cs="Open Sans"/>
          <w:color w:val="auto"/>
        </w:rPr>
        <w:t>with</w:t>
      </w:r>
      <w:r w:rsidR="00263467" w:rsidRPr="008127F5">
        <w:rPr>
          <w:rFonts w:ascii="Open Sans" w:hAnsi="Open Sans" w:cs="Open Sans"/>
          <w:color w:val="auto"/>
        </w:rPr>
        <w:t xml:space="preserve"> bed rails. </w:t>
      </w:r>
      <w:r w:rsidR="00B72D9A">
        <w:rPr>
          <w:rFonts w:ascii="Open Sans" w:hAnsi="Open Sans" w:cs="Open Sans"/>
          <w:color w:val="auto"/>
        </w:rPr>
        <w:t>M</w:t>
      </w:r>
      <w:r w:rsidR="00263467" w:rsidRPr="008127F5">
        <w:rPr>
          <w:rFonts w:ascii="Open Sans" w:hAnsi="Open Sans" w:cs="Open Sans"/>
          <w:color w:val="auto"/>
        </w:rPr>
        <w:t>anagement could not identify any consumers where the use of bed rails had been ceased</w:t>
      </w:r>
      <w:r w:rsidR="00B72D9A">
        <w:rPr>
          <w:rFonts w:ascii="Open Sans" w:hAnsi="Open Sans" w:cs="Open Sans"/>
          <w:color w:val="auto"/>
        </w:rPr>
        <w:t>, and there is no s</w:t>
      </w:r>
      <w:r w:rsidR="00263467" w:rsidRPr="008127F5">
        <w:rPr>
          <w:rFonts w:ascii="Open Sans" w:hAnsi="Open Sans" w:cs="Open Sans"/>
          <w:color w:val="auto"/>
        </w:rPr>
        <w:t>trategy</w:t>
      </w:r>
      <w:r w:rsidR="00B72D9A">
        <w:rPr>
          <w:rFonts w:ascii="Open Sans" w:hAnsi="Open Sans" w:cs="Open Sans"/>
          <w:color w:val="auto"/>
        </w:rPr>
        <w:t xml:space="preserve"> in place</w:t>
      </w:r>
      <w:r w:rsidR="00263467" w:rsidRPr="008127F5">
        <w:rPr>
          <w:rFonts w:ascii="Open Sans" w:hAnsi="Open Sans" w:cs="Open Sans"/>
          <w:color w:val="auto"/>
        </w:rPr>
        <w:t xml:space="preserve"> to reduce the overall use of bed rails.</w:t>
      </w:r>
      <w:r w:rsidR="007D7B9D">
        <w:rPr>
          <w:rFonts w:ascii="Open Sans" w:hAnsi="Open Sans" w:cs="Open Sans"/>
          <w:color w:val="auto"/>
        </w:rPr>
        <w:t xml:space="preserve"> </w:t>
      </w:r>
      <w:r w:rsidR="00280536" w:rsidRPr="008127F5">
        <w:rPr>
          <w:rFonts w:ascii="Open Sans" w:hAnsi="Open Sans" w:cs="Open Sans"/>
          <w:color w:val="auto"/>
        </w:rPr>
        <w:t>Twenty-seven</w:t>
      </w:r>
      <w:r w:rsidR="00263467" w:rsidRPr="008127F5">
        <w:rPr>
          <w:rFonts w:ascii="Open Sans" w:hAnsi="Open Sans" w:cs="Open Sans"/>
          <w:color w:val="auto"/>
        </w:rPr>
        <w:t xml:space="preserve"> consumers </w:t>
      </w:r>
      <w:r w:rsidR="00280536" w:rsidRPr="008127F5">
        <w:rPr>
          <w:rFonts w:ascii="Open Sans" w:hAnsi="Open Sans" w:cs="Open Sans"/>
          <w:color w:val="auto"/>
        </w:rPr>
        <w:t xml:space="preserve">are </w:t>
      </w:r>
      <w:r w:rsidR="00263467" w:rsidRPr="008127F5">
        <w:rPr>
          <w:rFonts w:ascii="Open Sans" w:hAnsi="Open Sans" w:cs="Open Sans"/>
          <w:color w:val="auto"/>
        </w:rPr>
        <w:t>considered to have a chemical restraint in place.</w:t>
      </w:r>
      <w:r w:rsidR="00280536" w:rsidRPr="008127F5">
        <w:rPr>
          <w:rFonts w:ascii="Open Sans" w:hAnsi="Open Sans" w:cs="Open Sans"/>
          <w:color w:val="auto"/>
        </w:rPr>
        <w:t xml:space="preserve"> While</w:t>
      </w:r>
      <w:r w:rsidR="00263467" w:rsidRPr="008127F5">
        <w:rPr>
          <w:rFonts w:ascii="Open Sans" w:hAnsi="Open Sans" w:cs="Open Sans"/>
          <w:color w:val="auto"/>
        </w:rPr>
        <w:t xml:space="preserve"> chemical restraint is regularly reviewed</w:t>
      </w:r>
      <w:r w:rsidR="00280536" w:rsidRPr="008127F5">
        <w:rPr>
          <w:rFonts w:ascii="Open Sans" w:hAnsi="Open Sans" w:cs="Open Sans"/>
          <w:color w:val="auto"/>
        </w:rPr>
        <w:t>, management</w:t>
      </w:r>
      <w:r w:rsidR="00263467" w:rsidRPr="008127F5">
        <w:rPr>
          <w:rFonts w:ascii="Open Sans" w:hAnsi="Open Sans" w:cs="Open Sans"/>
          <w:color w:val="auto"/>
        </w:rPr>
        <w:t xml:space="preserve"> could not name consumers where the medication had been ceased. </w:t>
      </w:r>
      <w:r w:rsidR="00263467" w:rsidRPr="00263467">
        <w:rPr>
          <w:rFonts w:ascii="Open Sans" w:hAnsi="Open Sans" w:cs="Open Sans"/>
          <w:color w:val="auto"/>
        </w:rPr>
        <w:t xml:space="preserve">Registered staff did not demonstrate a shared or correct understanding of chemical restraint, </w:t>
      </w:r>
      <w:r w:rsidR="00B72D9A">
        <w:rPr>
          <w:rFonts w:ascii="Open Sans" w:hAnsi="Open Sans" w:cs="Open Sans"/>
          <w:color w:val="auto"/>
        </w:rPr>
        <w:t>with statements</w:t>
      </w:r>
      <w:r w:rsidR="0013112E">
        <w:rPr>
          <w:rFonts w:ascii="Open Sans" w:hAnsi="Open Sans" w:cs="Open Sans"/>
          <w:color w:val="auto"/>
        </w:rPr>
        <w:t>,</w:t>
      </w:r>
      <w:r w:rsidR="00B72D9A">
        <w:rPr>
          <w:rFonts w:ascii="Open Sans" w:hAnsi="Open Sans" w:cs="Open Sans"/>
          <w:color w:val="auto"/>
        </w:rPr>
        <w:t xml:space="preserve"> such as</w:t>
      </w:r>
      <w:r w:rsidR="00263467" w:rsidRPr="00263467">
        <w:rPr>
          <w:rFonts w:ascii="Open Sans" w:hAnsi="Open Sans" w:cs="Open Sans"/>
          <w:color w:val="auto"/>
        </w:rPr>
        <w:t xml:space="preserve"> only as required medications are considered a chemical restraint</w:t>
      </w:r>
      <w:r w:rsidR="00B72D9A">
        <w:rPr>
          <w:rFonts w:ascii="Open Sans" w:hAnsi="Open Sans" w:cs="Open Sans"/>
          <w:color w:val="auto"/>
        </w:rPr>
        <w:t xml:space="preserve">, and </w:t>
      </w:r>
      <w:r w:rsidR="00263467" w:rsidRPr="00263467">
        <w:rPr>
          <w:rFonts w:ascii="Open Sans" w:hAnsi="Open Sans" w:cs="Open Sans"/>
          <w:color w:val="auto"/>
        </w:rPr>
        <w:t>if the medication is used for behavioural and psychological symptoms of dementia it is not a chemical restraint.</w:t>
      </w:r>
    </w:p>
    <w:p w14:paraId="2A206440" w14:textId="77F218B5" w:rsidR="00263467" w:rsidRDefault="00A12F5F" w:rsidP="008127F5">
      <w:pPr>
        <w:rPr>
          <w:rFonts w:ascii="Open Sans" w:hAnsi="Open Sans" w:cs="Open Sans"/>
          <w:color w:val="auto"/>
        </w:rPr>
      </w:pPr>
      <w:r>
        <w:rPr>
          <w:rFonts w:ascii="Open Sans" w:hAnsi="Open Sans" w:cs="Open Sans"/>
          <w:color w:val="auto"/>
        </w:rPr>
        <w:t>D</w:t>
      </w:r>
      <w:r w:rsidR="00263467" w:rsidRPr="00263467">
        <w:rPr>
          <w:rFonts w:ascii="Open Sans" w:hAnsi="Open Sans" w:cs="Open Sans"/>
          <w:color w:val="auto"/>
        </w:rPr>
        <w:t xml:space="preserve">ocumentation for </w:t>
      </w:r>
      <w:r>
        <w:rPr>
          <w:rFonts w:ascii="Open Sans" w:hAnsi="Open Sans" w:cs="Open Sans"/>
          <w:color w:val="auto"/>
        </w:rPr>
        <w:t>6 consumer</w:t>
      </w:r>
      <w:r w:rsidR="00A50132">
        <w:rPr>
          <w:rFonts w:ascii="Open Sans" w:hAnsi="Open Sans" w:cs="Open Sans"/>
          <w:color w:val="auto"/>
        </w:rPr>
        <w:t>s</w:t>
      </w:r>
      <w:r w:rsidR="00263467" w:rsidRPr="00263467">
        <w:rPr>
          <w:rFonts w:ascii="Open Sans" w:hAnsi="Open Sans" w:cs="Open Sans"/>
          <w:color w:val="auto"/>
        </w:rPr>
        <w:t xml:space="preserve"> identified </w:t>
      </w:r>
      <w:r w:rsidR="00EC0A80">
        <w:rPr>
          <w:rFonts w:ascii="Open Sans" w:hAnsi="Open Sans" w:cs="Open Sans"/>
          <w:color w:val="auto"/>
        </w:rPr>
        <w:t>a</w:t>
      </w:r>
      <w:r w:rsidR="00263467" w:rsidRPr="00263467">
        <w:rPr>
          <w:rFonts w:ascii="Open Sans" w:hAnsi="Open Sans" w:cs="Open Sans"/>
          <w:color w:val="auto"/>
        </w:rPr>
        <w:t>s restrictive practice(s) are implemented in addition to a current standing restrictive practice, the same consent signatures for the previous implemented restrictive practice</w:t>
      </w:r>
      <w:r w:rsidR="00EC0A80">
        <w:rPr>
          <w:rFonts w:ascii="Open Sans" w:hAnsi="Open Sans" w:cs="Open Sans"/>
          <w:color w:val="auto"/>
        </w:rPr>
        <w:t xml:space="preserve"> are being used</w:t>
      </w:r>
      <w:r w:rsidR="007F36A7">
        <w:rPr>
          <w:rFonts w:ascii="Open Sans" w:hAnsi="Open Sans" w:cs="Open Sans"/>
          <w:color w:val="auto"/>
        </w:rPr>
        <w:t>, and i</w:t>
      </w:r>
      <w:r w:rsidR="00263467" w:rsidRPr="00EC0A80">
        <w:rPr>
          <w:rFonts w:ascii="Open Sans" w:hAnsi="Open Sans" w:cs="Open Sans"/>
          <w:color w:val="auto"/>
        </w:rPr>
        <w:t xml:space="preserve">nformed discussions </w:t>
      </w:r>
      <w:r w:rsidR="001617D2" w:rsidRPr="00EC0A80">
        <w:rPr>
          <w:rFonts w:ascii="Open Sans" w:hAnsi="Open Sans" w:cs="Open Sans"/>
          <w:color w:val="auto"/>
        </w:rPr>
        <w:t>relating to restrictive practice</w:t>
      </w:r>
      <w:r w:rsidR="00EC0A80" w:rsidRPr="00EC0A80">
        <w:rPr>
          <w:rFonts w:ascii="Open Sans" w:hAnsi="Open Sans" w:cs="Open Sans"/>
          <w:color w:val="auto"/>
        </w:rPr>
        <w:t xml:space="preserve"> use </w:t>
      </w:r>
      <w:r w:rsidR="001617D2" w:rsidRPr="00EC0A80">
        <w:rPr>
          <w:rFonts w:ascii="Open Sans" w:hAnsi="Open Sans" w:cs="Open Sans"/>
          <w:color w:val="auto"/>
        </w:rPr>
        <w:t xml:space="preserve">were not evidenced to </w:t>
      </w:r>
      <w:r w:rsidR="00263467" w:rsidRPr="00EC0A80">
        <w:rPr>
          <w:rFonts w:ascii="Open Sans" w:hAnsi="Open Sans" w:cs="Open Sans"/>
          <w:color w:val="auto"/>
        </w:rPr>
        <w:t xml:space="preserve">have taken place. </w:t>
      </w:r>
    </w:p>
    <w:p w14:paraId="67679C3A" w14:textId="31B3520F" w:rsidR="00263467" w:rsidRPr="008127F5" w:rsidRDefault="00FB4DFC" w:rsidP="008127F5">
      <w:pPr>
        <w:rPr>
          <w:rFonts w:ascii="Open Sans" w:hAnsi="Open Sans" w:cs="Open Sans"/>
          <w:color w:val="auto"/>
        </w:rPr>
      </w:pPr>
      <w:r>
        <w:rPr>
          <w:rFonts w:ascii="Open Sans" w:hAnsi="Open Sans" w:cs="Open Sans"/>
          <w:color w:val="auto"/>
        </w:rPr>
        <w:t>P</w:t>
      </w:r>
      <w:r w:rsidR="00263467" w:rsidRPr="008127F5">
        <w:rPr>
          <w:rFonts w:ascii="Open Sans" w:hAnsi="Open Sans" w:cs="Open Sans"/>
          <w:color w:val="auto"/>
        </w:rPr>
        <w:t>hotographs</w:t>
      </w:r>
      <w:r>
        <w:rPr>
          <w:rFonts w:ascii="Open Sans" w:hAnsi="Open Sans" w:cs="Open Sans"/>
          <w:color w:val="auto"/>
        </w:rPr>
        <w:t xml:space="preserve"> of a consumer’s</w:t>
      </w:r>
      <w:r w:rsidR="003D6132">
        <w:rPr>
          <w:rFonts w:ascii="Open Sans" w:hAnsi="Open Sans" w:cs="Open Sans"/>
          <w:color w:val="auto"/>
        </w:rPr>
        <w:t xml:space="preserve"> (Consumer G)</w:t>
      </w:r>
      <w:r>
        <w:rPr>
          <w:rFonts w:ascii="Open Sans" w:hAnsi="Open Sans" w:cs="Open Sans"/>
          <w:color w:val="auto"/>
        </w:rPr>
        <w:t xml:space="preserve"> wound, which has been present for over 12 months, show</w:t>
      </w:r>
      <w:r w:rsidR="00263467" w:rsidRPr="008127F5">
        <w:rPr>
          <w:rFonts w:ascii="Open Sans" w:hAnsi="Open Sans" w:cs="Open Sans"/>
          <w:color w:val="auto"/>
        </w:rPr>
        <w:t xml:space="preserve"> no demonstratable improvement. </w:t>
      </w:r>
      <w:r w:rsidR="00C71788" w:rsidRPr="008127F5">
        <w:rPr>
          <w:rFonts w:ascii="Open Sans" w:hAnsi="Open Sans" w:cs="Open Sans"/>
          <w:color w:val="auto"/>
        </w:rPr>
        <w:t>The</w:t>
      </w:r>
      <w:r w:rsidR="00263467" w:rsidRPr="008127F5">
        <w:rPr>
          <w:rFonts w:ascii="Open Sans" w:hAnsi="Open Sans" w:cs="Open Sans"/>
          <w:color w:val="auto"/>
        </w:rPr>
        <w:t xml:space="preserve"> wound </w:t>
      </w:r>
      <w:r w:rsidR="00C71788" w:rsidRPr="008127F5">
        <w:rPr>
          <w:rFonts w:ascii="Open Sans" w:hAnsi="Open Sans" w:cs="Open Sans"/>
          <w:color w:val="auto"/>
        </w:rPr>
        <w:t>was</w:t>
      </w:r>
      <w:r w:rsidR="00263467" w:rsidRPr="008127F5">
        <w:rPr>
          <w:rFonts w:ascii="Open Sans" w:hAnsi="Open Sans" w:cs="Open Sans"/>
          <w:color w:val="auto"/>
        </w:rPr>
        <w:t xml:space="preserve"> reviewed by </w:t>
      </w:r>
      <w:r>
        <w:rPr>
          <w:rFonts w:ascii="Open Sans" w:hAnsi="Open Sans" w:cs="Open Sans"/>
          <w:color w:val="auto"/>
        </w:rPr>
        <w:t xml:space="preserve">a </w:t>
      </w:r>
      <w:r w:rsidR="00D175E7">
        <w:rPr>
          <w:rFonts w:ascii="Open Sans" w:hAnsi="Open Sans" w:cs="Open Sans"/>
          <w:color w:val="auto"/>
        </w:rPr>
        <w:t>hospital-based</w:t>
      </w:r>
      <w:r w:rsidR="00263467" w:rsidRPr="008127F5">
        <w:rPr>
          <w:rFonts w:ascii="Open Sans" w:hAnsi="Open Sans" w:cs="Open Sans"/>
          <w:color w:val="auto"/>
        </w:rPr>
        <w:t xml:space="preserve"> service </w:t>
      </w:r>
      <w:r w:rsidR="00330951">
        <w:rPr>
          <w:rFonts w:ascii="Open Sans" w:hAnsi="Open Sans" w:cs="Open Sans"/>
          <w:color w:val="auto"/>
        </w:rPr>
        <w:t>during the assessment contact</w:t>
      </w:r>
      <w:r w:rsidR="00FA0A2E">
        <w:rPr>
          <w:rFonts w:ascii="Open Sans" w:hAnsi="Open Sans" w:cs="Open Sans"/>
          <w:color w:val="auto"/>
        </w:rPr>
        <w:t xml:space="preserve"> who noted they had </w:t>
      </w:r>
      <w:r w:rsidR="00263467" w:rsidRPr="008127F5">
        <w:rPr>
          <w:rFonts w:ascii="Open Sans" w:hAnsi="Open Sans" w:cs="Open Sans"/>
          <w:color w:val="auto"/>
        </w:rPr>
        <w:t xml:space="preserve">reviewed </w:t>
      </w:r>
      <w:r w:rsidR="00FA0A2E">
        <w:rPr>
          <w:rFonts w:ascii="Open Sans" w:hAnsi="Open Sans" w:cs="Open Sans"/>
          <w:color w:val="auto"/>
        </w:rPr>
        <w:t>the consumer</w:t>
      </w:r>
      <w:r w:rsidR="00263467" w:rsidRPr="008127F5">
        <w:rPr>
          <w:rFonts w:ascii="Open Sans" w:hAnsi="Open Sans" w:cs="Open Sans"/>
          <w:color w:val="auto"/>
        </w:rPr>
        <w:t xml:space="preserve"> in March 2025 and May 2025</w:t>
      </w:r>
      <w:r w:rsidR="000B70A4">
        <w:rPr>
          <w:rFonts w:ascii="Open Sans" w:hAnsi="Open Sans" w:cs="Open Sans"/>
          <w:color w:val="auto"/>
        </w:rPr>
        <w:t>,</w:t>
      </w:r>
      <w:r w:rsidR="00470A46">
        <w:rPr>
          <w:rFonts w:ascii="Open Sans" w:hAnsi="Open Sans" w:cs="Open Sans"/>
          <w:color w:val="auto"/>
        </w:rPr>
        <w:t xml:space="preserve"> and </w:t>
      </w:r>
      <w:r w:rsidR="00DB3DD2">
        <w:rPr>
          <w:rFonts w:ascii="Open Sans" w:hAnsi="Open Sans" w:cs="Open Sans"/>
          <w:color w:val="auto"/>
        </w:rPr>
        <w:t xml:space="preserve">recommended a </w:t>
      </w:r>
      <w:r w:rsidR="000B70A4">
        <w:rPr>
          <w:rFonts w:ascii="Open Sans" w:hAnsi="Open Sans" w:cs="Open Sans"/>
          <w:color w:val="auto"/>
        </w:rPr>
        <w:t xml:space="preserve">further </w:t>
      </w:r>
      <w:r w:rsidR="00DB3DD2">
        <w:rPr>
          <w:rFonts w:ascii="Open Sans" w:hAnsi="Open Sans" w:cs="Open Sans"/>
          <w:color w:val="auto"/>
        </w:rPr>
        <w:t xml:space="preserve">GP review be organised. </w:t>
      </w:r>
      <w:r w:rsidR="00263467" w:rsidRPr="008127F5">
        <w:rPr>
          <w:rFonts w:ascii="Open Sans" w:hAnsi="Open Sans" w:cs="Open Sans"/>
          <w:color w:val="auto"/>
        </w:rPr>
        <w:t xml:space="preserve">Progress notes </w:t>
      </w:r>
      <w:r w:rsidR="008B0A15">
        <w:rPr>
          <w:rFonts w:ascii="Open Sans" w:hAnsi="Open Sans" w:cs="Open Sans"/>
          <w:color w:val="auto"/>
        </w:rPr>
        <w:t>show</w:t>
      </w:r>
      <w:r w:rsidR="00263467" w:rsidRPr="008127F5">
        <w:rPr>
          <w:rFonts w:ascii="Open Sans" w:hAnsi="Open Sans" w:cs="Open Sans"/>
          <w:color w:val="auto"/>
        </w:rPr>
        <w:t xml:space="preserve"> </w:t>
      </w:r>
      <w:r w:rsidR="00FA0A2E">
        <w:rPr>
          <w:rFonts w:ascii="Open Sans" w:hAnsi="Open Sans" w:cs="Open Sans"/>
          <w:color w:val="auto"/>
        </w:rPr>
        <w:t>the</w:t>
      </w:r>
      <w:r w:rsidR="00263467" w:rsidRPr="008127F5">
        <w:rPr>
          <w:rFonts w:ascii="Open Sans" w:hAnsi="Open Sans" w:cs="Open Sans"/>
          <w:color w:val="auto"/>
        </w:rPr>
        <w:t xml:space="preserve"> wound was </w:t>
      </w:r>
      <w:r w:rsidR="008B0A15">
        <w:rPr>
          <w:rFonts w:ascii="Open Sans" w:hAnsi="Open Sans" w:cs="Open Sans"/>
          <w:color w:val="auto"/>
        </w:rPr>
        <w:t xml:space="preserve">last </w:t>
      </w:r>
      <w:r w:rsidR="00263467" w:rsidRPr="008127F5">
        <w:rPr>
          <w:rFonts w:ascii="Open Sans" w:hAnsi="Open Sans" w:cs="Open Sans"/>
          <w:color w:val="auto"/>
        </w:rPr>
        <w:t xml:space="preserve">reviewed by </w:t>
      </w:r>
      <w:r w:rsidR="00FA0A2E">
        <w:rPr>
          <w:rFonts w:ascii="Open Sans" w:hAnsi="Open Sans" w:cs="Open Sans"/>
          <w:color w:val="auto"/>
        </w:rPr>
        <w:t xml:space="preserve">the </w:t>
      </w:r>
      <w:r w:rsidR="00DB3DD2">
        <w:rPr>
          <w:rFonts w:ascii="Open Sans" w:hAnsi="Open Sans" w:cs="Open Sans"/>
          <w:color w:val="auto"/>
        </w:rPr>
        <w:t>GP</w:t>
      </w:r>
      <w:r w:rsidR="00FA0A2E">
        <w:rPr>
          <w:rFonts w:ascii="Open Sans" w:hAnsi="Open Sans" w:cs="Open Sans"/>
          <w:color w:val="auto"/>
        </w:rPr>
        <w:t xml:space="preserve"> </w:t>
      </w:r>
      <w:r w:rsidR="00A14CF4" w:rsidRPr="008127F5">
        <w:rPr>
          <w:rFonts w:ascii="Open Sans" w:hAnsi="Open Sans" w:cs="Open Sans"/>
          <w:color w:val="auto"/>
        </w:rPr>
        <w:t xml:space="preserve">in </w:t>
      </w:r>
      <w:r w:rsidR="00263467" w:rsidRPr="008127F5">
        <w:rPr>
          <w:rFonts w:ascii="Open Sans" w:hAnsi="Open Sans" w:cs="Open Sans"/>
          <w:color w:val="auto"/>
        </w:rPr>
        <w:t>June 2025.</w:t>
      </w:r>
      <w:r w:rsidR="005E4BBF">
        <w:rPr>
          <w:rFonts w:ascii="Open Sans" w:hAnsi="Open Sans" w:cs="Open Sans"/>
          <w:color w:val="auto"/>
        </w:rPr>
        <w:t xml:space="preserve"> </w:t>
      </w:r>
      <w:r w:rsidR="00C84E89">
        <w:rPr>
          <w:rFonts w:ascii="Open Sans" w:hAnsi="Open Sans" w:cs="Open Sans"/>
          <w:color w:val="auto"/>
        </w:rPr>
        <w:t>A</w:t>
      </w:r>
      <w:r w:rsidR="005E4BBF">
        <w:rPr>
          <w:rFonts w:ascii="Open Sans" w:hAnsi="Open Sans" w:cs="Open Sans"/>
          <w:color w:val="auto"/>
        </w:rPr>
        <w:t>nother</w:t>
      </w:r>
      <w:r w:rsidR="00C84E89">
        <w:rPr>
          <w:rFonts w:ascii="Open Sans" w:hAnsi="Open Sans" w:cs="Open Sans"/>
          <w:color w:val="auto"/>
        </w:rPr>
        <w:t xml:space="preserve"> consumer’s</w:t>
      </w:r>
      <w:r w:rsidR="003D6132">
        <w:rPr>
          <w:rFonts w:ascii="Open Sans" w:hAnsi="Open Sans" w:cs="Open Sans"/>
          <w:color w:val="auto"/>
        </w:rPr>
        <w:t xml:space="preserve"> (Consumer H)</w:t>
      </w:r>
      <w:r w:rsidR="00C84E89">
        <w:rPr>
          <w:rFonts w:ascii="Open Sans" w:hAnsi="Open Sans" w:cs="Open Sans"/>
          <w:color w:val="auto"/>
        </w:rPr>
        <w:t xml:space="preserve"> wound, </w:t>
      </w:r>
      <w:r w:rsidR="00263467" w:rsidRPr="00263467">
        <w:rPr>
          <w:rFonts w:ascii="Open Sans" w:hAnsi="Open Sans" w:cs="Open Sans"/>
          <w:color w:val="auto"/>
        </w:rPr>
        <w:t xml:space="preserve">identified </w:t>
      </w:r>
      <w:r w:rsidR="00A14CF4">
        <w:rPr>
          <w:rFonts w:ascii="Open Sans" w:hAnsi="Open Sans" w:cs="Open Sans"/>
          <w:color w:val="auto"/>
        </w:rPr>
        <w:t>in</w:t>
      </w:r>
      <w:r w:rsidR="00263467" w:rsidRPr="00263467">
        <w:rPr>
          <w:rFonts w:ascii="Open Sans" w:hAnsi="Open Sans" w:cs="Open Sans"/>
          <w:color w:val="auto"/>
        </w:rPr>
        <w:t xml:space="preserve"> January 2024</w:t>
      </w:r>
      <w:r w:rsidR="00C84E89">
        <w:rPr>
          <w:rFonts w:ascii="Open Sans" w:hAnsi="Open Sans" w:cs="Open Sans"/>
          <w:color w:val="auto"/>
        </w:rPr>
        <w:t xml:space="preserve">, was reviewed by </w:t>
      </w:r>
      <w:r w:rsidR="009D676C">
        <w:rPr>
          <w:rFonts w:ascii="Open Sans" w:hAnsi="Open Sans" w:cs="Open Sans"/>
          <w:color w:val="auto"/>
        </w:rPr>
        <w:t xml:space="preserve">a </w:t>
      </w:r>
      <w:r w:rsidR="00D175E7">
        <w:rPr>
          <w:rFonts w:ascii="Open Sans" w:hAnsi="Open Sans" w:cs="Open Sans"/>
          <w:color w:val="auto"/>
        </w:rPr>
        <w:t>hospital-based</w:t>
      </w:r>
      <w:r w:rsidR="009D676C">
        <w:rPr>
          <w:rFonts w:ascii="Open Sans" w:hAnsi="Open Sans" w:cs="Open Sans"/>
          <w:color w:val="auto"/>
        </w:rPr>
        <w:t xml:space="preserve"> service</w:t>
      </w:r>
      <w:r w:rsidR="00C84E89">
        <w:rPr>
          <w:rFonts w:ascii="Open Sans" w:hAnsi="Open Sans" w:cs="Open Sans"/>
          <w:color w:val="auto"/>
        </w:rPr>
        <w:t xml:space="preserve"> in April 2025</w:t>
      </w:r>
      <w:r w:rsidR="000B70A4">
        <w:rPr>
          <w:rFonts w:ascii="Open Sans" w:hAnsi="Open Sans" w:cs="Open Sans"/>
          <w:color w:val="auto"/>
        </w:rPr>
        <w:t>,</w:t>
      </w:r>
      <w:r w:rsidR="00263467" w:rsidRPr="008127F5">
        <w:rPr>
          <w:rFonts w:ascii="Open Sans" w:hAnsi="Open Sans" w:cs="Open Sans"/>
          <w:color w:val="auto"/>
        </w:rPr>
        <w:t xml:space="preserve"> with documentation noting further deterioration of </w:t>
      </w:r>
      <w:r w:rsidR="00224F71">
        <w:rPr>
          <w:rFonts w:ascii="Open Sans" w:hAnsi="Open Sans" w:cs="Open Sans"/>
          <w:color w:val="auto"/>
        </w:rPr>
        <w:t>the</w:t>
      </w:r>
      <w:r w:rsidR="00263467" w:rsidRPr="008127F5">
        <w:rPr>
          <w:rFonts w:ascii="Open Sans" w:hAnsi="Open Sans" w:cs="Open Sans"/>
          <w:color w:val="auto"/>
        </w:rPr>
        <w:t xml:space="preserve"> wound due to </w:t>
      </w:r>
      <w:r w:rsidR="00224F71">
        <w:rPr>
          <w:rFonts w:ascii="Open Sans" w:hAnsi="Open Sans" w:cs="Open Sans"/>
          <w:color w:val="auto"/>
        </w:rPr>
        <w:t xml:space="preserve">use of an </w:t>
      </w:r>
      <w:r w:rsidR="00263467" w:rsidRPr="008127F5">
        <w:rPr>
          <w:rFonts w:ascii="Open Sans" w:hAnsi="Open Sans" w:cs="Open Sans"/>
          <w:color w:val="auto"/>
        </w:rPr>
        <w:t>inappropriate wound dressing</w:t>
      </w:r>
      <w:r w:rsidR="00A14CF4" w:rsidRPr="008127F5">
        <w:rPr>
          <w:rFonts w:ascii="Open Sans" w:hAnsi="Open Sans" w:cs="Open Sans"/>
          <w:color w:val="auto"/>
        </w:rPr>
        <w:t>. A</w:t>
      </w:r>
      <w:r w:rsidR="00263467" w:rsidRPr="008127F5">
        <w:rPr>
          <w:rFonts w:ascii="Open Sans" w:hAnsi="Open Sans" w:cs="Open Sans"/>
          <w:color w:val="auto"/>
        </w:rPr>
        <w:t xml:space="preserve"> recommendation for referral to a specialist wound service has not occurred</w:t>
      </w:r>
      <w:r w:rsidR="007C69C3" w:rsidRPr="008127F5">
        <w:rPr>
          <w:rFonts w:ascii="Open Sans" w:hAnsi="Open Sans" w:cs="Open Sans"/>
          <w:color w:val="auto"/>
        </w:rPr>
        <w:t>.</w:t>
      </w:r>
      <w:r w:rsidR="007C69C3">
        <w:rPr>
          <w:rFonts w:ascii="Open Sans" w:hAnsi="Open Sans" w:cs="Open Sans"/>
          <w:color w:val="auto"/>
        </w:rPr>
        <w:t xml:space="preserve"> </w:t>
      </w:r>
      <w:r w:rsidR="00F15372">
        <w:rPr>
          <w:rFonts w:ascii="Open Sans" w:hAnsi="Open Sans" w:cs="Open Sans"/>
          <w:color w:val="auto"/>
        </w:rPr>
        <w:t>The consumer</w:t>
      </w:r>
      <w:r w:rsidR="00263467" w:rsidRPr="008127F5">
        <w:rPr>
          <w:rFonts w:ascii="Open Sans" w:hAnsi="Open Sans" w:cs="Open Sans"/>
          <w:color w:val="auto"/>
        </w:rPr>
        <w:t xml:space="preserve"> was reviewed by </w:t>
      </w:r>
      <w:r w:rsidR="00F15372">
        <w:rPr>
          <w:rFonts w:ascii="Open Sans" w:hAnsi="Open Sans" w:cs="Open Sans"/>
          <w:color w:val="auto"/>
        </w:rPr>
        <w:t xml:space="preserve">the </w:t>
      </w:r>
      <w:r w:rsidR="00DB3DD2">
        <w:rPr>
          <w:rFonts w:ascii="Open Sans" w:hAnsi="Open Sans" w:cs="Open Sans"/>
          <w:color w:val="auto"/>
        </w:rPr>
        <w:t>GP</w:t>
      </w:r>
      <w:r w:rsidR="00F15372">
        <w:rPr>
          <w:rFonts w:ascii="Open Sans" w:hAnsi="Open Sans" w:cs="Open Sans"/>
          <w:color w:val="auto"/>
        </w:rPr>
        <w:t xml:space="preserve"> in </w:t>
      </w:r>
      <w:r w:rsidR="00263467" w:rsidRPr="008127F5">
        <w:rPr>
          <w:rFonts w:ascii="Open Sans" w:hAnsi="Open Sans" w:cs="Open Sans"/>
          <w:color w:val="auto"/>
        </w:rPr>
        <w:t>April 2025 and May 2025.</w:t>
      </w:r>
      <w:r w:rsidR="009F575D" w:rsidRPr="008127F5">
        <w:rPr>
          <w:rFonts w:ascii="Open Sans" w:hAnsi="Open Sans" w:cs="Open Sans"/>
          <w:color w:val="auto"/>
        </w:rPr>
        <w:t xml:space="preserve"> </w:t>
      </w:r>
    </w:p>
    <w:p w14:paraId="332C6B1E" w14:textId="3CE3F27F" w:rsidR="00F325DD" w:rsidRDefault="008061EF" w:rsidP="008127F5">
      <w:pPr>
        <w:rPr>
          <w:rFonts w:ascii="Open Sans" w:hAnsi="Open Sans" w:cs="Open Sans"/>
          <w:color w:val="auto"/>
        </w:rPr>
      </w:pPr>
      <w:r w:rsidRPr="008127F5">
        <w:rPr>
          <w:rFonts w:ascii="Open Sans" w:hAnsi="Open Sans" w:cs="Open Sans"/>
          <w:color w:val="auto"/>
        </w:rPr>
        <w:t>C</w:t>
      </w:r>
      <w:r w:rsidR="00263467" w:rsidRPr="008127F5">
        <w:rPr>
          <w:rFonts w:ascii="Open Sans" w:hAnsi="Open Sans" w:cs="Open Sans"/>
          <w:color w:val="auto"/>
        </w:rPr>
        <w:t>are planning documentation</w:t>
      </w:r>
      <w:r w:rsidR="00113ADE">
        <w:rPr>
          <w:rFonts w:ascii="Open Sans" w:hAnsi="Open Sans" w:cs="Open Sans"/>
          <w:color w:val="auto"/>
        </w:rPr>
        <w:t xml:space="preserve"> for </w:t>
      </w:r>
      <w:r w:rsidR="00C738CC">
        <w:rPr>
          <w:rFonts w:ascii="Open Sans" w:hAnsi="Open Sans" w:cs="Open Sans"/>
          <w:color w:val="auto"/>
        </w:rPr>
        <w:t>Consumer E</w:t>
      </w:r>
      <w:r w:rsidR="00A50132">
        <w:rPr>
          <w:rFonts w:ascii="Open Sans" w:hAnsi="Open Sans" w:cs="Open Sans"/>
          <w:color w:val="auto"/>
        </w:rPr>
        <w:t>,</w:t>
      </w:r>
      <w:r w:rsidR="00113ADE">
        <w:rPr>
          <w:rFonts w:ascii="Open Sans" w:hAnsi="Open Sans" w:cs="Open Sans"/>
          <w:color w:val="auto"/>
        </w:rPr>
        <w:t xml:space="preserve"> who lives with chronic pain</w:t>
      </w:r>
      <w:r w:rsidR="00A50132">
        <w:rPr>
          <w:rFonts w:ascii="Open Sans" w:hAnsi="Open Sans" w:cs="Open Sans"/>
          <w:color w:val="auto"/>
        </w:rPr>
        <w:t>,</w:t>
      </w:r>
      <w:r w:rsidR="00263467" w:rsidRPr="008127F5">
        <w:rPr>
          <w:rFonts w:ascii="Open Sans" w:hAnsi="Open Sans" w:cs="Open Sans"/>
          <w:color w:val="auto"/>
        </w:rPr>
        <w:t xml:space="preserve"> states </w:t>
      </w:r>
      <w:r w:rsidR="00006EA4">
        <w:rPr>
          <w:rFonts w:ascii="Open Sans" w:hAnsi="Open Sans" w:cs="Open Sans"/>
          <w:color w:val="auto"/>
        </w:rPr>
        <w:t xml:space="preserve">a </w:t>
      </w:r>
      <w:r w:rsidR="00263467" w:rsidRPr="008127F5">
        <w:rPr>
          <w:rFonts w:ascii="Open Sans" w:hAnsi="Open Sans" w:cs="Open Sans"/>
          <w:color w:val="auto"/>
        </w:rPr>
        <w:t xml:space="preserve">heat pack </w:t>
      </w:r>
      <w:r w:rsidR="00006EA4">
        <w:rPr>
          <w:rFonts w:ascii="Open Sans" w:hAnsi="Open Sans" w:cs="Open Sans"/>
          <w:color w:val="auto"/>
        </w:rPr>
        <w:t>is</w:t>
      </w:r>
      <w:r w:rsidR="00113ADE">
        <w:rPr>
          <w:rFonts w:ascii="Open Sans" w:hAnsi="Open Sans" w:cs="Open Sans"/>
          <w:color w:val="auto"/>
        </w:rPr>
        <w:t xml:space="preserve"> to be </w:t>
      </w:r>
      <w:r w:rsidRPr="008127F5">
        <w:rPr>
          <w:rFonts w:ascii="Open Sans" w:hAnsi="Open Sans" w:cs="Open Sans"/>
          <w:color w:val="auto"/>
        </w:rPr>
        <w:t>applied</w:t>
      </w:r>
      <w:r w:rsidR="00263467" w:rsidRPr="008127F5">
        <w:rPr>
          <w:rFonts w:ascii="Open Sans" w:hAnsi="Open Sans" w:cs="Open Sans"/>
          <w:color w:val="auto"/>
        </w:rPr>
        <w:t xml:space="preserve"> 3 times </w:t>
      </w:r>
      <w:r w:rsidR="00006EA4">
        <w:rPr>
          <w:rFonts w:ascii="Open Sans" w:hAnsi="Open Sans" w:cs="Open Sans"/>
          <w:color w:val="auto"/>
        </w:rPr>
        <w:t>a</w:t>
      </w:r>
      <w:r w:rsidR="00263467" w:rsidRPr="008127F5">
        <w:rPr>
          <w:rFonts w:ascii="Open Sans" w:hAnsi="Open Sans" w:cs="Open Sans"/>
          <w:color w:val="auto"/>
        </w:rPr>
        <w:t xml:space="preserve"> week by care staff and </w:t>
      </w:r>
      <w:r w:rsidRPr="008127F5">
        <w:rPr>
          <w:rFonts w:ascii="Open Sans" w:hAnsi="Open Sans" w:cs="Open Sans"/>
          <w:color w:val="auto"/>
        </w:rPr>
        <w:t>massage</w:t>
      </w:r>
      <w:r w:rsidR="00113ADE">
        <w:rPr>
          <w:rFonts w:ascii="Open Sans" w:hAnsi="Open Sans" w:cs="Open Sans"/>
          <w:color w:val="auto"/>
        </w:rPr>
        <w:t>s undertaken</w:t>
      </w:r>
      <w:r w:rsidRPr="008127F5">
        <w:rPr>
          <w:rFonts w:ascii="Open Sans" w:hAnsi="Open Sans" w:cs="Open Sans"/>
          <w:color w:val="auto"/>
        </w:rPr>
        <w:t xml:space="preserve"> 4 days a week by </w:t>
      </w:r>
      <w:r w:rsidR="00263467" w:rsidRPr="008127F5">
        <w:rPr>
          <w:rFonts w:ascii="Open Sans" w:hAnsi="Open Sans" w:cs="Open Sans"/>
          <w:color w:val="auto"/>
        </w:rPr>
        <w:t xml:space="preserve">allied health staff. </w:t>
      </w:r>
      <w:r w:rsidRPr="008127F5">
        <w:rPr>
          <w:rFonts w:ascii="Open Sans" w:hAnsi="Open Sans" w:cs="Open Sans"/>
          <w:color w:val="auto"/>
        </w:rPr>
        <w:t>P</w:t>
      </w:r>
      <w:r w:rsidR="00263467" w:rsidRPr="008127F5">
        <w:rPr>
          <w:rFonts w:ascii="Open Sans" w:hAnsi="Open Sans" w:cs="Open Sans"/>
          <w:color w:val="auto"/>
        </w:rPr>
        <w:t xml:space="preserve">rogress notes </w:t>
      </w:r>
      <w:r w:rsidR="00113ADE">
        <w:rPr>
          <w:rFonts w:ascii="Open Sans" w:hAnsi="Open Sans" w:cs="Open Sans"/>
          <w:color w:val="auto"/>
        </w:rPr>
        <w:t>show</w:t>
      </w:r>
      <w:r w:rsidR="00263467" w:rsidRPr="008127F5">
        <w:rPr>
          <w:rFonts w:ascii="Open Sans" w:hAnsi="Open Sans" w:cs="Open Sans"/>
          <w:color w:val="auto"/>
        </w:rPr>
        <w:t xml:space="preserve"> massage</w:t>
      </w:r>
      <w:r w:rsidR="00113ADE">
        <w:rPr>
          <w:rFonts w:ascii="Open Sans" w:hAnsi="Open Sans" w:cs="Open Sans"/>
          <w:color w:val="auto"/>
        </w:rPr>
        <w:t>s</w:t>
      </w:r>
      <w:r w:rsidR="00263467" w:rsidRPr="008127F5">
        <w:rPr>
          <w:rFonts w:ascii="Open Sans" w:hAnsi="Open Sans" w:cs="Open Sans"/>
          <w:color w:val="auto"/>
        </w:rPr>
        <w:t xml:space="preserve"> ha</w:t>
      </w:r>
      <w:r w:rsidR="00113ADE">
        <w:rPr>
          <w:rFonts w:ascii="Open Sans" w:hAnsi="Open Sans" w:cs="Open Sans"/>
          <w:color w:val="auto"/>
        </w:rPr>
        <w:t>ve</w:t>
      </w:r>
      <w:r w:rsidR="00263467" w:rsidRPr="008127F5">
        <w:rPr>
          <w:rFonts w:ascii="Open Sans" w:hAnsi="Open Sans" w:cs="Open Sans"/>
          <w:color w:val="auto"/>
        </w:rPr>
        <w:t xml:space="preserve"> been provided 3 times since the 8 June 2025. Care staff were unaware of the use of heat packs. </w:t>
      </w:r>
      <w:r w:rsidR="00113ADE">
        <w:rPr>
          <w:rFonts w:ascii="Open Sans" w:hAnsi="Open Sans" w:cs="Open Sans"/>
          <w:color w:val="auto"/>
        </w:rPr>
        <w:t>The consumer</w:t>
      </w:r>
      <w:r w:rsidR="00263467" w:rsidRPr="008127F5">
        <w:rPr>
          <w:rFonts w:ascii="Open Sans" w:hAnsi="Open Sans" w:cs="Open Sans"/>
          <w:color w:val="auto"/>
        </w:rPr>
        <w:t xml:space="preserve"> said </w:t>
      </w:r>
      <w:r w:rsidR="00113ADE">
        <w:rPr>
          <w:rFonts w:ascii="Open Sans" w:hAnsi="Open Sans" w:cs="Open Sans"/>
          <w:color w:val="auto"/>
        </w:rPr>
        <w:t xml:space="preserve">their </w:t>
      </w:r>
      <w:r w:rsidR="00263467" w:rsidRPr="008127F5">
        <w:rPr>
          <w:rFonts w:ascii="Open Sans" w:hAnsi="Open Sans" w:cs="Open Sans"/>
          <w:color w:val="auto"/>
        </w:rPr>
        <w:t xml:space="preserve">pain is ‘ok’ with medication, and </w:t>
      </w:r>
      <w:r w:rsidR="00113ADE">
        <w:rPr>
          <w:rFonts w:ascii="Open Sans" w:hAnsi="Open Sans" w:cs="Open Sans"/>
          <w:color w:val="auto"/>
        </w:rPr>
        <w:t>they</w:t>
      </w:r>
      <w:r w:rsidR="00263467" w:rsidRPr="008127F5">
        <w:rPr>
          <w:rFonts w:ascii="Open Sans" w:hAnsi="Open Sans" w:cs="Open Sans"/>
          <w:color w:val="auto"/>
        </w:rPr>
        <w:t xml:space="preserve"> receive </w:t>
      </w:r>
      <w:r w:rsidR="00113ADE">
        <w:rPr>
          <w:rFonts w:ascii="Open Sans" w:hAnsi="Open Sans" w:cs="Open Sans"/>
          <w:color w:val="auto"/>
        </w:rPr>
        <w:t xml:space="preserve">a </w:t>
      </w:r>
      <w:r w:rsidR="00263467" w:rsidRPr="008127F5">
        <w:rPr>
          <w:rFonts w:ascii="Open Sans" w:hAnsi="Open Sans" w:cs="Open Sans"/>
          <w:color w:val="auto"/>
        </w:rPr>
        <w:t>massage from the physiotherapist once a week.</w:t>
      </w:r>
      <w:r w:rsidR="005E4BBF">
        <w:rPr>
          <w:rFonts w:ascii="Open Sans" w:hAnsi="Open Sans" w:cs="Open Sans"/>
          <w:color w:val="auto"/>
        </w:rPr>
        <w:t xml:space="preserve"> </w:t>
      </w:r>
    </w:p>
    <w:p w14:paraId="3C0A4BC3" w14:textId="5DA9B995" w:rsidR="000379BA" w:rsidRPr="004047DD" w:rsidRDefault="00FC13BD" w:rsidP="004047DD">
      <w:pPr>
        <w:rPr>
          <w:rFonts w:ascii="Open Sans" w:hAnsi="Open Sans" w:cs="Open Sans"/>
          <w:color w:val="auto"/>
        </w:rPr>
      </w:pPr>
      <w:r w:rsidRPr="00C71A78">
        <w:rPr>
          <w:rFonts w:ascii="Open Sans" w:hAnsi="Open Sans" w:cs="Open Sans"/>
          <w:color w:val="auto"/>
        </w:rPr>
        <w:t xml:space="preserve">Hospital discharge documentation from June 2025 </w:t>
      </w:r>
      <w:r w:rsidR="00263467" w:rsidRPr="00C71A78">
        <w:rPr>
          <w:rFonts w:ascii="Open Sans" w:hAnsi="Open Sans" w:cs="Open Sans"/>
          <w:color w:val="auto"/>
        </w:rPr>
        <w:t xml:space="preserve">raised </w:t>
      </w:r>
      <w:r w:rsidR="00263467" w:rsidRPr="008127F5">
        <w:rPr>
          <w:rFonts w:ascii="Open Sans" w:hAnsi="Open Sans" w:cs="Open Sans"/>
          <w:color w:val="auto"/>
        </w:rPr>
        <w:t>concern</w:t>
      </w:r>
      <w:r w:rsidR="00C71A78">
        <w:rPr>
          <w:rFonts w:ascii="Open Sans" w:hAnsi="Open Sans" w:cs="Open Sans"/>
          <w:color w:val="auto"/>
        </w:rPr>
        <w:t>s</w:t>
      </w:r>
      <w:r w:rsidR="00263467" w:rsidRPr="008127F5">
        <w:rPr>
          <w:rFonts w:ascii="Open Sans" w:hAnsi="Open Sans" w:cs="Open Sans"/>
          <w:color w:val="auto"/>
        </w:rPr>
        <w:t xml:space="preserve"> </w:t>
      </w:r>
      <w:r w:rsidR="00313FBB">
        <w:rPr>
          <w:rFonts w:ascii="Open Sans" w:hAnsi="Open Sans" w:cs="Open Sans"/>
          <w:color w:val="auto"/>
        </w:rPr>
        <w:t xml:space="preserve">that </w:t>
      </w:r>
      <w:r w:rsidR="00C71A78">
        <w:rPr>
          <w:rFonts w:ascii="Open Sans" w:hAnsi="Open Sans" w:cs="Open Sans"/>
          <w:color w:val="auto"/>
        </w:rPr>
        <w:t>a</w:t>
      </w:r>
      <w:r w:rsidR="00313FBB">
        <w:rPr>
          <w:rFonts w:ascii="Open Sans" w:hAnsi="Open Sans" w:cs="Open Sans"/>
          <w:color w:val="auto"/>
        </w:rPr>
        <w:t xml:space="preserve"> consumer’s</w:t>
      </w:r>
      <w:r w:rsidR="00C738CC">
        <w:rPr>
          <w:rFonts w:ascii="Open Sans" w:hAnsi="Open Sans" w:cs="Open Sans"/>
          <w:color w:val="auto"/>
        </w:rPr>
        <w:t xml:space="preserve"> (Consumer I)</w:t>
      </w:r>
      <w:r w:rsidR="00313FBB">
        <w:rPr>
          <w:rFonts w:ascii="Open Sans" w:hAnsi="Open Sans" w:cs="Open Sans"/>
          <w:color w:val="auto"/>
        </w:rPr>
        <w:t xml:space="preserve"> </w:t>
      </w:r>
      <w:r w:rsidR="00263467" w:rsidRPr="008127F5">
        <w:rPr>
          <w:rFonts w:ascii="Open Sans" w:hAnsi="Open Sans" w:cs="Open Sans"/>
          <w:color w:val="auto"/>
        </w:rPr>
        <w:t xml:space="preserve">pain was not managed with a mild analgesia and recommended an as required opioid medication be prescribed, which </w:t>
      </w:r>
      <w:r w:rsidR="00A57E81" w:rsidRPr="008127F5">
        <w:rPr>
          <w:rFonts w:ascii="Open Sans" w:hAnsi="Open Sans" w:cs="Open Sans"/>
          <w:color w:val="auto"/>
        </w:rPr>
        <w:t>had</w:t>
      </w:r>
      <w:r w:rsidR="00263467" w:rsidRPr="008127F5">
        <w:rPr>
          <w:rFonts w:ascii="Open Sans" w:hAnsi="Open Sans" w:cs="Open Sans"/>
          <w:color w:val="auto"/>
        </w:rPr>
        <w:t xml:space="preserve"> not been administered. </w:t>
      </w:r>
      <w:r w:rsidR="000379BA" w:rsidRPr="004047DD">
        <w:rPr>
          <w:rFonts w:ascii="Open Sans" w:hAnsi="Open Sans" w:cs="Open Sans"/>
          <w:color w:val="auto"/>
        </w:rPr>
        <w:t xml:space="preserve">In coming to my finding, I have also considered evidence highlighted in requirement 2(3)(e). Specifically, </w:t>
      </w:r>
      <w:r w:rsidR="00F3756E">
        <w:rPr>
          <w:rFonts w:ascii="Open Sans" w:hAnsi="Open Sans" w:cs="Open Sans"/>
          <w:color w:val="auto"/>
        </w:rPr>
        <w:t xml:space="preserve">care </w:t>
      </w:r>
      <w:r w:rsidR="00C56A53">
        <w:rPr>
          <w:rFonts w:ascii="Open Sans" w:hAnsi="Open Sans" w:cs="Open Sans"/>
          <w:color w:val="auto"/>
        </w:rPr>
        <w:t xml:space="preserve">documentation shows </w:t>
      </w:r>
      <w:r w:rsidR="00F3756E">
        <w:rPr>
          <w:rFonts w:ascii="Open Sans" w:hAnsi="Open Sans" w:cs="Open Sans"/>
          <w:color w:val="auto"/>
        </w:rPr>
        <w:t>GP</w:t>
      </w:r>
      <w:r w:rsidR="000379BA" w:rsidRPr="004047DD">
        <w:rPr>
          <w:rFonts w:ascii="Open Sans" w:hAnsi="Open Sans" w:cs="Open Sans"/>
          <w:color w:val="auto"/>
        </w:rPr>
        <w:t xml:space="preserve"> recommendations in July 2025 to monitor</w:t>
      </w:r>
      <w:r w:rsidR="004047DD">
        <w:rPr>
          <w:rFonts w:ascii="Open Sans" w:hAnsi="Open Sans" w:cs="Open Sans"/>
          <w:color w:val="auto"/>
        </w:rPr>
        <w:t xml:space="preserve"> </w:t>
      </w:r>
      <w:r w:rsidR="00C738CC">
        <w:rPr>
          <w:rFonts w:ascii="Open Sans" w:hAnsi="Open Sans" w:cs="Open Sans"/>
          <w:color w:val="auto"/>
        </w:rPr>
        <w:t>Consumer A’s</w:t>
      </w:r>
      <w:r w:rsidR="000379BA" w:rsidRPr="004047DD">
        <w:rPr>
          <w:rFonts w:ascii="Open Sans" w:hAnsi="Open Sans" w:cs="Open Sans"/>
          <w:color w:val="FF0000"/>
        </w:rPr>
        <w:t xml:space="preserve"> </w:t>
      </w:r>
      <w:r w:rsidR="000379BA" w:rsidRPr="004047DD">
        <w:rPr>
          <w:rFonts w:ascii="Open Sans" w:hAnsi="Open Sans" w:cs="Open Sans"/>
          <w:color w:val="auto"/>
        </w:rPr>
        <w:t xml:space="preserve">oxygen levels 3 times a day and vital signs daily were </w:t>
      </w:r>
      <w:r w:rsidR="0024376F">
        <w:rPr>
          <w:rFonts w:ascii="Open Sans" w:hAnsi="Open Sans" w:cs="Open Sans"/>
          <w:color w:val="auto"/>
        </w:rPr>
        <w:t xml:space="preserve">not </w:t>
      </w:r>
      <w:r w:rsidR="000379BA" w:rsidRPr="004047DD">
        <w:rPr>
          <w:rFonts w:ascii="Open Sans" w:hAnsi="Open Sans" w:cs="Open Sans"/>
          <w:color w:val="auto"/>
        </w:rPr>
        <w:t xml:space="preserve">undertaken in line with the </w:t>
      </w:r>
      <w:r w:rsidR="00C56A53">
        <w:rPr>
          <w:rFonts w:ascii="Open Sans" w:hAnsi="Open Sans" w:cs="Open Sans"/>
          <w:color w:val="auto"/>
        </w:rPr>
        <w:t>directives</w:t>
      </w:r>
      <w:r w:rsidR="000379BA" w:rsidRPr="004047DD">
        <w:rPr>
          <w:rFonts w:ascii="Open Sans" w:hAnsi="Open Sans" w:cs="Open Sans"/>
          <w:color w:val="auto"/>
        </w:rPr>
        <w:t xml:space="preserve">. </w:t>
      </w:r>
    </w:p>
    <w:p w14:paraId="03033B17" w14:textId="3630375C" w:rsidR="00BC0C3B" w:rsidRDefault="0098615E" w:rsidP="00305D0B">
      <w:pPr>
        <w:rPr>
          <w:rFonts w:ascii="Open Sans" w:hAnsi="Open Sans" w:cs="Open Sans"/>
          <w:color w:val="auto"/>
        </w:rPr>
      </w:pPr>
      <w:r>
        <w:rPr>
          <w:rFonts w:ascii="Open Sans" w:hAnsi="Open Sans" w:cs="Open Sans"/>
          <w:color w:val="auto"/>
        </w:rPr>
        <w:t>I</w:t>
      </w:r>
      <w:r w:rsidR="00A50132">
        <w:rPr>
          <w:rFonts w:ascii="Open Sans" w:hAnsi="Open Sans" w:cs="Open Sans"/>
          <w:color w:val="auto"/>
        </w:rPr>
        <w:t>n coming to my finding, I have considered the intent of this requirement which</w:t>
      </w:r>
      <w:r w:rsidR="00793E74">
        <w:rPr>
          <w:rFonts w:ascii="Open Sans" w:hAnsi="Open Sans" w:cs="Open Sans"/>
          <w:color w:val="auto"/>
        </w:rPr>
        <w:t xml:space="preserve"> expects each consumer receives safe and effective </w:t>
      </w:r>
      <w:r w:rsidR="00835542">
        <w:rPr>
          <w:rFonts w:ascii="Open Sans" w:hAnsi="Open Sans" w:cs="Open Sans"/>
          <w:color w:val="auto"/>
        </w:rPr>
        <w:t>personal and clinical care</w:t>
      </w:r>
      <w:r w:rsidR="0050555C" w:rsidRPr="0050555C">
        <w:rPr>
          <w:rFonts w:ascii="Open Sans" w:hAnsi="Open Sans" w:cs="Open Sans"/>
          <w:color w:val="auto"/>
        </w:rPr>
        <w:t xml:space="preserve"> </w:t>
      </w:r>
      <w:r w:rsidR="0050555C">
        <w:rPr>
          <w:rFonts w:ascii="Open Sans" w:hAnsi="Open Sans" w:cs="Open Sans"/>
          <w:color w:val="auto"/>
        </w:rPr>
        <w:lastRenderedPageBreak/>
        <w:t>which is best practice, tailored and optimises health and wellbeing</w:t>
      </w:r>
      <w:r w:rsidR="005F1D0F">
        <w:rPr>
          <w:rFonts w:ascii="Open Sans" w:hAnsi="Open Sans" w:cs="Open Sans"/>
          <w:color w:val="auto"/>
        </w:rPr>
        <w:t xml:space="preserve">. As such, I consider Consumers E and A have not received effective clinical care </w:t>
      </w:r>
      <w:r w:rsidR="0050555C">
        <w:rPr>
          <w:rFonts w:ascii="Open Sans" w:hAnsi="Open Sans" w:cs="Open Sans"/>
          <w:color w:val="auto"/>
        </w:rPr>
        <w:t xml:space="preserve">and placed weight on evidence presented in the Assessment Team’s report. </w:t>
      </w:r>
      <w:r w:rsidR="00835542">
        <w:rPr>
          <w:rFonts w:ascii="Open Sans" w:hAnsi="Open Sans" w:cs="Open Sans"/>
          <w:color w:val="auto"/>
        </w:rPr>
        <w:t xml:space="preserve"> </w:t>
      </w:r>
    </w:p>
    <w:p w14:paraId="154EE8D0" w14:textId="3ABA8ADC" w:rsidR="00796670" w:rsidRPr="00B27124" w:rsidRDefault="007D7B9D" w:rsidP="00796670">
      <w:pPr>
        <w:rPr>
          <w:rFonts w:ascii="Open Sans" w:hAnsi="Open Sans" w:cs="Open Sans"/>
          <w:color w:val="auto"/>
        </w:rPr>
      </w:pPr>
      <w:r w:rsidRPr="00E43417">
        <w:rPr>
          <w:rFonts w:ascii="Open Sans" w:hAnsi="Open Sans" w:cs="Open Sans"/>
          <w:color w:val="auto"/>
        </w:rPr>
        <w:t>The provider’s response did not address issues raised relating to management of Consumer E’s pain management strategies</w:t>
      </w:r>
      <w:r w:rsidR="00B103BB" w:rsidRPr="00B103BB">
        <w:rPr>
          <w:rFonts w:ascii="Open Sans" w:hAnsi="Open Sans" w:cs="Open Sans"/>
          <w:color w:val="auto"/>
        </w:rPr>
        <w:t xml:space="preserve">. </w:t>
      </w:r>
      <w:r w:rsidR="00796670" w:rsidRPr="008127F5">
        <w:rPr>
          <w:rFonts w:ascii="Open Sans" w:hAnsi="Open Sans" w:cs="Open Sans"/>
          <w:color w:val="auto"/>
        </w:rPr>
        <w:t xml:space="preserve">Progress notes </w:t>
      </w:r>
      <w:r w:rsidR="00796670">
        <w:rPr>
          <w:rFonts w:ascii="Open Sans" w:hAnsi="Open Sans" w:cs="Open Sans"/>
          <w:color w:val="auto"/>
        </w:rPr>
        <w:t>show</w:t>
      </w:r>
      <w:r w:rsidR="00796670" w:rsidRPr="008127F5">
        <w:rPr>
          <w:rFonts w:ascii="Open Sans" w:hAnsi="Open Sans" w:cs="Open Sans"/>
          <w:color w:val="auto"/>
        </w:rPr>
        <w:t xml:space="preserve"> </w:t>
      </w:r>
      <w:r w:rsidR="002C7CA2">
        <w:rPr>
          <w:rFonts w:ascii="Open Sans" w:hAnsi="Open Sans" w:cs="Open Sans"/>
          <w:color w:val="auto"/>
        </w:rPr>
        <w:t>pain relieving strategies</w:t>
      </w:r>
      <w:r w:rsidR="00796670" w:rsidRPr="008127F5">
        <w:rPr>
          <w:rFonts w:ascii="Open Sans" w:hAnsi="Open Sans" w:cs="Open Sans"/>
          <w:color w:val="auto"/>
        </w:rPr>
        <w:t xml:space="preserve"> ha</w:t>
      </w:r>
      <w:r w:rsidR="00796670">
        <w:rPr>
          <w:rFonts w:ascii="Open Sans" w:hAnsi="Open Sans" w:cs="Open Sans"/>
          <w:color w:val="auto"/>
        </w:rPr>
        <w:t>ve</w:t>
      </w:r>
      <w:r w:rsidR="000071E2">
        <w:rPr>
          <w:rFonts w:ascii="Open Sans" w:hAnsi="Open Sans" w:cs="Open Sans"/>
          <w:color w:val="auto"/>
        </w:rPr>
        <w:t xml:space="preserve"> not been provided in line with </w:t>
      </w:r>
      <w:r w:rsidR="004271D8">
        <w:rPr>
          <w:rFonts w:ascii="Open Sans" w:hAnsi="Open Sans" w:cs="Open Sans"/>
          <w:color w:val="auto"/>
        </w:rPr>
        <w:t>care plan documentation,</w:t>
      </w:r>
      <w:r w:rsidR="000071E2">
        <w:rPr>
          <w:rFonts w:ascii="Open Sans" w:hAnsi="Open Sans" w:cs="Open Sans"/>
          <w:color w:val="auto"/>
        </w:rPr>
        <w:t xml:space="preserve"> and while care staff are required to apply a heat pack </w:t>
      </w:r>
      <w:r w:rsidR="003111F1">
        <w:rPr>
          <w:rFonts w:ascii="Open Sans" w:hAnsi="Open Sans" w:cs="Open Sans"/>
          <w:color w:val="auto"/>
        </w:rPr>
        <w:t xml:space="preserve">3 times a week, </w:t>
      </w:r>
      <w:r w:rsidR="00D852C4">
        <w:rPr>
          <w:rFonts w:ascii="Open Sans" w:hAnsi="Open Sans" w:cs="Open Sans"/>
          <w:color w:val="auto"/>
        </w:rPr>
        <w:t>they</w:t>
      </w:r>
      <w:r w:rsidR="00796670" w:rsidRPr="008127F5">
        <w:rPr>
          <w:rFonts w:ascii="Open Sans" w:hAnsi="Open Sans" w:cs="Open Sans"/>
          <w:color w:val="auto"/>
        </w:rPr>
        <w:t xml:space="preserve"> were unaware of </w:t>
      </w:r>
      <w:r w:rsidR="003111F1">
        <w:rPr>
          <w:rFonts w:ascii="Open Sans" w:hAnsi="Open Sans" w:cs="Open Sans"/>
          <w:color w:val="auto"/>
        </w:rPr>
        <w:t>this directive</w:t>
      </w:r>
      <w:r w:rsidR="00796670" w:rsidRPr="008127F5">
        <w:rPr>
          <w:rFonts w:ascii="Open Sans" w:hAnsi="Open Sans" w:cs="Open Sans"/>
          <w:color w:val="auto"/>
        </w:rPr>
        <w:t xml:space="preserve">. </w:t>
      </w:r>
      <w:r w:rsidR="00A706CB">
        <w:rPr>
          <w:rFonts w:ascii="Open Sans" w:hAnsi="Open Sans" w:cs="Open Sans"/>
          <w:color w:val="auto"/>
        </w:rPr>
        <w:t xml:space="preserve">While </w:t>
      </w:r>
      <w:r w:rsidR="00B103BB" w:rsidRPr="00B27124">
        <w:rPr>
          <w:rFonts w:ascii="Open Sans" w:hAnsi="Open Sans" w:cs="Open Sans"/>
          <w:color w:val="auto"/>
        </w:rPr>
        <w:t>C</w:t>
      </w:r>
      <w:r w:rsidR="00796670" w:rsidRPr="00B27124">
        <w:rPr>
          <w:rFonts w:ascii="Open Sans" w:hAnsi="Open Sans" w:cs="Open Sans"/>
          <w:color w:val="auto"/>
        </w:rPr>
        <w:t>onsumer</w:t>
      </w:r>
      <w:r w:rsidR="00A706CB" w:rsidRPr="00B27124">
        <w:rPr>
          <w:rFonts w:ascii="Open Sans" w:hAnsi="Open Sans" w:cs="Open Sans"/>
          <w:color w:val="auto"/>
        </w:rPr>
        <w:t xml:space="preserve"> E</w:t>
      </w:r>
      <w:r w:rsidR="00796670" w:rsidRPr="00B27124">
        <w:rPr>
          <w:rFonts w:ascii="Open Sans" w:hAnsi="Open Sans" w:cs="Open Sans"/>
          <w:color w:val="auto"/>
        </w:rPr>
        <w:t xml:space="preserve"> said their pain is ‘ok’ with medication</w:t>
      </w:r>
      <w:r w:rsidR="00A706CB" w:rsidRPr="00B27124">
        <w:rPr>
          <w:rFonts w:ascii="Open Sans" w:hAnsi="Open Sans" w:cs="Open Sans"/>
          <w:color w:val="auto"/>
        </w:rPr>
        <w:t xml:space="preserve">, </w:t>
      </w:r>
      <w:r w:rsidR="00A53A4D" w:rsidRPr="00B27124">
        <w:rPr>
          <w:rFonts w:ascii="Open Sans" w:hAnsi="Open Sans" w:cs="Open Sans"/>
          <w:color w:val="auto"/>
        </w:rPr>
        <w:t xml:space="preserve">the consumer is identified as having chronic pain which may be better managed through </w:t>
      </w:r>
      <w:r w:rsidR="00570802" w:rsidRPr="00B27124">
        <w:rPr>
          <w:rFonts w:ascii="Open Sans" w:hAnsi="Open Sans" w:cs="Open Sans"/>
          <w:color w:val="auto"/>
        </w:rPr>
        <w:t xml:space="preserve">undertaking pain management strategies in line with </w:t>
      </w:r>
      <w:r w:rsidR="00B27124" w:rsidRPr="00B27124">
        <w:rPr>
          <w:rFonts w:ascii="Open Sans" w:hAnsi="Open Sans" w:cs="Open Sans"/>
          <w:color w:val="auto"/>
        </w:rPr>
        <w:t xml:space="preserve">the consumer’s assessed needs. </w:t>
      </w:r>
    </w:p>
    <w:p w14:paraId="5D9389BA" w14:textId="4F8A159D" w:rsidR="007D7B9D" w:rsidRPr="00F6078B" w:rsidRDefault="00A50132" w:rsidP="007D7B9D">
      <w:pPr>
        <w:rPr>
          <w:rFonts w:ascii="Open Sans" w:hAnsi="Open Sans" w:cs="Open Sans"/>
          <w:color w:val="auto"/>
        </w:rPr>
      </w:pPr>
      <w:r>
        <w:rPr>
          <w:rFonts w:ascii="Open Sans" w:hAnsi="Open Sans" w:cs="Open Sans"/>
          <w:color w:val="auto"/>
        </w:rPr>
        <w:t>In their response, the</w:t>
      </w:r>
      <w:r w:rsidR="007D7B9D" w:rsidRPr="00F6078B">
        <w:rPr>
          <w:rFonts w:ascii="Open Sans" w:hAnsi="Open Sans" w:cs="Open Sans"/>
          <w:color w:val="auto"/>
        </w:rPr>
        <w:t xml:space="preserve"> provider acknowledges Consumer A’s oxygen levels were not monitored in line with GP directives, assert</w:t>
      </w:r>
      <w:r w:rsidR="00D175E7">
        <w:rPr>
          <w:rFonts w:ascii="Open Sans" w:hAnsi="Open Sans" w:cs="Open Sans"/>
          <w:color w:val="auto"/>
        </w:rPr>
        <w:t>ing</w:t>
      </w:r>
      <w:r w:rsidR="007D7B9D" w:rsidRPr="00F6078B">
        <w:rPr>
          <w:rFonts w:ascii="Open Sans" w:hAnsi="Open Sans" w:cs="Open Sans"/>
          <w:color w:val="auto"/>
        </w:rPr>
        <w:t xml:space="preserve"> oxygen levels were reviewed and taken daily. Additionally, the provider states vital signs were taken consistently in line with GP directives except on the day during the assessment contact</w:t>
      </w:r>
      <w:r w:rsidR="006166F4" w:rsidRPr="00F6078B">
        <w:rPr>
          <w:rFonts w:ascii="Open Sans" w:hAnsi="Open Sans" w:cs="Open Sans"/>
          <w:color w:val="auto"/>
        </w:rPr>
        <w:t xml:space="preserve"> when</w:t>
      </w:r>
      <w:r w:rsidR="007D7B9D" w:rsidRPr="00F6078B">
        <w:rPr>
          <w:rFonts w:ascii="Open Sans" w:hAnsi="Open Sans" w:cs="Open Sans"/>
          <w:color w:val="auto"/>
        </w:rPr>
        <w:t xml:space="preserve"> the consumer was attending an appointment. Neither of these assertions are supported by charting included in the provider’s response which shows oxygen levels </w:t>
      </w:r>
      <w:r w:rsidR="00F94293" w:rsidRPr="00F6078B">
        <w:rPr>
          <w:rFonts w:ascii="Open Sans" w:hAnsi="Open Sans" w:cs="Open Sans"/>
          <w:color w:val="auto"/>
        </w:rPr>
        <w:t>and</w:t>
      </w:r>
      <w:r w:rsidR="007D7B9D" w:rsidRPr="00F6078B">
        <w:rPr>
          <w:rFonts w:ascii="Open Sans" w:hAnsi="Open Sans" w:cs="Open Sans"/>
          <w:color w:val="auto"/>
        </w:rPr>
        <w:t xml:space="preserve"> vital signs </w:t>
      </w:r>
      <w:r w:rsidR="00A67303" w:rsidRPr="00F6078B">
        <w:rPr>
          <w:rFonts w:ascii="Open Sans" w:hAnsi="Open Sans" w:cs="Open Sans"/>
          <w:color w:val="auto"/>
        </w:rPr>
        <w:t xml:space="preserve">have not been </w:t>
      </w:r>
      <w:r w:rsidR="007D7B9D" w:rsidRPr="00F6078B">
        <w:rPr>
          <w:rFonts w:ascii="Open Sans" w:hAnsi="Open Sans" w:cs="Open Sans"/>
          <w:color w:val="auto"/>
        </w:rPr>
        <w:t xml:space="preserve">documented for </w:t>
      </w:r>
      <w:r w:rsidR="0053067B">
        <w:rPr>
          <w:rFonts w:ascii="Open Sans" w:hAnsi="Open Sans" w:cs="Open Sans"/>
          <w:color w:val="auto"/>
        </w:rPr>
        <w:t>4</w:t>
      </w:r>
      <w:r w:rsidR="007D7B9D" w:rsidRPr="00F6078B">
        <w:rPr>
          <w:rFonts w:ascii="Open Sans" w:hAnsi="Open Sans" w:cs="Open Sans"/>
          <w:color w:val="auto"/>
        </w:rPr>
        <w:t xml:space="preserve"> consecutive days post the date of the </w:t>
      </w:r>
      <w:r w:rsidR="00A67303" w:rsidRPr="00F6078B">
        <w:rPr>
          <w:rFonts w:ascii="Open Sans" w:hAnsi="Open Sans" w:cs="Open Sans"/>
          <w:color w:val="auto"/>
        </w:rPr>
        <w:t>GP</w:t>
      </w:r>
      <w:r w:rsidR="006166F4" w:rsidRPr="00F6078B">
        <w:rPr>
          <w:rFonts w:ascii="Open Sans" w:hAnsi="Open Sans" w:cs="Open Sans"/>
          <w:color w:val="auto"/>
        </w:rPr>
        <w:t>’</w:t>
      </w:r>
      <w:r w:rsidR="00A67303" w:rsidRPr="00F6078B">
        <w:rPr>
          <w:rFonts w:ascii="Open Sans" w:hAnsi="Open Sans" w:cs="Open Sans"/>
          <w:color w:val="auto"/>
        </w:rPr>
        <w:t xml:space="preserve">s </w:t>
      </w:r>
      <w:r w:rsidR="007D7B9D" w:rsidRPr="00F6078B">
        <w:rPr>
          <w:rFonts w:ascii="Open Sans" w:hAnsi="Open Sans" w:cs="Open Sans"/>
          <w:color w:val="auto"/>
        </w:rPr>
        <w:t>directive.</w:t>
      </w:r>
      <w:r w:rsidR="0093553B" w:rsidRPr="00F6078B">
        <w:rPr>
          <w:rFonts w:ascii="Open Sans" w:hAnsi="Open Sans" w:cs="Open Sans"/>
          <w:color w:val="auto"/>
        </w:rPr>
        <w:t xml:space="preserve"> The GP</w:t>
      </w:r>
      <w:r w:rsidR="00914FE6" w:rsidRPr="00F6078B">
        <w:rPr>
          <w:rFonts w:ascii="Open Sans" w:hAnsi="Open Sans" w:cs="Open Sans"/>
          <w:color w:val="auto"/>
        </w:rPr>
        <w:t>’</w:t>
      </w:r>
      <w:r w:rsidR="0093553B" w:rsidRPr="00F6078B">
        <w:rPr>
          <w:rFonts w:ascii="Open Sans" w:hAnsi="Open Sans" w:cs="Open Sans"/>
          <w:color w:val="auto"/>
        </w:rPr>
        <w:t xml:space="preserve">s directives were </w:t>
      </w:r>
      <w:r w:rsidR="00377EC8" w:rsidRPr="00F6078B">
        <w:rPr>
          <w:rFonts w:ascii="Open Sans" w:hAnsi="Open Sans" w:cs="Open Sans"/>
          <w:color w:val="auto"/>
        </w:rPr>
        <w:t xml:space="preserve">implemented in response to a change in </w:t>
      </w:r>
      <w:r w:rsidR="00341E0E" w:rsidRPr="00F6078B">
        <w:rPr>
          <w:rFonts w:ascii="Open Sans" w:hAnsi="Open Sans" w:cs="Open Sans"/>
          <w:color w:val="auto"/>
        </w:rPr>
        <w:t xml:space="preserve">Consumer A’s </w:t>
      </w:r>
      <w:r w:rsidR="00377EC8" w:rsidRPr="00F6078B">
        <w:rPr>
          <w:rFonts w:ascii="Open Sans" w:hAnsi="Open Sans" w:cs="Open Sans"/>
          <w:color w:val="auto"/>
        </w:rPr>
        <w:t xml:space="preserve">condition, and </w:t>
      </w:r>
      <w:r w:rsidR="008D6073" w:rsidRPr="00F6078B">
        <w:rPr>
          <w:rFonts w:ascii="Open Sans" w:hAnsi="Open Sans" w:cs="Open Sans"/>
          <w:color w:val="auto"/>
        </w:rPr>
        <w:t>outlined actions staff should take, that</w:t>
      </w:r>
      <w:r w:rsidR="00324E2F" w:rsidRPr="00F6078B">
        <w:rPr>
          <w:rFonts w:ascii="Open Sans" w:hAnsi="Open Sans" w:cs="Open Sans"/>
          <w:color w:val="auto"/>
        </w:rPr>
        <w:t xml:space="preserve"> is</w:t>
      </w:r>
      <w:r w:rsidR="008D6073" w:rsidRPr="00F6078B">
        <w:rPr>
          <w:rFonts w:ascii="Open Sans" w:hAnsi="Open Sans" w:cs="Open Sans"/>
          <w:color w:val="auto"/>
        </w:rPr>
        <w:t xml:space="preserve"> referral to the emergency department,</w:t>
      </w:r>
      <w:r w:rsidR="00341E0E" w:rsidRPr="00F6078B">
        <w:rPr>
          <w:rFonts w:ascii="Open Sans" w:hAnsi="Open Sans" w:cs="Open Sans"/>
          <w:color w:val="auto"/>
        </w:rPr>
        <w:t xml:space="preserve"> where a decrease in </w:t>
      </w:r>
      <w:r w:rsidR="00A45ECE" w:rsidRPr="00F6078B">
        <w:rPr>
          <w:rFonts w:ascii="Open Sans" w:hAnsi="Open Sans" w:cs="Open Sans"/>
          <w:color w:val="auto"/>
        </w:rPr>
        <w:t xml:space="preserve">blood </w:t>
      </w:r>
      <w:r w:rsidR="00341E0E" w:rsidRPr="00F6078B">
        <w:rPr>
          <w:rFonts w:ascii="Open Sans" w:hAnsi="Open Sans" w:cs="Open Sans"/>
          <w:color w:val="auto"/>
        </w:rPr>
        <w:t>oxygen</w:t>
      </w:r>
      <w:r w:rsidR="00C61633" w:rsidRPr="00F6078B">
        <w:rPr>
          <w:rFonts w:ascii="Open Sans" w:hAnsi="Open Sans" w:cs="Open Sans"/>
          <w:color w:val="auto"/>
        </w:rPr>
        <w:t xml:space="preserve"> </w:t>
      </w:r>
      <w:r w:rsidR="00A45ECE" w:rsidRPr="00F6078B">
        <w:rPr>
          <w:rFonts w:ascii="Open Sans" w:hAnsi="Open Sans" w:cs="Open Sans"/>
          <w:color w:val="auto"/>
        </w:rPr>
        <w:t>levels</w:t>
      </w:r>
      <w:r w:rsidR="00C61633" w:rsidRPr="00F6078B">
        <w:rPr>
          <w:rFonts w:ascii="Open Sans" w:hAnsi="Open Sans" w:cs="Open Sans"/>
          <w:color w:val="auto"/>
        </w:rPr>
        <w:t xml:space="preserve"> </w:t>
      </w:r>
      <w:r w:rsidR="00324E2F" w:rsidRPr="00F6078B">
        <w:rPr>
          <w:rFonts w:ascii="Open Sans" w:hAnsi="Open Sans" w:cs="Open Sans"/>
          <w:color w:val="auto"/>
        </w:rPr>
        <w:t xml:space="preserve">was </w:t>
      </w:r>
      <w:r w:rsidR="00C61633" w:rsidRPr="00F6078B">
        <w:rPr>
          <w:rFonts w:ascii="Open Sans" w:hAnsi="Open Sans" w:cs="Open Sans"/>
          <w:color w:val="auto"/>
        </w:rPr>
        <w:t>noted.</w:t>
      </w:r>
      <w:r w:rsidR="00324E2F" w:rsidRPr="00F6078B">
        <w:rPr>
          <w:rFonts w:ascii="Open Sans" w:hAnsi="Open Sans" w:cs="Open Sans"/>
          <w:color w:val="auto"/>
        </w:rPr>
        <w:t xml:space="preserve"> </w:t>
      </w:r>
      <w:r w:rsidR="00400B7F" w:rsidRPr="00F6078B">
        <w:rPr>
          <w:rFonts w:ascii="Open Sans" w:hAnsi="Open Sans" w:cs="Open Sans"/>
          <w:color w:val="auto"/>
        </w:rPr>
        <w:t>I consider Consumer’s A’s condition</w:t>
      </w:r>
      <w:r w:rsidR="00111052" w:rsidRPr="00F6078B">
        <w:rPr>
          <w:rFonts w:ascii="Open Sans" w:hAnsi="Open Sans" w:cs="Open Sans"/>
          <w:color w:val="auto"/>
        </w:rPr>
        <w:t xml:space="preserve"> was not effectively monitored to enable changes in their health, condition and wellbeing to be recognised and actions taken in a timely manner. </w:t>
      </w:r>
    </w:p>
    <w:p w14:paraId="109B0A4E" w14:textId="669955E1" w:rsidR="007D7B9D" w:rsidRPr="000F53D2" w:rsidRDefault="00655F8F" w:rsidP="007D7B9D">
      <w:pPr>
        <w:rPr>
          <w:rFonts w:ascii="Open Sans" w:hAnsi="Open Sans" w:cs="Open Sans"/>
          <w:color w:val="auto"/>
        </w:rPr>
      </w:pPr>
      <w:r>
        <w:rPr>
          <w:rFonts w:ascii="Open Sans" w:hAnsi="Open Sans" w:cs="Open Sans"/>
          <w:color w:val="auto"/>
        </w:rPr>
        <w:t>I</w:t>
      </w:r>
      <w:r w:rsidR="00BC0A00" w:rsidRPr="000F53D2">
        <w:rPr>
          <w:rFonts w:ascii="Open Sans" w:hAnsi="Open Sans" w:cs="Open Sans"/>
          <w:color w:val="auto"/>
        </w:rPr>
        <w:t xml:space="preserve"> have placed weight on supporting documentation included in the provider’s response when </w:t>
      </w:r>
      <w:r w:rsidR="00EC1F08" w:rsidRPr="000F53D2">
        <w:rPr>
          <w:rFonts w:ascii="Open Sans" w:hAnsi="Open Sans" w:cs="Open Sans"/>
          <w:color w:val="auto"/>
        </w:rPr>
        <w:t>considering evidence presented relating to</w:t>
      </w:r>
      <w:r w:rsidR="00BC0A00" w:rsidRPr="000F53D2">
        <w:rPr>
          <w:rFonts w:ascii="Open Sans" w:hAnsi="Open Sans" w:cs="Open Sans"/>
          <w:color w:val="auto"/>
        </w:rPr>
        <w:t xml:space="preserve"> management of Consumers G and H’s wounds, and Consumer I’s pain</w:t>
      </w:r>
      <w:r w:rsidR="00107E4A" w:rsidRPr="000F53D2">
        <w:rPr>
          <w:rFonts w:ascii="Open Sans" w:hAnsi="Open Sans" w:cs="Open Sans"/>
          <w:color w:val="auto"/>
        </w:rPr>
        <w:t xml:space="preserve">, and find for these consumers, these aspects of care have been appropriately managed. </w:t>
      </w:r>
      <w:r w:rsidR="007D7B9D" w:rsidRPr="000F53D2">
        <w:rPr>
          <w:rFonts w:ascii="Open Sans" w:hAnsi="Open Sans" w:cs="Open Sans"/>
          <w:color w:val="auto"/>
        </w:rPr>
        <w:t xml:space="preserve">The provider indicates Consumer G’s wound has been clinically assessed as stable and not deteriorating. While I note the last </w:t>
      </w:r>
      <w:r w:rsidR="00806671">
        <w:rPr>
          <w:rFonts w:ascii="Open Sans" w:hAnsi="Open Sans" w:cs="Open Sans"/>
          <w:color w:val="auto"/>
        </w:rPr>
        <w:t>GP</w:t>
      </w:r>
      <w:r w:rsidR="007D7B9D" w:rsidRPr="000F53D2">
        <w:rPr>
          <w:rFonts w:ascii="Open Sans" w:hAnsi="Open Sans" w:cs="Open Sans"/>
          <w:color w:val="auto"/>
        </w:rPr>
        <w:t xml:space="preserve"> review occurred in June 2025, 33 days prior, it is not reasonable to expect a further GP review to have occurred given the recommendation for a review was made during the assessment contact. The provider’s response indicates the </w:t>
      </w:r>
      <w:r w:rsidR="000D624D">
        <w:rPr>
          <w:rFonts w:ascii="Open Sans" w:hAnsi="Open Sans" w:cs="Open Sans"/>
          <w:color w:val="auto"/>
        </w:rPr>
        <w:t>GP</w:t>
      </w:r>
      <w:r w:rsidR="007D7B9D" w:rsidRPr="000F53D2">
        <w:rPr>
          <w:rFonts w:ascii="Open Sans" w:hAnsi="Open Sans" w:cs="Open Sans"/>
          <w:color w:val="auto"/>
        </w:rPr>
        <w:t xml:space="preserve"> reviewed the wound the day following the assessment contact. A further review by a wound specialist has since been undertaken, </w:t>
      </w:r>
      <w:r w:rsidR="00D175E7">
        <w:rPr>
          <w:rFonts w:ascii="Open Sans" w:hAnsi="Open Sans" w:cs="Open Sans"/>
          <w:color w:val="auto"/>
        </w:rPr>
        <w:t xml:space="preserve">subsequently </w:t>
      </w:r>
      <w:r w:rsidR="007D7B9D" w:rsidRPr="000F53D2">
        <w:rPr>
          <w:rFonts w:ascii="Open Sans" w:hAnsi="Open Sans" w:cs="Open Sans"/>
          <w:color w:val="auto"/>
        </w:rPr>
        <w:t>highlight</w:t>
      </w:r>
      <w:r w:rsidR="00D175E7">
        <w:rPr>
          <w:rFonts w:ascii="Open Sans" w:hAnsi="Open Sans" w:cs="Open Sans"/>
          <w:color w:val="auto"/>
        </w:rPr>
        <w:t>ing</w:t>
      </w:r>
      <w:r w:rsidR="007D7B9D" w:rsidRPr="000F53D2">
        <w:rPr>
          <w:rFonts w:ascii="Open Sans" w:hAnsi="Open Sans" w:cs="Open Sans"/>
          <w:color w:val="auto"/>
        </w:rPr>
        <w:t xml:space="preserve"> the consumer’s comorbidities which are impacting wound healing. I find the evidence presented does not indicate poor wound management, and shows wound treatments have been attended, and regular review of the wound, including by a </w:t>
      </w:r>
      <w:r w:rsidR="00D175E7" w:rsidRPr="000F53D2">
        <w:rPr>
          <w:rFonts w:ascii="Open Sans" w:hAnsi="Open Sans" w:cs="Open Sans"/>
          <w:color w:val="auto"/>
        </w:rPr>
        <w:t>hospital-based</w:t>
      </w:r>
      <w:r w:rsidR="007D7B9D" w:rsidRPr="000F53D2">
        <w:rPr>
          <w:rFonts w:ascii="Open Sans" w:hAnsi="Open Sans" w:cs="Open Sans"/>
          <w:color w:val="auto"/>
        </w:rPr>
        <w:t xml:space="preserve"> service, has been undertaken. </w:t>
      </w:r>
    </w:p>
    <w:p w14:paraId="21DF9A1C" w14:textId="15998421" w:rsidR="007D7B9D" w:rsidRPr="000F53D2" w:rsidRDefault="007D7B9D" w:rsidP="007D7B9D">
      <w:pPr>
        <w:rPr>
          <w:rFonts w:ascii="Open Sans" w:hAnsi="Open Sans" w:cs="Open Sans"/>
          <w:color w:val="auto"/>
        </w:rPr>
      </w:pPr>
      <w:r w:rsidRPr="000F53D2">
        <w:rPr>
          <w:rFonts w:ascii="Open Sans" w:hAnsi="Open Sans" w:cs="Open Sans"/>
          <w:color w:val="auto"/>
        </w:rPr>
        <w:t xml:space="preserve">The provider’s response includes further context relating to application of an inappropriate dressing to </w:t>
      </w:r>
      <w:r w:rsidR="00A50132">
        <w:rPr>
          <w:rFonts w:ascii="Open Sans" w:hAnsi="Open Sans" w:cs="Open Sans"/>
          <w:color w:val="auto"/>
        </w:rPr>
        <w:t>Consumer</w:t>
      </w:r>
      <w:r w:rsidRPr="000F53D2">
        <w:rPr>
          <w:rFonts w:ascii="Open Sans" w:hAnsi="Open Sans" w:cs="Open Sans"/>
          <w:color w:val="auto"/>
        </w:rPr>
        <w:t xml:space="preserve"> H’s wound which was suggested by the GP </w:t>
      </w:r>
      <w:r w:rsidRPr="000F53D2">
        <w:rPr>
          <w:rFonts w:ascii="Open Sans" w:hAnsi="Open Sans" w:cs="Open Sans"/>
          <w:color w:val="auto"/>
        </w:rPr>
        <w:lastRenderedPageBreak/>
        <w:t xml:space="preserve">in response to a dressing product not being available. As evidenced by documentation included in the provider’s response, appropriate action was taken when the wound was noted to have deteriorated, with referral to a </w:t>
      </w:r>
      <w:r w:rsidR="00D175E7" w:rsidRPr="000F53D2">
        <w:rPr>
          <w:rFonts w:ascii="Open Sans" w:hAnsi="Open Sans" w:cs="Open Sans"/>
          <w:color w:val="auto"/>
        </w:rPr>
        <w:t>hospital-based</w:t>
      </w:r>
      <w:r w:rsidRPr="000F53D2">
        <w:rPr>
          <w:rFonts w:ascii="Open Sans" w:hAnsi="Open Sans" w:cs="Open Sans"/>
          <w:color w:val="auto"/>
        </w:rPr>
        <w:t xml:space="preserve"> service initiated and the dressing regime reviewed. A further review by a wound specialist has since been undertaken, highlight</w:t>
      </w:r>
      <w:r w:rsidR="00D175E7">
        <w:rPr>
          <w:rFonts w:ascii="Open Sans" w:hAnsi="Open Sans" w:cs="Open Sans"/>
          <w:color w:val="auto"/>
        </w:rPr>
        <w:t>ing</w:t>
      </w:r>
      <w:r w:rsidRPr="000F53D2">
        <w:rPr>
          <w:rFonts w:ascii="Open Sans" w:hAnsi="Open Sans" w:cs="Open Sans"/>
          <w:color w:val="auto"/>
        </w:rPr>
        <w:t xml:space="preserve"> the consumer’s comorbidities which are impacting wound healing.  </w:t>
      </w:r>
    </w:p>
    <w:p w14:paraId="497597C8" w14:textId="2588B2A8" w:rsidR="007D7B9D" w:rsidRPr="000F53D2" w:rsidRDefault="007D7B9D" w:rsidP="007D7B9D">
      <w:pPr>
        <w:rPr>
          <w:rFonts w:ascii="Open Sans" w:hAnsi="Open Sans" w:cs="Open Sans"/>
          <w:color w:val="auto"/>
        </w:rPr>
      </w:pPr>
      <w:r w:rsidRPr="000F53D2">
        <w:rPr>
          <w:rFonts w:ascii="Open Sans" w:hAnsi="Open Sans" w:cs="Open Sans"/>
          <w:color w:val="auto"/>
        </w:rPr>
        <w:t xml:space="preserve">While I acknowledge information highlighted relating to discharge documentation indicating Consumer I’s pain was not managed, the evidence presented does not explicitly state this is the case. Pain assessment and management charting for a </w:t>
      </w:r>
      <w:r w:rsidR="00D175E7" w:rsidRPr="000F53D2">
        <w:rPr>
          <w:rFonts w:ascii="Open Sans" w:hAnsi="Open Sans" w:cs="Open Sans"/>
          <w:color w:val="auto"/>
        </w:rPr>
        <w:t>20-day</w:t>
      </w:r>
      <w:r w:rsidRPr="000F53D2">
        <w:rPr>
          <w:rFonts w:ascii="Open Sans" w:hAnsi="Open Sans" w:cs="Open Sans"/>
          <w:color w:val="auto"/>
        </w:rPr>
        <w:t xml:space="preserve"> period in July 2025 shows the consumer’s pain and discomfort levels have been monitored and documented multiple times a day. During this period, there has been no indication of pain.  </w:t>
      </w:r>
    </w:p>
    <w:p w14:paraId="7D27025C" w14:textId="772B7B96" w:rsidR="005310B2" w:rsidRPr="000F53D2" w:rsidRDefault="005310B2" w:rsidP="005310B2">
      <w:pPr>
        <w:rPr>
          <w:rFonts w:ascii="Open Sans" w:hAnsi="Open Sans" w:cs="Open Sans"/>
          <w:color w:val="auto"/>
        </w:rPr>
      </w:pPr>
      <w:r w:rsidRPr="000F53D2">
        <w:rPr>
          <w:rFonts w:ascii="Open Sans" w:hAnsi="Open Sans" w:cs="Open Sans"/>
          <w:color w:val="auto"/>
        </w:rPr>
        <w:t>While I acknowledge evidence highlighted in relation to BSPs, as well as</w:t>
      </w:r>
      <w:r w:rsidR="007D7B9D" w:rsidRPr="000F53D2">
        <w:rPr>
          <w:rFonts w:ascii="Open Sans" w:hAnsi="Open Sans" w:cs="Open Sans"/>
          <w:color w:val="auto"/>
        </w:rPr>
        <w:t xml:space="preserve"> </w:t>
      </w:r>
      <w:r w:rsidRPr="000F53D2">
        <w:rPr>
          <w:rFonts w:ascii="Open Sans" w:hAnsi="Open Sans" w:cs="Open Sans"/>
          <w:color w:val="auto"/>
        </w:rPr>
        <w:t xml:space="preserve">restrictive practices and consent processes, the evidence presented does not suggest </w:t>
      </w:r>
      <w:r w:rsidR="00550B2D" w:rsidRPr="000F53D2">
        <w:rPr>
          <w:rFonts w:ascii="Open Sans" w:hAnsi="Open Sans" w:cs="Open Sans"/>
          <w:color w:val="auto"/>
        </w:rPr>
        <w:t xml:space="preserve">deficits </w:t>
      </w:r>
      <w:r w:rsidR="000F53D2" w:rsidRPr="000F53D2">
        <w:rPr>
          <w:rFonts w:ascii="Open Sans" w:hAnsi="Open Sans" w:cs="Open Sans"/>
          <w:color w:val="auto"/>
        </w:rPr>
        <w:t>with the</w:t>
      </w:r>
      <w:r w:rsidR="00550B2D" w:rsidRPr="000F53D2">
        <w:rPr>
          <w:rFonts w:ascii="Open Sans" w:hAnsi="Open Sans" w:cs="Open Sans"/>
          <w:color w:val="auto"/>
        </w:rPr>
        <w:t xml:space="preserve"> provision of consumers’ </w:t>
      </w:r>
      <w:r w:rsidRPr="000F53D2">
        <w:rPr>
          <w:rFonts w:ascii="Open Sans" w:hAnsi="Open Sans" w:cs="Open Sans"/>
          <w:color w:val="auto"/>
        </w:rPr>
        <w:t>personal and clinical care. I find the evidence is more aligned with assessment and planning, including consideration of risks</w:t>
      </w:r>
      <w:r w:rsidR="00DC52AE">
        <w:rPr>
          <w:rFonts w:ascii="Open Sans" w:hAnsi="Open Sans" w:cs="Open Sans"/>
          <w:color w:val="auto"/>
        </w:rPr>
        <w:t xml:space="preserve">, </w:t>
      </w:r>
      <w:r w:rsidRPr="000F53D2">
        <w:rPr>
          <w:rFonts w:ascii="Open Sans" w:hAnsi="Open Sans" w:cs="Open Sans"/>
          <w:color w:val="auto"/>
        </w:rPr>
        <w:t xml:space="preserve">and the organisation’s processes to identify opportunities to minimise the use of restrictive practices. As such, I have considered the evidence, and the provider’s related response, in my findings for requirements 2(3)(a) and 8(3)(e). </w:t>
      </w:r>
    </w:p>
    <w:p w14:paraId="74A1DFF9" w14:textId="32D08930" w:rsidR="00B02236" w:rsidRDefault="00B02236" w:rsidP="00B02236">
      <w:pPr>
        <w:pStyle w:val="NormalArial"/>
        <w:rPr>
          <w:rFonts w:ascii="Open Sans" w:hAnsi="Open Sans" w:cs="Open Sans"/>
          <w:color w:val="auto"/>
        </w:rPr>
      </w:pPr>
      <w:r>
        <w:rPr>
          <w:rFonts w:ascii="Open Sans" w:hAnsi="Open Sans" w:cs="Open Sans"/>
          <w:color w:val="auto"/>
        </w:rPr>
        <w:t>For the reasons detailed above, I find requirement 3(3)(a) no</w:t>
      </w:r>
      <w:r w:rsidR="00F62820">
        <w:rPr>
          <w:rFonts w:ascii="Open Sans" w:hAnsi="Open Sans" w:cs="Open Sans"/>
          <w:color w:val="auto"/>
        </w:rPr>
        <w:t>n</w:t>
      </w:r>
      <w:r>
        <w:rPr>
          <w:rFonts w:ascii="Open Sans" w:hAnsi="Open Sans" w:cs="Open Sans"/>
          <w:color w:val="auto"/>
        </w:rPr>
        <w:t xml:space="preserve">-compliant. </w:t>
      </w:r>
    </w:p>
    <w:p w14:paraId="40A49941" w14:textId="457D1C84" w:rsidR="008127F5" w:rsidRDefault="00305D0B" w:rsidP="008127F5">
      <w:pPr>
        <w:rPr>
          <w:rFonts w:ascii="Open Sans" w:hAnsi="Open Sans" w:cs="Open Sans"/>
          <w:color w:val="auto"/>
        </w:rPr>
      </w:pPr>
      <w:r w:rsidRPr="00333C50">
        <w:rPr>
          <w:rFonts w:ascii="Open Sans" w:hAnsi="Open Sans" w:cs="Open Sans"/>
          <w:b/>
          <w:bCs/>
          <w:color w:val="auto"/>
        </w:rPr>
        <w:t xml:space="preserve">Requirement </w:t>
      </w:r>
      <w:r>
        <w:rPr>
          <w:rFonts w:ascii="Open Sans" w:hAnsi="Open Sans" w:cs="Open Sans"/>
          <w:b/>
          <w:bCs/>
          <w:color w:val="auto"/>
        </w:rPr>
        <w:t>3</w:t>
      </w:r>
      <w:r w:rsidRPr="00333C50">
        <w:rPr>
          <w:rFonts w:ascii="Open Sans" w:hAnsi="Open Sans" w:cs="Open Sans"/>
          <w:b/>
          <w:bCs/>
          <w:color w:val="auto"/>
        </w:rPr>
        <w:t>(3)(</w:t>
      </w:r>
      <w:r>
        <w:rPr>
          <w:rFonts w:ascii="Open Sans" w:hAnsi="Open Sans" w:cs="Open Sans"/>
          <w:b/>
          <w:bCs/>
          <w:color w:val="auto"/>
        </w:rPr>
        <w:t>b</w:t>
      </w:r>
      <w:r w:rsidRPr="00333C50">
        <w:rPr>
          <w:rFonts w:ascii="Open Sans" w:hAnsi="Open Sans" w:cs="Open Sans"/>
          <w:b/>
          <w:bCs/>
          <w:color w:val="auto"/>
        </w:rPr>
        <w:t>)</w:t>
      </w:r>
      <w:r w:rsidRPr="00797984">
        <w:rPr>
          <w:rFonts w:ascii="Open Sans" w:hAnsi="Open Sans" w:cs="Open Sans"/>
          <w:color w:val="auto"/>
        </w:rPr>
        <w:t xml:space="preserve"> was found non-compliant following </w:t>
      </w:r>
      <w:r>
        <w:rPr>
          <w:rFonts w:ascii="Open Sans" w:hAnsi="Open Sans" w:cs="Open Sans"/>
          <w:color w:val="auto"/>
        </w:rPr>
        <w:t>a site audit</w:t>
      </w:r>
      <w:r w:rsidRPr="00797984">
        <w:rPr>
          <w:rFonts w:ascii="Open Sans" w:hAnsi="Open Sans" w:cs="Open Sans"/>
          <w:color w:val="auto"/>
        </w:rPr>
        <w:t xml:space="preserve"> </w:t>
      </w:r>
      <w:r>
        <w:rPr>
          <w:rFonts w:ascii="Open Sans" w:hAnsi="Open Sans" w:cs="Open Sans"/>
          <w:color w:val="auto"/>
        </w:rPr>
        <w:t>conducted</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Pr>
          <w:rFonts w:ascii="Open Sans" w:hAnsi="Open Sans" w:cs="Open Sans"/>
        </w:rPr>
        <w:t xml:space="preserve">3 April </w:t>
      </w:r>
      <w:r w:rsidR="00D175E7">
        <w:rPr>
          <w:rFonts w:ascii="Open Sans" w:hAnsi="Open Sans" w:cs="Open Sans"/>
        </w:rPr>
        <w:t xml:space="preserve">2025 </w:t>
      </w:r>
      <w:r w:rsidR="00D175E7" w:rsidRPr="00B80511">
        <w:rPr>
          <w:rFonts w:ascii="Open Sans" w:hAnsi="Open Sans" w:cs="Open Sans"/>
          <w:color w:val="auto"/>
        </w:rPr>
        <w:t>finding</w:t>
      </w:r>
      <w:r w:rsidRPr="00B80511">
        <w:rPr>
          <w:rFonts w:ascii="Open Sans" w:hAnsi="Open Sans" w:cs="Open Sans"/>
          <w:color w:val="auto"/>
        </w:rPr>
        <w:t xml:space="preserve"> </w:t>
      </w:r>
      <w:r w:rsidRPr="001E694D">
        <w:rPr>
          <w:rFonts w:ascii="Open Sans" w:hAnsi="Open Sans" w:cs="Open Sans"/>
        </w:rPr>
        <w:t>high</w:t>
      </w:r>
      <w:r>
        <w:rPr>
          <w:rFonts w:ascii="Open Sans" w:hAnsi="Open Sans" w:cs="Open Sans"/>
        </w:rPr>
        <w:t xml:space="preserve"> </w:t>
      </w:r>
      <w:r w:rsidRPr="001E694D">
        <w:rPr>
          <w:rFonts w:ascii="Open Sans" w:hAnsi="Open Sans" w:cs="Open Sans"/>
        </w:rPr>
        <w:t>impact or high</w:t>
      </w:r>
      <w:r>
        <w:rPr>
          <w:rFonts w:ascii="Open Sans" w:hAnsi="Open Sans" w:cs="Open Sans"/>
        </w:rPr>
        <w:t xml:space="preserve"> </w:t>
      </w:r>
      <w:r w:rsidRPr="001E694D">
        <w:rPr>
          <w:rFonts w:ascii="Open Sans" w:hAnsi="Open Sans" w:cs="Open Sans"/>
        </w:rPr>
        <w:t>prevalence risks</w:t>
      </w:r>
      <w:r>
        <w:rPr>
          <w:rFonts w:ascii="Open Sans" w:hAnsi="Open Sans" w:cs="Open Sans"/>
        </w:rPr>
        <w:t xml:space="preserve">, </w:t>
      </w:r>
      <w:r w:rsidRPr="0072272B">
        <w:rPr>
          <w:rFonts w:ascii="Open Sans" w:hAnsi="Open Sans" w:cs="Open Sans"/>
        </w:rPr>
        <w:t>specifically falls</w:t>
      </w:r>
      <w:r>
        <w:rPr>
          <w:rFonts w:ascii="Open Sans" w:hAnsi="Open Sans" w:cs="Open Sans"/>
        </w:rPr>
        <w:t xml:space="preserve">, </w:t>
      </w:r>
      <w:r w:rsidRPr="0072272B">
        <w:rPr>
          <w:rFonts w:ascii="Open Sans" w:hAnsi="Open Sans" w:cs="Open Sans"/>
        </w:rPr>
        <w:t>behaviour</w:t>
      </w:r>
      <w:r>
        <w:rPr>
          <w:rFonts w:ascii="Open Sans" w:hAnsi="Open Sans" w:cs="Open Sans"/>
        </w:rPr>
        <w:t>s,</w:t>
      </w:r>
      <w:r w:rsidRPr="0072272B">
        <w:rPr>
          <w:rFonts w:ascii="Open Sans" w:hAnsi="Open Sans" w:cs="Open Sans"/>
        </w:rPr>
        <w:t xml:space="preserve"> and use of chemical restrictive practices </w:t>
      </w:r>
      <w:r>
        <w:rPr>
          <w:rFonts w:ascii="Open Sans" w:hAnsi="Open Sans" w:cs="Open Sans"/>
        </w:rPr>
        <w:t>were not effectively managed</w:t>
      </w:r>
      <w:r w:rsidRPr="00797984">
        <w:rPr>
          <w:rFonts w:ascii="Open Sans" w:hAnsi="Open Sans" w:cs="Open Sans"/>
          <w:color w:val="auto"/>
        </w:rPr>
        <w:t xml:space="preserve">. </w:t>
      </w:r>
      <w:r w:rsidR="00BB32DC">
        <w:rPr>
          <w:rFonts w:ascii="Open Sans" w:hAnsi="Open Sans" w:cs="Open Sans"/>
          <w:color w:val="auto"/>
        </w:rPr>
        <w:t xml:space="preserve">The Assessment Team’s report did not include </w:t>
      </w:r>
      <w:r w:rsidR="00BB32DC" w:rsidRPr="005B44C6">
        <w:rPr>
          <w:rFonts w:ascii="Open Sans" w:hAnsi="Open Sans" w:cs="Open Sans"/>
          <w:color w:val="auto"/>
        </w:rPr>
        <w:t>improvement actions</w:t>
      </w:r>
      <w:r w:rsidR="00BB32DC">
        <w:rPr>
          <w:rFonts w:ascii="Open Sans" w:hAnsi="Open Sans" w:cs="Open Sans"/>
          <w:color w:val="auto"/>
        </w:rPr>
        <w:t xml:space="preserve"> the provider has implemented in response to the non-compliance</w:t>
      </w:r>
      <w:r w:rsidR="00A50132">
        <w:rPr>
          <w:rFonts w:ascii="Open Sans" w:hAnsi="Open Sans" w:cs="Open Sans"/>
          <w:color w:val="auto"/>
        </w:rPr>
        <w:t xml:space="preserve"> specific to this requirement</w:t>
      </w:r>
      <w:r w:rsidR="00BB32DC">
        <w:rPr>
          <w:rFonts w:ascii="Open Sans" w:hAnsi="Open Sans" w:cs="Open Sans"/>
          <w:color w:val="auto"/>
        </w:rPr>
        <w:t xml:space="preserve">. </w:t>
      </w:r>
      <w:r w:rsidR="008127F5" w:rsidRPr="00797984">
        <w:rPr>
          <w:rFonts w:ascii="Open Sans" w:hAnsi="Open Sans" w:cs="Open Sans"/>
          <w:color w:val="auto"/>
        </w:rPr>
        <w:t xml:space="preserve"> </w:t>
      </w:r>
    </w:p>
    <w:p w14:paraId="1600A8D0" w14:textId="6764011E" w:rsidR="008127F5" w:rsidRPr="008127F5" w:rsidRDefault="008127F5" w:rsidP="008127F5">
      <w:pPr>
        <w:rPr>
          <w:rFonts w:ascii="Open Sans" w:hAnsi="Open Sans" w:cs="Open Sans"/>
          <w:color w:val="auto"/>
        </w:rPr>
      </w:pPr>
      <w:r w:rsidRPr="008127F5">
        <w:rPr>
          <w:rFonts w:ascii="Open Sans" w:hAnsi="Open Sans" w:cs="Open Sans"/>
          <w:color w:val="auto"/>
        </w:rPr>
        <w:t xml:space="preserve">At the assessment contact in July 2025, the Assessment Team found high impact high prevalence risks, including clinical review of consumers following discharge from hospital, falls and medications were not effectively managed. The Assessment Team recommended requirement 3(3)(b) not met and provided the following information gathered through interviews and document review. </w:t>
      </w:r>
    </w:p>
    <w:p w14:paraId="5A784DA8" w14:textId="21CD7006" w:rsidR="00A93426" w:rsidRPr="00372E0F" w:rsidRDefault="005B7C69" w:rsidP="00372E0F">
      <w:pPr>
        <w:rPr>
          <w:rFonts w:ascii="Open Sans" w:hAnsi="Open Sans" w:cs="Open Sans"/>
          <w:color w:val="auto"/>
        </w:rPr>
      </w:pPr>
      <w:r>
        <w:rPr>
          <w:rFonts w:ascii="Open Sans" w:hAnsi="Open Sans" w:cs="Open Sans"/>
          <w:color w:val="auto"/>
        </w:rPr>
        <w:t>A</w:t>
      </w:r>
      <w:r w:rsidR="00A93426" w:rsidRPr="00372E0F">
        <w:rPr>
          <w:rFonts w:ascii="Open Sans" w:hAnsi="Open Sans" w:cs="Open Sans"/>
          <w:color w:val="auto"/>
        </w:rPr>
        <w:t xml:space="preserve"> range of assessments</w:t>
      </w:r>
      <w:r w:rsidR="00F70510">
        <w:rPr>
          <w:rFonts w:ascii="Open Sans" w:hAnsi="Open Sans" w:cs="Open Sans"/>
          <w:color w:val="auto"/>
        </w:rPr>
        <w:t>,</w:t>
      </w:r>
      <w:r w:rsidR="00A93426" w:rsidRPr="00372E0F">
        <w:rPr>
          <w:rFonts w:ascii="Open Sans" w:hAnsi="Open Sans" w:cs="Open Sans"/>
          <w:color w:val="auto"/>
        </w:rPr>
        <w:t xml:space="preserve"> including skin and mobility</w:t>
      </w:r>
      <w:r w:rsidR="00F70510">
        <w:rPr>
          <w:rFonts w:ascii="Open Sans" w:hAnsi="Open Sans" w:cs="Open Sans"/>
          <w:color w:val="auto"/>
        </w:rPr>
        <w:t xml:space="preserve"> were</w:t>
      </w:r>
      <w:r w:rsidR="00A93426" w:rsidRPr="00372E0F">
        <w:rPr>
          <w:rFonts w:ascii="Open Sans" w:hAnsi="Open Sans" w:cs="Open Sans"/>
          <w:color w:val="auto"/>
        </w:rPr>
        <w:t xml:space="preserve"> not reviewed on </w:t>
      </w:r>
      <w:r>
        <w:rPr>
          <w:rFonts w:ascii="Open Sans" w:hAnsi="Open Sans" w:cs="Open Sans"/>
          <w:color w:val="auto"/>
        </w:rPr>
        <w:t xml:space="preserve">Consumer E’s </w:t>
      </w:r>
      <w:r w:rsidR="00A93426" w:rsidRPr="00372E0F">
        <w:rPr>
          <w:rFonts w:ascii="Open Sans" w:hAnsi="Open Sans" w:cs="Open Sans"/>
          <w:color w:val="auto"/>
        </w:rPr>
        <w:t>return from hospital</w:t>
      </w:r>
      <w:r>
        <w:rPr>
          <w:rFonts w:ascii="Open Sans" w:hAnsi="Open Sans" w:cs="Open Sans"/>
          <w:color w:val="auto"/>
        </w:rPr>
        <w:t xml:space="preserve"> in July 2025</w:t>
      </w:r>
      <w:r w:rsidR="003D401F">
        <w:rPr>
          <w:rFonts w:ascii="Open Sans" w:hAnsi="Open Sans" w:cs="Open Sans"/>
          <w:color w:val="auto"/>
        </w:rPr>
        <w:t xml:space="preserve">, in line with </w:t>
      </w:r>
      <w:r w:rsidR="00A93426" w:rsidRPr="00372E0F">
        <w:rPr>
          <w:rFonts w:ascii="Open Sans" w:hAnsi="Open Sans" w:cs="Open Sans"/>
          <w:color w:val="auto"/>
        </w:rPr>
        <w:t>organisational policy</w:t>
      </w:r>
      <w:r w:rsidR="003D401F">
        <w:rPr>
          <w:rFonts w:ascii="Open Sans" w:hAnsi="Open Sans" w:cs="Open Sans"/>
          <w:color w:val="auto"/>
        </w:rPr>
        <w:t xml:space="preserve">, and the consumer has not been reviewed by the </w:t>
      </w:r>
      <w:r>
        <w:rPr>
          <w:rFonts w:ascii="Open Sans" w:hAnsi="Open Sans" w:cs="Open Sans"/>
          <w:color w:val="auto"/>
        </w:rPr>
        <w:t>GP</w:t>
      </w:r>
      <w:r w:rsidR="00A93426" w:rsidRPr="00372E0F">
        <w:rPr>
          <w:rFonts w:ascii="Open Sans" w:hAnsi="Open Sans" w:cs="Open Sans"/>
          <w:color w:val="auto"/>
        </w:rPr>
        <w:t>.</w:t>
      </w:r>
      <w:r w:rsidR="00346414">
        <w:rPr>
          <w:rFonts w:ascii="Open Sans" w:hAnsi="Open Sans" w:cs="Open Sans"/>
          <w:color w:val="auto"/>
        </w:rPr>
        <w:t xml:space="preserve"> </w:t>
      </w:r>
      <w:r w:rsidR="00C738CC">
        <w:rPr>
          <w:rFonts w:ascii="Open Sans" w:hAnsi="Open Sans" w:cs="Open Sans"/>
          <w:color w:val="auto"/>
        </w:rPr>
        <w:t>C</w:t>
      </w:r>
      <w:r w:rsidR="00346414">
        <w:rPr>
          <w:rFonts w:ascii="Open Sans" w:hAnsi="Open Sans" w:cs="Open Sans"/>
          <w:color w:val="auto"/>
        </w:rPr>
        <w:t xml:space="preserve">onsumer </w:t>
      </w:r>
      <w:r w:rsidR="00C738CC">
        <w:rPr>
          <w:rFonts w:ascii="Open Sans" w:hAnsi="Open Sans" w:cs="Open Sans"/>
          <w:color w:val="auto"/>
        </w:rPr>
        <w:t xml:space="preserve">H </w:t>
      </w:r>
      <w:r w:rsidR="00346414">
        <w:rPr>
          <w:rFonts w:ascii="Open Sans" w:hAnsi="Open Sans" w:cs="Open Sans"/>
          <w:color w:val="auto"/>
        </w:rPr>
        <w:t xml:space="preserve">has not been referred to </w:t>
      </w:r>
      <w:r w:rsidR="00A93426" w:rsidRPr="00A93426">
        <w:rPr>
          <w:rFonts w:ascii="Open Sans" w:hAnsi="Open Sans" w:cs="Open Sans"/>
          <w:color w:val="auto"/>
        </w:rPr>
        <w:t xml:space="preserve">wound specialist services as recommended </w:t>
      </w:r>
      <w:r w:rsidR="00A93426" w:rsidRPr="00372E0F">
        <w:rPr>
          <w:rFonts w:ascii="Open Sans" w:hAnsi="Open Sans" w:cs="Open Sans"/>
          <w:color w:val="auto"/>
        </w:rPr>
        <w:t xml:space="preserve">by a </w:t>
      </w:r>
      <w:r w:rsidR="00D175E7" w:rsidRPr="00372E0F">
        <w:rPr>
          <w:rFonts w:ascii="Open Sans" w:hAnsi="Open Sans" w:cs="Open Sans"/>
          <w:color w:val="auto"/>
        </w:rPr>
        <w:t>hospital</w:t>
      </w:r>
      <w:r w:rsidR="00D175E7">
        <w:rPr>
          <w:rFonts w:ascii="Open Sans" w:hAnsi="Open Sans" w:cs="Open Sans"/>
          <w:color w:val="auto"/>
        </w:rPr>
        <w:t>-based</w:t>
      </w:r>
      <w:r w:rsidR="00A93426" w:rsidRPr="00372E0F">
        <w:rPr>
          <w:rFonts w:ascii="Open Sans" w:hAnsi="Open Sans" w:cs="Open Sans"/>
          <w:color w:val="auto"/>
        </w:rPr>
        <w:t xml:space="preserve"> service </w:t>
      </w:r>
      <w:r w:rsidR="00346414">
        <w:rPr>
          <w:rFonts w:ascii="Open Sans" w:hAnsi="Open Sans" w:cs="Open Sans"/>
          <w:color w:val="auto"/>
        </w:rPr>
        <w:t>in</w:t>
      </w:r>
      <w:r w:rsidR="00A93426" w:rsidRPr="00372E0F">
        <w:rPr>
          <w:rFonts w:ascii="Open Sans" w:hAnsi="Open Sans" w:cs="Open Sans"/>
          <w:color w:val="auto"/>
        </w:rPr>
        <w:t xml:space="preserve"> April 2025. </w:t>
      </w:r>
      <w:r w:rsidR="008B6AE5">
        <w:rPr>
          <w:rFonts w:ascii="Open Sans" w:hAnsi="Open Sans" w:cs="Open Sans"/>
          <w:color w:val="auto"/>
        </w:rPr>
        <w:t>A care file shows a consumer</w:t>
      </w:r>
      <w:r w:rsidR="00A7362E">
        <w:rPr>
          <w:rFonts w:ascii="Open Sans" w:hAnsi="Open Sans" w:cs="Open Sans"/>
          <w:color w:val="auto"/>
        </w:rPr>
        <w:t xml:space="preserve"> (Consumer J)</w:t>
      </w:r>
      <w:r w:rsidR="00C26363">
        <w:rPr>
          <w:rFonts w:ascii="Open Sans" w:hAnsi="Open Sans" w:cs="Open Sans"/>
          <w:color w:val="auto"/>
        </w:rPr>
        <w:t xml:space="preserve"> </w:t>
      </w:r>
      <w:r w:rsidR="008B6AE5">
        <w:rPr>
          <w:rFonts w:ascii="Open Sans" w:hAnsi="Open Sans" w:cs="Open Sans"/>
          <w:color w:val="auto"/>
        </w:rPr>
        <w:t xml:space="preserve">has not been reviewed by a </w:t>
      </w:r>
      <w:r w:rsidR="008B6AE5" w:rsidRPr="00372E0F">
        <w:rPr>
          <w:rFonts w:ascii="Open Sans" w:hAnsi="Open Sans" w:cs="Open Sans"/>
          <w:color w:val="auto"/>
        </w:rPr>
        <w:t>physiothera</w:t>
      </w:r>
      <w:r w:rsidR="008B6AE5">
        <w:rPr>
          <w:rFonts w:ascii="Open Sans" w:hAnsi="Open Sans" w:cs="Open Sans"/>
          <w:color w:val="auto"/>
        </w:rPr>
        <w:t xml:space="preserve">pist </w:t>
      </w:r>
      <w:r w:rsidR="008B6AE5" w:rsidRPr="00372E0F">
        <w:rPr>
          <w:rFonts w:ascii="Open Sans" w:hAnsi="Open Sans" w:cs="Open Sans"/>
          <w:color w:val="auto"/>
        </w:rPr>
        <w:t>following falls in June 2025 and July 2025</w:t>
      </w:r>
      <w:r w:rsidR="00A50132">
        <w:rPr>
          <w:rFonts w:ascii="Open Sans" w:hAnsi="Open Sans" w:cs="Open Sans"/>
          <w:color w:val="auto"/>
        </w:rPr>
        <w:t>, and a</w:t>
      </w:r>
      <w:r w:rsidR="00346414">
        <w:rPr>
          <w:rFonts w:ascii="Open Sans" w:hAnsi="Open Sans" w:cs="Open Sans"/>
          <w:color w:val="auto"/>
        </w:rPr>
        <w:t xml:space="preserve"> falls risk assessment for </w:t>
      </w:r>
      <w:r w:rsidR="00AD468F">
        <w:rPr>
          <w:rFonts w:ascii="Open Sans" w:hAnsi="Open Sans" w:cs="Open Sans"/>
          <w:color w:val="auto"/>
        </w:rPr>
        <w:t>Consumer</w:t>
      </w:r>
      <w:r w:rsidR="00A7362E">
        <w:rPr>
          <w:rFonts w:ascii="Open Sans" w:hAnsi="Open Sans" w:cs="Open Sans"/>
          <w:color w:val="auto"/>
        </w:rPr>
        <w:t xml:space="preserve"> F</w:t>
      </w:r>
      <w:r w:rsidR="00346414">
        <w:rPr>
          <w:rFonts w:ascii="Open Sans" w:hAnsi="Open Sans" w:cs="Open Sans"/>
          <w:color w:val="auto"/>
        </w:rPr>
        <w:t xml:space="preserve"> has not been updated following a fall in </w:t>
      </w:r>
      <w:r w:rsidR="00A93426" w:rsidRPr="00372E0F">
        <w:rPr>
          <w:rFonts w:ascii="Open Sans" w:hAnsi="Open Sans" w:cs="Open Sans"/>
          <w:color w:val="auto"/>
        </w:rPr>
        <w:t>July 2025.</w:t>
      </w:r>
      <w:r w:rsidR="00D802F2">
        <w:rPr>
          <w:rFonts w:ascii="Open Sans" w:hAnsi="Open Sans" w:cs="Open Sans"/>
          <w:color w:val="auto"/>
        </w:rPr>
        <w:t xml:space="preserve"> For another consumer</w:t>
      </w:r>
      <w:r w:rsidR="00A7362E">
        <w:rPr>
          <w:rFonts w:ascii="Open Sans" w:hAnsi="Open Sans" w:cs="Open Sans"/>
          <w:color w:val="auto"/>
        </w:rPr>
        <w:t xml:space="preserve"> (Consumer K)</w:t>
      </w:r>
      <w:r w:rsidR="00D802F2">
        <w:rPr>
          <w:rFonts w:ascii="Open Sans" w:hAnsi="Open Sans" w:cs="Open Sans"/>
          <w:color w:val="auto"/>
        </w:rPr>
        <w:t xml:space="preserve">, neurological observations were not </w:t>
      </w:r>
      <w:r w:rsidR="00D802F2">
        <w:rPr>
          <w:rFonts w:ascii="Open Sans" w:hAnsi="Open Sans" w:cs="Open Sans"/>
          <w:color w:val="auto"/>
        </w:rPr>
        <w:lastRenderedPageBreak/>
        <w:t>consistently taken in line with organisational policy following an</w:t>
      </w:r>
      <w:r w:rsidR="00A93426" w:rsidRPr="00372E0F">
        <w:rPr>
          <w:rFonts w:ascii="Open Sans" w:hAnsi="Open Sans" w:cs="Open Sans"/>
          <w:color w:val="auto"/>
        </w:rPr>
        <w:t xml:space="preserve"> unwitnessed fall </w:t>
      </w:r>
      <w:r w:rsidR="00D802F2">
        <w:rPr>
          <w:rFonts w:ascii="Open Sans" w:hAnsi="Open Sans" w:cs="Open Sans"/>
          <w:color w:val="auto"/>
        </w:rPr>
        <w:t xml:space="preserve">with a head strike </w:t>
      </w:r>
      <w:r w:rsidR="00624EA5" w:rsidRPr="00372E0F">
        <w:rPr>
          <w:rFonts w:ascii="Open Sans" w:hAnsi="Open Sans" w:cs="Open Sans"/>
          <w:color w:val="auto"/>
        </w:rPr>
        <w:t>in</w:t>
      </w:r>
      <w:r w:rsidR="00A93426" w:rsidRPr="00372E0F">
        <w:rPr>
          <w:rFonts w:ascii="Open Sans" w:hAnsi="Open Sans" w:cs="Open Sans"/>
          <w:color w:val="auto"/>
        </w:rPr>
        <w:t xml:space="preserve"> July </w:t>
      </w:r>
      <w:r w:rsidR="00D802F2">
        <w:rPr>
          <w:rFonts w:ascii="Open Sans" w:hAnsi="Open Sans" w:cs="Open Sans"/>
          <w:color w:val="auto"/>
        </w:rPr>
        <w:t>2025</w:t>
      </w:r>
      <w:r w:rsidR="00A93426" w:rsidRPr="00372E0F">
        <w:rPr>
          <w:rFonts w:ascii="Open Sans" w:hAnsi="Open Sans" w:cs="Open Sans"/>
          <w:color w:val="auto"/>
        </w:rPr>
        <w:t xml:space="preserve">. </w:t>
      </w:r>
    </w:p>
    <w:p w14:paraId="17489802" w14:textId="2FF7F984" w:rsidR="00A93426" w:rsidRPr="003E4AFA" w:rsidRDefault="00A93426" w:rsidP="003E4AFA">
      <w:pPr>
        <w:rPr>
          <w:rFonts w:ascii="Open Sans" w:hAnsi="Open Sans" w:cs="Open Sans"/>
          <w:color w:val="auto"/>
        </w:rPr>
      </w:pPr>
      <w:r w:rsidRPr="00372E0F">
        <w:rPr>
          <w:rFonts w:ascii="Open Sans" w:hAnsi="Open Sans" w:cs="Open Sans"/>
          <w:color w:val="auto"/>
        </w:rPr>
        <w:t xml:space="preserve">The incident register from April 2025 </w:t>
      </w:r>
      <w:r w:rsidR="009F14F6" w:rsidRPr="00372E0F">
        <w:rPr>
          <w:rFonts w:ascii="Open Sans" w:hAnsi="Open Sans" w:cs="Open Sans"/>
          <w:color w:val="auto"/>
        </w:rPr>
        <w:t>includes</w:t>
      </w:r>
      <w:r w:rsidRPr="00372E0F">
        <w:rPr>
          <w:rFonts w:ascii="Open Sans" w:hAnsi="Open Sans" w:cs="Open Sans"/>
          <w:color w:val="auto"/>
        </w:rPr>
        <w:t xml:space="preserve"> 23 medication incidents noted as ‘nil stock’ available for individual consumers.</w:t>
      </w:r>
      <w:r w:rsidR="009F14F6" w:rsidRPr="00372E0F">
        <w:rPr>
          <w:rFonts w:ascii="Open Sans" w:hAnsi="Open Sans" w:cs="Open Sans"/>
          <w:color w:val="auto"/>
        </w:rPr>
        <w:t xml:space="preserve"> This include</w:t>
      </w:r>
      <w:r w:rsidR="00932344">
        <w:rPr>
          <w:rFonts w:ascii="Open Sans" w:hAnsi="Open Sans" w:cs="Open Sans"/>
          <w:color w:val="auto"/>
        </w:rPr>
        <w:t>s</w:t>
      </w:r>
      <w:r w:rsidR="009F14F6" w:rsidRPr="00372E0F">
        <w:rPr>
          <w:rFonts w:ascii="Open Sans" w:hAnsi="Open Sans" w:cs="Open Sans"/>
          <w:color w:val="auto"/>
        </w:rPr>
        <w:t xml:space="preserve"> medications for blood pressure</w:t>
      </w:r>
      <w:r w:rsidR="00372E0F" w:rsidRPr="00372E0F">
        <w:rPr>
          <w:rFonts w:ascii="Open Sans" w:hAnsi="Open Sans" w:cs="Open Sans"/>
          <w:color w:val="auto"/>
        </w:rPr>
        <w:t xml:space="preserve">, pain and respiratory issues. </w:t>
      </w:r>
      <w:r w:rsidR="002C257C">
        <w:rPr>
          <w:rFonts w:ascii="Open Sans" w:hAnsi="Open Sans" w:cs="Open Sans"/>
          <w:color w:val="auto"/>
        </w:rPr>
        <w:t>T</w:t>
      </w:r>
      <w:r w:rsidRPr="00372E0F">
        <w:rPr>
          <w:rFonts w:ascii="Open Sans" w:hAnsi="Open Sans" w:cs="Open Sans"/>
          <w:color w:val="auto"/>
        </w:rPr>
        <w:t>he period of time each consumer was without their medication</w:t>
      </w:r>
      <w:r w:rsidR="002C257C">
        <w:rPr>
          <w:rFonts w:ascii="Open Sans" w:hAnsi="Open Sans" w:cs="Open Sans"/>
          <w:color w:val="auto"/>
        </w:rPr>
        <w:t xml:space="preserve"> is not clear </w:t>
      </w:r>
      <w:r w:rsidR="00457BD3">
        <w:rPr>
          <w:rFonts w:ascii="Open Sans" w:hAnsi="Open Sans" w:cs="Open Sans"/>
          <w:color w:val="auto"/>
        </w:rPr>
        <w:t>from</w:t>
      </w:r>
      <w:r w:rsidR="002C257C">
        <w:rPr>
          <w:rFonts w:ascii="Open Sans" w:hAnsi="Open Sans" w:cs="Open Sans"/>
          <w:color w:val="auto"/>
        </w:rPr>
        <w:t xml:space="preserve"> the register or</w:t>
      </w:r>
      <w:r w:rsidR="00457BD3">
        <w:rPr>
          <w:rFonts w:ascii="Open Sans" w:hAnsi="Open Sans" w:cs="Open Sans"/>
          <w:color w:val="auto"/>
        </w:rPr>
        <w:t xml:space="preserve"> progress notes</w:t>
      </w:r>
      <w:r w:rsidRPr="00372E0F">
        <w:rPr>
          <w:rFonts w:ascii="Open Sans" w:hAnsi="Open Sans" w:cs="Open Sans"/>
          <w:color w:val="auto"/>
        </w:rPr>
        <w:t xml:space="preserve">. </w:t>
      </w:r>
      <w:r w:rsidR="00932344">
        <w:rPr>
          <w:rFonts w:ascii="Open Sans" w:hAnsi="Open Sans" w:cs="Open Sans"/>
          <w:color w:val="auto"/>
        </w:rPr>
        <w:t>The l</w:t>
      </w:r>
      <w:r w:rsidR="000B3034" w:rsidRPr="001B7921">
        <w:rPr>
          <w:rFonts w:ascii="Open Sans" w:hAnsi="Open Sans" w:cs="Open Sans"/>
          <w:color w:val="auto"/>
        </w:rPr>
        <w:t>ack of a nurse-initiated medication list was identified at the site audit in February 2025</w:t>
      </w:r>
      <w:r w:rsidR="00F2079F">
        <w:rPr>
          <w:rFonts w:ascii="Open Sans" w:hAnsi="Open Sans" w:cs="Open Sans"/>
          <w:color w:val="auto"/>
        </w:rPr>
        <w:t xml:space="preserve"> and </w:t>
      </w:r>
      <w:r w:rsidR="00604D14">
        <w:rPr>
          <w:rFonts w:ascii="Open Sans" w:hAnsi="Open Sans" w:cs="Open Sans"/>
          <w:color w:val="auto"/>
        </w:rPr>
        <w:t>m</w:t>
      </w:r>
      <w:r w:rsidR="000B3034" w:rsidRPr="001B7921">
        <w:rPr>
          <w:rFonts w:ascii="Open Sans" w:hAnsi="Open Sans" w:cs="Open Sans"/>
          <w:color w:val="auto"/>
        </w:rPr>
        <w:t xml:space="preserve">anagement </w:t>
      </w:r>
      <w:r w:rsidR="00604D14">
        <w:rPr>
          <w:rFonts w:ascii="Open Sans" w:hAnsi="Open Sans" w:cs="Open Sans"/>
          <w:color w:val="auto"/>
        </w:rPr>
        <w:t xml:space="preserve">acknowledged this </w:t>
      </w:r>
      <w:r w:rsidR="000B3034" w:rsidRPr="001B7921">
        <w:rPr>
          <w:rFonts w:ascii="Open Sans" w:hAnsi="Open Sans" w:cs="Open Sans"/>
          <w:color w:val="auto"/>
        </w:rPr>
        <w:t xml:space="preserve">has not yet been developed. On one morning in June 2025, one consumer did not receive their analgesic, with </w:t>
      </w:r>
      <w:r w:rsidR="00D175E7" w:rsidRPr="001B7921">
        <w:rPr>
          <w:rFonts w:ascii="Open Sans" w:hAnsi="Open Sans" w:cs="Open Sans"/>
          <w:color w:val="auto"/>
        </w:rPr>
        <w:t>nurse-initiated</w:t>
      </w:r>
      <w:r w:rsidR="000B3034" w:rsidRPr="001B7921">
        <w:rPr>
          <w:rFonts w:ascii="Open Sans" w:hAnsi="Open Sans" w:cs="Open Sans"/>
          <w:color w:val="auto"/>
        </w:rPr>
        <w:t xml:space="preserve"> medications not used as an alternative.</w:t>
      </w:r>
      <w:r w:rsidR="000B3034">
        <w:rPr>
          <w:rFonts w:ascii="Open Sans" w:hAnsi="Open Sans" w:cs="Open Sans"/>
          <w:color w:val="auto"/>
        </w:rPr>
        <w:t xml:space="preserve"> </w:t>
      </w:r>
    </w:p>
    <w:p w14:paraId="26CA642C" w14:textId="4E068E5D" w:rsidR="00D32C6B" w:rsidRPr="005B564F" w:rsidRDefault="0068017D" w:rsidP="0037127C">
      <w:pPr>
        <w:pStyle w:val="NormalArial"/>
        <w:rPr>
          <w:rFonts w:ascii="Open Sans" w:hAnsi="Open Sans" w:cs="Open Sans"/>
          <w:color w:val="auto"/>
        </w:rPr>
      </w:pPr>
      <w:r w:rsidRPr="005B564F">
        <w:rPr>
          <w:rFonts w:ascii="Open Sans" w:hAnsi="Open Sans" w:cs="Open Sans"/>
          <w:color w:val="auto"/>
        </w:rPr>
        <w:t>I have come to a different finding to that of the Assessment Team’s recommendation of not met and find this requirement compliant. While I acknowledge evidence brought forward by the Assessment Team,</w:t>
      </w:r>
      <w:r w:rsidR="008B40F0" w:rsidRPr="005B564F">
        <w:rPr>
          <w:rFonts w:ascii="Open Sans" w:hAnsi="Open Sans" w:cs="Open Sans"/>
          <w:color w:val="auto"/>
        </w:rPr>
        <w:t xml:space="preserve"> I do not consider the evidence </w:t>
      </w:r>
      <w:r w:rsidR="0037127C" w:rsidRPr="005B564F">
        <w:rPr>
          <w:rFonts w:ascii="Open Sans" w:hAnsi="Open Sans" w:cs="Open Sans"/>
          <w:color w:val="auto"/>
        </w:rPr>
        <w:t xml:space="preserve">presented is indicative of systemic issues as they relate </w:t>
      </w:r>
      <w:r w:rsidR="00D175E7" w:rsidRPr="005B564F">
        <w:rPr>
          <w:rFonts w:ascii="Open Sans" w:hAnsi="Open Sans" w:cs="Open Sans"/>
          <w:color w:val="auto"/>
        </w:rPr>
        <w:t>to management</w:t>
      </w:r>
      <w:r w:rsidR="0037127C" w:rsidRPr="005B564F">
        <w:rPr>
          <w:rFonts w:ascii="Open Sans" w:hAnsi="Open Sans" w:cs="Open Sans"/>
          <w:color w:val="auto"/>
        </w:rPr>
        <w:t xml:space="preserve"> of high impact or high prevalence risks relating to consumers’ care. </w:t>
      </w:r>
      <w:r w:rsidR="008B40F0" w:rsidRPr="005B564F">
        <w:rPr>
          <w:rFonts w:ascii="Open Sans" w:hAnsi="Open Sans" w:cs="Open Sans"/>
          <w:color w:val="auto"/>
        </w:rPr>
        <w:t xml:space="preserve">In coming to my finding, I have placed weight on </w:t>
      </w:r>
      <w:r w:rsidR="0087091F" w:rsidRPr="005B564F">
        <w:rPr>
          <w:rFonts w:ascii="Open Sans" w:hAnsi="Open Sans" w:cs="Open Sans"/>
          <w:color w:val="auto"/>
        </w:rPr>
        <w:t>supporting documentation included in the provider’s response.</w:t>
      </w:r>
    </w:p>
    <w:p w14:paraId="467F541A" w14:textId="7A77A5DF" w:rsidR="00AD468F" w:rsidRPr="005B564F" w:rsidRDefault="00AB704B" w:rsidP="00AD468F">
      <w:pPr>
        <w:rPr>
          <w:rFonts w:ascii="Open Sans" w:hAnsi="Open Sans" w:cs="Open Sans"/>
          <w:color w:val="auto"/>
        </w:rPr>
      </w:pPr>
      <w:r w:rsidRPr="005B564F">
        <w:rPr>
          <w:rFonts w:ascii="Open Sans" w:hAnsi="Open Sans" w:cs="Open Sans"/>
          <w:color w:val="auto"/>
        </w:rPr>
        <w:t xml:space="preserve">Progress notes show recommendations from a </w:t>
      </w:r>
      <w:r w:rsidR="00D175E7" w:rsidRPr="005B564F">
        <w:rPr>
          <w:rFonts w:ascii="Open Sans" w:hAnsi="Open Sans" w:cs="Open Sans"/>
          <w:color w:val="auto"/>
        </w:rPr>
        <w:t>hospital-based</w:t>
      </w:r>
      <w:r w:rsidRPr="005B564F">
        <w:rPr>
          <w:rFonts w:ascii="Open Sans" w:hAnsi="Open Sans" w:cs="Open Sans"/>
          <w:color w:val="auto"/>
        </w:rPr>
        <w:t xml:space="preserve"> service do not direct the service to initiate a referral to</w:t>
      </w:r>
      <w:r w:rsidR="007A4F23">
        <w:rPr>
          <w:rFonts w:ascii="Open Sans" w:hAnsi="Open Sans" w:cs="Open Sans"/>
          <w:color w:val="auto"/>
        </w:rPr>
        <w:t xml:space="preserve"> </w:t>
      </w:r>
      <w:r w:rsidR="00AD468F" w:rsidRPr="005B564F">
        <w:rPr>
          <w:rFonts w:ascii="Open Sans" w:hAnsi="Open Sans" w:cs="Open Sans"/>
          <w:color w:val="auto"/>
        </w:rPr>
        <w:t xml:space="preserve">a </w:t>
      </w:r>
      <w:r w:rsidRPr="005B564F">
        <w:rPr>
          <w:rFonts w:ascii="Open Sans" w:hAnsi="Open Sans" w:cs="Open Sans"/>
          <w:color w:val="auto"/>
        </w:rPr>
        <w:t xml:space="preserve">wound specialist for Consumer H. Rather, notes state the service can source a service for ongoing wound care. </w:t>
      </w:r>
      <w:r w:rsidR="00AD468F" w:rsidRPr="005B564F">
        <w:rPr>
          <w:rFonts w:ascii="Open Sans" w:hAnsi="Open Sans" w:cs="Open Sans"/>
          <w:color w:val="auto"/>
        </w:rPr>
        <w:t xml:space="preserve">Additionally, progress notes </w:t>
      </w:r>
      <w:r w:rsidR="0037127C" w:rsidRPr="005B564F">
        <w:rPr>
          <w:rFonts w:ascii="Open Sans" w:hAnsi="Open Sans" w:cs="Open Sans"/>
          <w:color w:val="auto"/>
        </w:rPr>
        <w:t>for</w:t>
      </w:r>
      <w:r w:rsidR="00AD468F" w:rsidRPr="005B564F">
        <w:rPr>
          <w:rFonts w:ascii="Open Sans" w:hAnsi="Open Sans" w:cs="Open Sans"/>
          <w:color w:val="auto"/>
        </w:rPr>
        <w:t xml:space="preserve"> Consumer </w:t>
      </w:r>
      <w:r w:rsidR="007A4F23">
        <w:rPr>
          <w:rFonts w:ascii="Open Sans" w:hAnsi="Open Sans" w:cs="Open Sans"/>
          <w:color w:val="auto"/>
        </w:rPr>
        <w:t>J</w:t>
      </w:r>
      <w:r w:rsidR="0037127C" w:rsidRPr="005B564F">
        <w:rPr>
          <w:rFonts w:ascii="Open Sans" w:hAnsi="Open Sans" w:cs="Open Sans"/>
          <w:color w:val="auto"/>
        </w:rPr>
        <w:t xml:space="preserve"> show a </w:t>
      </w:r>
      <w:r w:rsidR="00AD468F" w:rsidRPr="005B564F">
        <w:rPr>
          <w:rFonts w:ascii="Open Sans" w:hAnsi="Open Sans" w:cs="Open Sans"/>
          <w:color w:val="auto"/>
        </w:rPr>
        <w:t>physiotherapist</w:t>
      </w:r>
      <w:r w:rsidR="0037127C" w:rsidRPr="005B564F">
        <w:rPr>
          <w:rFonts w:ascii="Open Sans" w:hAnsi="Open Sans" w:cs="Open Sans"/>
          <w:color w:val="auto"/>
        </w:rPr>
        <w:t xml:space="preserve"> review occurred</w:t>
      </w:r>
      <w:r w:rsidR="00AD468F" w:rsidRPr="005B564F">
        <w:rPr>
          <w:rFonts w:ascii="Open Sans" w:hAnsi="Open Sans" w:cs="Open Sans"/>
          <w:color w:val="auto"/>
        </w:rPr>
        <w:t xml:space="preserve"> the following day post each fall. The provider acknowledges neurological observations were not conducted in line with organisational policy following Consumer K’s fall in July 2025. In response, the provider has reported this to the related nursing agency and has strengthened internal auditing processes to ensure post-falls neurological observations are conducted as required. </w:t>
      </w:r>
    </w:p>
    <w:p w14:paraId="3E573A78" w14:textId="02BACBE9" w:rsidR="00D32C6B" w:rsidRPr="005B564F" w:rsidRDefault="002A659F" w:rsidP="00305D0B">
      <w:pPr>
        <w:rPr>
          <w:rFonts w:ascii="Open Sans" w:hAnsi="Open Sans" w:cs="Open Sans"/>
          <w:color w:val="auto"/>
        </w:rPr>
      </w:pPr>
      <w:r w:rsidRPr="005B564F">
        <w:rPr>
          <w:rFonts w:ascii="Open Sans" w:hAnsi="Open Sans" w:cs="Open Sans"/>
          <w:color w:val="auto"/>
        </w:rPr>
        <w:t>I consider appropriate measures have been taken by the prov</w:t>
      </w:r>
      <w:r w:rsidR="005E7C6C" w:rsidRPr="005B564F">
        <w:rPr>
          <w:rFonts w:ascii="Open Sans" w:hAnsi="Open Sans" w:cs="Open Sans"/>
          <w:color w:val="auto"/>
        </w:rPr>
        <w:t xml:space="preserve">ider </w:t>
      </w:r>
      <w:r w:rsidR="00C10CB1" w:rsidRPr="005B564F">
        <w:rPr>
          <w:rFonts w:ascii="Open Sans" w:hAnsi="Open Sans" w:cs="Open Sans"/>
          <w:color w:val="auto"/>
        </w:rPr>
        <w:t>to mitigate risk</w:t>
      </w:r>
      <w:r w:rsidR="00931131" w:rsidRPr="005B564F">
        <w:rPr>
          <w:rFonts w:ascii="Open Sans" w:hAnsi="Open Sans" w:cs="Open Sans"/>
          <w:color w:val="auto"/>
        </w:rPr>
        <w:t>s</w:t>
      </w:r>
      <w:r w:rsidR="00C10CB1" w:rsidRPr="005B564F">
        <w:rPr>
          <w:rFonts w:ascii="Open Sans" w:hAnsi="Open Sans" w:cs="Open Sans"/>
          <w:color w:val="auto"/>
        </w:rPr>
        <w:t xml:space="preserve"> to consumers relating to </w:t>
      </w:r>
      <w:r w:rsidR="005E7C6C" w:rsidRPr="005B564F">
        <w:rPr>
          <w:rFonts w:ascii="Open Sans" w:hAnsi="Open Sans" w:cs="Open Sans"/>
          <w:color w:val="auto"/>
        </w:rPr>
        <w:t xml:space="preserve">medication supply issues. </w:t>
      </w:r>
      <w:r w:rsidR="00C10CB1" w:rsidRPr="005B564F">
        <w:rPr>
          <w:rFonts w:ascii="Open Sans" w:hAnsi="Open Sans" w:cs="Open Sans"/>
          <w:color w:val="auto"/>
        </w:rPr>
        <w:t>M</w:t>
      </w:r>
      <w:r w:rsidR="005E7C6C" w:rsidRPr="005B564F">
        <w:rPr>
          <w:rFonts w:ascii="Open Sans" w:hAnsi="Open Sans" w:cs="Open Sans"/>
          <w:color w:val="auto"/>
        </w:rPr>
        <w:t xml:space="preserve">anagement </w:t>
      </w:r>
      <w:r w:rsidR="00C10CB1" w:rsidRPr="005B564F">
        <w:rPr>
          <w:rFonts w:ascii="Open Sans" w:hAnsi="Open Sans" w:cs="Open Sans"/>
          <w:color w:val="auto"/>
        </w:rPr>
        <w:t xml:space="preserve">have </w:t>
      </w:r>
      <w:r w:rsidR="005E7C6C" w:rsidRPr="005B564F">
        <w:rPr>
          <w:rFonts w:ascii="Open Sans" w:hAnsi="Open Sans" w:cs="Open Sans"/>
          <w:color w:val="auto"/>
        </w:rPr>
        <w:t>formally me</w:t>
      </w:r>
      <w:r w:rsidR="00C10CB1" w:rsidRPr="005B564F">
        <w:rPr>
          <w:rFonts w:ascii="Open Sans" w:hAnsi="Open Sans" w:cs="Open Sans"/>
          <w:color w:val="auto"/>
        </w:rPr>
        <w:t>t</w:t>
      </w:r>
      <w:r w:rsidR="005E7C6C" w:rsidRPr="005B564F">
        <w:rPr>
          <w:rFonts w:ascii="Open Sans" w:hAnsi="Open Sans" w:cs="Open Sans"/>
          <w:color w:val="auto"/>
        </w:rPr>
        <w:t xml:space="preserve"> with the pharmaceutical provider in response to the issue, as well as after-hours provision of medications. </w:t>
      </w:r>
      <w:r w:rsidR="008A1CAD" w:rsidRPr="005B564F">
        <w:rPr>
          <w:rFonts w:ascii="Open Sans" w:hAnsi="Open Sans" w:cs="Open Sans"/>
          <w:color w:val="auto"/>
        </w:rPr>
        <w:t xml:space="preserve">Monitoring processes are in place, with </w:t>
      </w:r>
      <w:r w:rsidR="005C7B0C" w:rsidRPr="005B564F">
        <w:rPr>
          <w:rFonts w:ascii="Open Sans" w:hAnsi="Open Sans" w:cs="Open Sans"/>
          <w:color w:val="auto"/>
        </w:rPr>
        <w:t xml:space="preserve">a reduction in supply issues noted over the last 3 months, </w:t>
      </w:r>
      <w:r w:rsidR="00931131" w:rsidRPr="005B564F">
        <w:rPr>
          <w:rFonts w:ascii="Open Sans" w:hAnsi="Open Sans" w:cs="Open Sans"/>
          <w:color w:val="auto"/>
        </w:rPr>
        <w:t>including</w:t>
      </w:r>
      <w:r w:rsidR="005C7B0C" w:rsidRPr="005B564F">
        <w:rPr>
          <w:rFonts w:ascii="Open Sans" w:hAnsi="Open Sans" w:cs="Open Sans"/>
          <w:color w:val="auto"/>
        </w:rPr>
        <w:t xml:space="preserve"> no issues identified in July 2025. A further meeting between the provider and the pharmacy is scheduled for August 2025.</w:t>
      </w:r>
    </w:p>
    <w:p w14:paraId="0CA3E6FB" w14:textId="7920BEEA" w:rsidR="00413943" w:rsidRPr="005B564F" w:rsidRDefault="00AD72DB" w:rsidP="00305D0B">
      <w:pPr>
        <w:rPr>
          <w:rFonts w:ascii="Open Sans" w:hAnsi="Open Sans" w:cs="Open Sans"/>
          <w:color w:val="auto"/>
        </w:rPr>
      </w:pPr>
      <w:r w:rsidRPr="005B564F">
        <w:rPr>
          <w:rFonts w:ascii="Open Sans" w:hAnsi="Open Sans" w:cs="Open Sans"/>
          <w:color w:val="auto"/>
        </w:rPr>
        <w:t xml:space="preserve">While I acknowledge </w:t>
      </w:r>
      <w:r w:rsidR="00D175E7">
        <w:rPr>
          <w:rFonts w:ascii="Open Sans" w:hAnsi="Open Sans" w:cs="Open Sans"/>
          <w:color w:val="auto"/>
        </w:rPr>
        <w:t xml:space="preserve">a </w:t>
      </w:r>
      <w:r w:rsidR="00241A18" w:rsidRPr="005B564F">
        <w:rPr>
          <w:rFonts w:ascii="Open Sans" w:hAnsi="Open Sans" w:cs="Open Sans"/>
          <w:color w:val="auto"/>
        </w:rPr>
        <w:t xml:space="preserve">lack of </w:t>
      </w:r>
      <w:r w:rsidR="00D175E7" w:rsidRPr="005B564F">
        <w:rPr>
          <w:rFonts w:ascii="Open Sans" w:hAnsi="Open Sans" w:cs="Open Sans"/>
          <w:color w:val="auto"/>
        </w:rPr>
        <w:t>nurse-initiated</w:t>
      </w:r>
      <w:r w:rsidR="00241A18" w:rsidRPr="005B564F">
        <w:rPr>
          <w:rFonts w:ascii="Open Sans" w:hAnsi="Open Sans" w:cs="Open Sans"/>
          <w:color w:val="auto"/>
        </w:rPr>
        <w:t xml:space="preserve"> medication supply, the evidence presented does not demonstrate this has adversely impacted consumers. </w:t>
      </w:r>
      <w:r w:rsidR="00EF4794" w:rsidRPr="005B564F">
        <w:rPr>
          <w:rFonts w:ascii="Open Sans" w:hAnsi="Open Sans" w:cs="Open Sans"/>
          <w:color w:val="auto"/>
        </w:rPr>
        <w:t xml:space="preserve">An improvement action </w:t>
      </w:r>
      <w:r w:rsidR="000576D9" w:rsidRPr="005B564F">
        <w:rPr>
          <w:rFonts w:ascii="Open Sans" w:hAnsi="Open Sans" w:cs="Open Sans"/>
          <w:color w:val="auto"/>
        </w:rPr>
        <w:t xml:space="preserve">identified in May 2025 </w:t>
      </w:r>
      <w:r w:rsidR="00EF4794" w:rsidRPr="005B564F">
        <w:rPr>
          <w:rFonts w:ascii="Open Sans" w:hAnsi="Open Sans" w:cs="Open Sans"/>
          <w:color w:val="auto"/>
        </w:rPr>
        <w:t xml:space="preserve">relating to imprest medication stock is included on the </w:t>
      </w:r>
      <w:r w:rsidR="000576D9" w:rsidRPr="005B564F">
        <w:rPr>
          <w:rFonts w:ascii="Open Sans" w:hAnsi="Open Sans" w:cs="Open Sans"/>
          <w:color w:val="auto"/>
        </w:rPr>
        <w:t xml:space="preserve">PCI, with </w:t>
      </w:r>
      <w:r w:rsidR="00321646" w:rsidRPr="005B564F">
        <w:rPr>
          <w:rFonts w:ascii="Open Sans" w:hAnsi="Open Sans" w:cs="Open Sans"/>
          <w:color w:val="auto"/>
        </w:rPr>
        <w:t xml:space="preserve">a planned due date of September 2025. </w:t>
      </w:r>
      <w:r w:rsidR="00AC0E2B" w:rsidRPr="005B564F">
        <w:rPr>
          <w:rFonts w:ascii="Open Sans" w:hAnsi="Open Sans" w:cs="Open Sans"/>
          <w:color w:val="auto"/>
        </w:rPr>
        <w:t>Related tasks include review</w:t>
      </w:r>
      <w:r w:rsidR="001A110D">
        <w:rPr>
          <w:rFonts w:ascii="Open Sans" w:hAnsi="Open Sans" w:cs="Open Sans"/>
          <w:color w:val="auto"/>
        </w:rPr>
        <w:t>ing</w:t>
      </w:r>
      <w:r w:rsidR="00AC0E2B" w:rsidRPr="005B564F">
        <w:rPr>
          <w:rFonts w:ascii="Open Sans" w:hAnsi="Open Sans" w:cs="Open Sans"/>
          <w:color w:val="auto"/>
        </w:rPr>
        <w:t xml:space="preserve"> and implementing policies and procedures; ensuring compliance with </w:t>
      </w:r>
      <w:r w:rsidR="001E7CC7" w:rsidRPr="005B564F">
        <w:rPr>
          <w:rFonts w:ascii="Open Sans" w:hAnsi="Open Sans" w:cs="Open Sans"/>
          <w:color w:val="auto"/>
        </w:rPr>
        <w:t>related</w:t>
      </w:r>
      <w:r w:rsidR="00AC0E2B" w:rsidRPr="005B564F">
        <w:rPr>
          <w:rFonts w:ascii="Open Sans" w:hAnsi="Open Sans" w:cs="Open Sans"/>
          <w:color w:val="auto"/>
        </w:rPr>
        <w:t xml:space="preserve"> legislative and </w:t>
      </w:r>
      <w:r w:rsidR="001E7CC7" w:rsidRPr="005B564F">
        <w:rPr>
          <w:rFonts w:ascii="Open Sans" w:hAnsi="Open Sans" w:cs="Open Sans"/>
          <w:color w:val="auto"/>
        </w:rPr>
        <w:t>regulatory</w:t>
      </w:r>
      <w:r w:rsidR="00AC0E2B" w:rsidRPr="005B564F">
        <w:rPr>
          <w:rFonts w:ascii="Open Sans" w:hAnsi="Open Sans" w:cs="Open Sans"/>
          <w:color w:val="auto"/>
        </w:rPr>
        <w:t xml:space="preserve"> requirements; staff training; </w:t>
      </w:r>
      <w:r w:rsidR="00A94BF6" w:rsidRPr="005B564F">
        <w:rPr>
          <w:rFonts w:ascii="Open Sans" w:hAnsi="Open Sans" w:cs="Open Sans"/>
          <w:color w:val="auto"/>
        </w:rPr>
        <w:t xml:space="preserve">and implementing monitoring processes. </w:t>
      </w:r>
      <w:r w:rsidR="00413943" w:rsidRPr="005B564F">
        <w:rPr>
          <w:rFonts w:ascii="Open Sans" w:hAnsi="Open Sans" w:cs="Open Sans"/>
          <w:color w:val="auto"/>
        </w:rPr>
        <w:t xml:space="preserve"> </w:t>
      </w:r>
    </w:p>
    <w:p w14:paraId="5EAEAE7B" w14:textId="4B31CA09" w:rsidR="008C6414" w:rsidRPr="005B564F" w:rsidRDefault="00DA73EB" w:rsidP="00305D0B">
      <w:pPr>
        <w:rPr>
          <w:rFonts w:ascii="Open Sans" w:hAnsi="Open Sans" w:cs="Open Sans"/>
          <w:color w:val="auto"/>
        </w:rPr>
      </w:pPr>
      <w:r w:rsidRPr="005B564F">
        <w:rPr>
          <w:rFonts w:ascii="Open Sans" w:hAnsi="Open Sans" w:cs="Open Sans"/>
          <w:color w:val="auto"/>
        </w:rPr>
        <w:lastRenderedPageBreak/>
        <w:t>T</w:t>
      </w:r>
      <w:r w:rsidR="00FE2685" w:rsidRPr="005B564F">
        <w:rPr>
          <w:rFonts w:ascii="Open Sans" w:hAnsi="Open Sans" w:cs="Open Sans"/>
          <w:color w:val="auto"/>
        </w:rPr>
        <w:t>he</w:t>
      </w:r>
      <w:r w:rsidR="001E66D7" w:rsidRPr="005B564F">
        <w:rPr>
          <w:rFonts w:ascii="Open Sans" w:hAnsi="Open Sans" w:cs="Open Sans"/>
          <w:color w:val="auto"/>
        </w:rPr>
        <w:t xml:space="preserve"> types of medications missed by consumers</w:t>
      </w:r>
      <w:r w:rsidR="00C60658" w:rsidRPr="005B564F">
        <w:rPr>
          <w:rFonts w:ascii="Open Sans" w:hAnsi="Open Sans" w:cs="Open Sans"/>
          <w:color w:val="auto"/>
        </w:rPr>
        <w:t xml:space="preserve"> through inadequate supply include</w:t>
      </w:r>
      <w:r w:rsidR="006F64D5">
        <w:rPr>
          <w:rFonts w:ascii="Open Sans" w:hAnsi="Open Sans" w:cs="Open Sans"/>
          <w:color w:val="auto"/>
        </w:rPr>
        <w:t>s</w:t>
      </w:r>
      <w:r w:rsidR="00C60658" w:rsidRPr="005B564F">
        <w:rPr>
          <w:rFonts w:ascii="Open Sans" w:hAnsi="Open Sans" w:cs="Open Sans"/>
          <w:color w:val="auto"/>
        </w:rPr>
        <w:t xml:space="preserve"> </w:t>
      </w:r>
      <w:r w:rsidR="009B0B4B" w:rsidRPr="005B564F">
        <w:rPr>
          <w:rFonts w:ascii="Open Sans" w:hAnsi="Open Sans" w:cs="Open Sans"/>
          <w:color w:val="auto"/>
        </w:rPr>
        <w:t>medications for blood pressure</w:t>
      </w:r>
      <w:r w:rsidR="00CD0A49" w:rsidRPr="005B564F">
        <w:rPr>
          <w:rFonts w:ascii="Open Sans" w:hAnsi="Open Sans" w:cs="Open Sans"/>
          <w:color w:val="auto"/>
        </w:rPr>
        <w:t>, pain and respiratory issues</w:t>
      </w:r>
      <w:r w:rsidRPr="005B564F">
        <w:rPr>
          <w:rFonts w:ascii="Open Sans" w:hAnsi="Open Sans" w:cs="Open Sans"/>
          <w:color w:val="auto"/>
        </w:rPr>
        <w:t>. T</w:t>
      </w:r>
      <w:r w:rsidR="00FE2685" w:rsidRPr="005B564F">
        <w:rPr>
          <w:rFonts w:ascii="Open Sans" w:hAnsi="Open Sans" w:cs="Open Sans"/>
          <w:color w:val="auto"/>
        </w:rPr>
        <w:t>he</w:t>
      </w:r>
      <w:r w:rsidR="00F81E5A" w:rsidRPr="005B564F">
        <w:rPr>
          <w:rFonts w:ascii="Open Sans" w:hAnsi="Open Sans" w:cs="Open Sans"/>
          <w:color w:val="auto"/>
        </w:rPr>
        <w:t xml:space="preserve"> Assessment Team’s report does not </w:t>
      </w:r>
      <w:r w:rsidR="009D488B" w:rsidRPr="005B564F">
        <w:rPr>
          <w:rFonts w:ascii="Open Sans" w:hAnsi="Open Sans" w:cs="Open Sans"/>
          <w:color w:val="auto"/>
        </w:rPr>
        <w:t>highlight any adverse consumer impacts in response</w:t>
      </w:r>
      <w:r w:rsidR="00FE2685" w:rsidRPr="005B564F">
        <w:rPr>
          <w:rFonts w:ascii="Open Sans" w:hAnsi="Open Sans" w:cs="Open Sans"/>
          <w:color w:val="auto"/>
        </w:rPr>
        <w:t>, nor does the report</w:t>
      </w:r>
      <w:r w:rsidRPr="005B564F">
        <w:rPr>
          <w:rFonts w:ascii="Open Sans" w:hAnsi="Open Sans" w:cs="Open Sans"/>
          <w:color w:val="auto"/>
        </w:rPr>
        <w:t xml:space="preserve"> or the provider’s response</w:t>
      </w:r>
      <w:r w:rsidR="00FE2685" w:rsidRPr="005B564F">
        <w:rPr>
          <w:rFonts w:ascii="Open Sans" w:hAnsi="Open Sans" w:cs="Open Sans"/>
          <w:color w:val="auto"/>
        </w:rPr>
        <w:t xml:space="preserve"> </w:t>
      </w:r>
      <w:r w:rsidR="00234887" w:rsidRPr="005B564F">
        <w:rPr>
          <w:rFonts w:ascii="Open Sans" w:hAnsi="Open Sans" w:cs="Open Sans"/>
          <w:color w:val="auto"/>
        </w:rPr>
        <w:t xml:space="preserve">elaborate on how consumers’ </w:t>
      </w:r>
      <w:r w:rsidR="00176BE8" w:rsidRPr="005B564F">
        <w:rPr>
          <w:rFonts w:ascii="Open Sans" w:hAnsi="Open Sans" w:cs="Open Sans"/>
          <w:color w:val="auto"/>
        </w:rPr>
        <w:t>health, condition and wellbeing were monitored</w:t>
      </w:r>
      <w:r w:rsidR="00234887" w:rsidRPr="005B564F">
        <w:rPr>
          <w:rFonts w:ascii="Open Sans" w:hAnsi="Open Sans" w:cs="Open Sans"/>
          <w:color w:val="auto"/>
        </w:rPr>
        <w:t xml:space="preserve"> </w:t>
      </w:r>
      <w:r w:rsidR="00FC50D8" w:rsidRPr="005B564F">
        <w:rPr>
          <w:rFonts w:ascii="Open Sans" w:hAnsi="Open Sans" w:cs="Open Sans"/>
          <w:color w:val="auto"/>
        </w:rPr>
        <w:t xml:space="preserve">following missed administration of these medications. </w:t>
      </w:r>
      <w:r w:rsidR="00D65E3A" w:rsidRPr="005B564F">
        <w:rPr>
          <w:rFonts w:ascii="Open Sans" w:hAnsi="Open Sans" w:cs="Open Sans"/>
          <w:color w:val="auto"/>
        </w:rPr>
        <w:t xml:space="preserve">I would encourage the provider to review their processes relating to </w:t>
      </w:r>
      <w:r w:rsidR="008C6414" w:rsidRPr="005B564F">
        <w:rPr>
          <w:rFonts w:ascii="Open Sans" w:hAnsi="Open Sans" w:cs="Open Sans"/>
          <w:color w:val="auto"/>
        </w:rPr>
        <w:t xml:space="preserve">how consumers are monitored for adverse effects in the event medications prescribed are not available. </w:t>
      </w:r>
      <w:r w:rsidR="00176BE8" w:rsidRPr="005B564F">
        <w:rPr>
          <w:rFonts w:ascii="Open Sans" w:hAnsi="Open Sans" w:cs="Open Sans"/>
          <w:color w:val="auto"/>
        </w:rPr>
        <w:t xml:space="preserve"> </w:t>
      </w:r>
    </w:p>
    <w:p w14:paraId="7C4C2065" w14:textId="34690790" w:rsidR="000E6FAC" w:rsidRDefault="00AB704B" w:rsidP="000E6FAC">
      <w:pPr>
        <w:rPr>
          <w:rFonts w:ascii="Open Sans" w:hAnsi="Open Sans" w:cs="Open Sans"/>
          <w:color w:val="auto"/>
        </w:rPr>
      </w:pPr>
      <w:r w:rsidRPr="000E6FAC">
        <w:rPr>
          <w:rFonts w:ascii="Open Sans" w:hAnsi="Open Sans" w:cs="Open Sans"/>
          <w:color w:val="auto"/>
        </w:rPr>
        <w:t xml:space="preserve">In relation to evidence presented </w:t>
      </w:r>
      <w:r w:rsidR="006F64D5">
        <w:rPr>
          <w:rFonts w:ascii="Open Sans" w:hAnsi="Open Sans" w:cs="Open Sans"/>
          <w:color w:val="auto"/>
        </w:rPr>
        <w:t>for</w:t>
      </w:r>
      <w:r w:rsidRPr="000E6FAC">
        <w:rPr>
          <w:rFonts w:ascii="Open Sans" w:hAnsi="Open Sans" w:cs="Open Sans"/>
          <w:color w:val="auto"/>
        </w:rPr>
        <w:t xml:space="preserve"> Consumer</w:t>
      </w:r>
      <w:r w:rsidR="000E6FAC" w:rsidRPr="000E6FAC">
        <w:rPr>
          <w:rFonts w:ascii="Open Sans" w:hAnsi="Open Sans" w:cs="Open Sans"/>
          <w:color w:val="auto"/>
        </w:rPr>
        <w:t>s</w:t>
      </w:r>
      <w:r w:rsidRPr="000E6FAC">
        <w:rPr>
          <w:rFonts w:ascii="Open Sans" w:hAnsi="Open Sans" w:cs="Open Sans"/>
          <w:color w:val="auto"/>
        </w:rPr>
        <w:t xml:space="preserve"> E</w:t>
      </w:r>
      <w:r w:rsidR="000E6FAC" w:rsidRPr="000E6FAC">
        <w:rPr>
          <w:rFonts w:ascii="Open Sans" w:hAnsi="Open Sans" w:cs="Open Sans"/>
          <w:color w:val="auto"/>
        </w:rPr>
        <w:t xml:space="preserve"> and F</w:t>
      </w:r>
      <w:r w:rsidRPr="000E6FAC">
        <w:rPr>
          <w:rFonts w:ascii="Open Sans" w:hAnsi="Open Sans" w:cs="Open Sans"/>
          <w:color w:val="auto"/>
        </w:rPr>
        <w:t>, I do not consider lack of review or update of assessments demonstrates high impact or high prevalence risks are not being managed. I find this evidence is more aligned with assessment and planning, and as such, have considered this information and the provider’s related response in my finding for requirement 2(3)(e).</w:t>
      </w:r>
    </w:p>
    <w:p w14:paraId="6E689B98" w14:textId="0F83CC30" w:rsidR="008C6414" w:rsidRPr="000E6FAC" w:rsidRDefault="008C6414" w:rsidP="000E6FAC">
      <w:pPr>
        <w:rPr>
          <w:rFonts w:ascii="Open Sans" w:hAnsi="Open Sans" w:cs="Open Sans"/>
          <w:i/>
          <w:iCs/>
          <w:color w:val="FF0000"/>
        </w:rPr>
      </w:pPr>
      <w:r>
        <w:rPr>
          <w:rFonts w:ascii="Open Sans" w:hAnsi="Open Sans" w:cs="Open Sans"/>
          <w:color w:val="auto"/>
        </w:rPr>
        <w:t xml:space="preserve">For the reasons detailed above, I find requirement 3(3)(b) compliant. </w:t>
      </w:r>
    </w:p>
    <w:p w14:paraId="53FAFE0A" w14:textId="3E25FA2C" w:rsidR="004A4D04" w:rsidRPr="00AD72DB" w:rsidRDefault="005C7B0C" w:rsidP="00305D0B">
      <w:pPr>
        <w:rPr>
          <w:rFonts w:ascii="Open Sans" w:hAnsi="Open Sans" w:cs="Open Sans"/>
          <w:i/>
          <w:iCs/>
        </w:rPr>
      </w:pPr>
      <w:r w:rsidRPr="00AD72DB">
        <w:rPr>
          <w:rFonts w:ascii="Open Sans" w:hAnsi="Open Sans" w:cs="Open Sans"/>
          <w:i/>
          <w:iCs/>
          <w:color w:val="FF0000"/>
        </w:rPr>
        <w:t xml:space="preserve"> </w:t>
      </w:r>
      <w:r w:rsidR="005E7C6C" w:rsidRPr="00AD72DB">
        <w:rPr>
          <w:rFonts w:ascii="Open Sans" w:hAnsi="Open Sans" w:cs="Open Sans"/>
          <w:i/>
          <w:iCs/>
          <w:color w:val="FF0000"/>
        </w:rPr>
        <w:t xml:space="preserve"> </w:t>
      </w:r>
      <w:r w:rsidR="004A4D04" w:rsidRPr="00AD72DB">
        <w:rPr>
          <w:rFonts w:ascii="Open Sans" w:hAnsi="Open Sans" w:cs="Open Sans"/>
          <w:i/>
          <w:iCs/>
        </w:rPr>
        <w:br w:type="page"/>
      </w:r>
    </w:p>
    <w:p w14:paraId="214CF870" w14:textId="77777777" w:rsidR="004A4D04" w:rsidRPr="001E694D" w:rsidRDefault="004A4D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61C3D" w14:paraId="427CBFAA" w14:textId="77777777" w:rsidTr="009D4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20E3B68F" w14:textId="77777777" w:rsidR="004A4D04" w:rsidRPr="001E694D" w:rsidRDefault="004A4D0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5ADF4591" w14:textId="77777777" w:rsidR="004A4D04" w:rsidRPr="001E694D" w:rsidRDefault="004A4D0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1C3D" w14:paraId="0154A848" w14:textId="77777777" w:rsidTr="009D43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2366E"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579ED1EE" w14:textId="77777777" w:rsidR="004A4D04" w:rsidRPr="001E694D" w:rsidRDefault="004A4D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2E88B9B" w14:textId="77777777" w:rsidR="004A4D04" w:rsidRPr="001E694D" w:rsidRDefault="004A4D04"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E405B41" w14:textId="77777777" w:rsidR="004A4D04" w:rsidRPr="001E694D" w:rsidRDefault="004A4D04"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75F98AF4" w14:textId="77777777" w:rsidR="004A4D04" w:rsidRPr="001E694D" w:rsidRDefault="007D7F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07973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A4D04" w:rsidRPr="001E694D">
                  <w:rPr>
                    <w:rFonts w:ascii="Open Sans" w:hAnsi="Open Sans" w:cs="Open Sans"/>
                  </w:rPr>
                  <w:t>Compliant</w:t>
                </w:r>
              </w:sdtContent>
            </w:sdt>
          </w:p>
        </w:tc>
      </w:tr>
    </w:tbl>
    <w:p w14:paraId="7F14EA0D" w14:textId="77777777" w:rsidR="004A4D04" w:rsidRPr="003E162B" w:rsidRDefault="004A4D04" w:rsidP="002B0C90">
      <w:pPr>
        <w:pStyle w:val="Heading20"/>
        <w:rPr>
          <w:rFonts w:ascii="Open Sans" w:hAnsi="Open Sans" w:cs="Open Sans"/>
          <w:color w:val="781E77"/>
        </w:rPr>
      </w:pPr>
      <w:r w:rsidRPr="003E162B">
        <w:rPr>
          <w:rFonts w:ascii="Open Sans" w:hAnsi="Open Sans" w:cs="Open Sans"/>
          <w:color w:val="781E77"/>
        </w:rPr>
        <w:t>Findings</w:t>
      </w:r>
    </w:p>
    <w:p w14:paraId="3508FCEE" w14:textId="110FA2B0" w:rsidR="008614CF" w:rsidRPr="00E77402" w:rsidRDefault="008614CF" w:rsidP="008614CF">
      <w:pPr>
        <w:pStyle w:val="NormalArial"/>
        <w:rPr>
          <w:rFonts w:ascii="Open Sans" w:hAnsi="Open Sans" w:cs="Open Sans"/>
          <w:color w:val="FF0000"/>
        </w:rPr>
      </w:pPr>
      <w:r w:rsidRPr="00333C50">
        <w:rPr>
          <w:rFonts w:ascii="Open Sans" w:hAnsi="Open Sans" w:cs="Open Sans"/>
          <w:b/>
          <w:bCs/>
          <w:color w:val="auto"/>
        </w:rPr>
        <w:t xml:space="preserve">Requirement </w:t>
      </w:r>
      <w:r w:rsidR="00876539">
        <w:rPr>
          <w:rFonts w:ascii="Open Sans" w:hAnsi="Open Sans" w:cs="Open Sans"/>
          <w:b/>
          <w:bCs/>
          <w:color w:val="auto"/>
        </w:rPr>
        <w:t>5</w:t>
      </w:r>
      <w:r w:rsidRPr="00333C50">
        <w:rPr>
          <w:rFonts w:ascii="Open Sans" w:hAnsi="Open Sans" w:cs="Open Sans"/>
          <w:b/>
          <w:bCs/>
          <w:color w:val="auto"/>
        </w:rPr>
        <w:t>(3)(</w:t>
      </w:r>
      <w:r w:rsidR="00876539">
        <w:rPr>
          <w:rFonts w:ascii="Open Sans" w:hAnsi="Open Sans" w:cs="Open Sans"/>
          <w:b/>
          <w:bCs/>
          <w:color w:val="auto"/>
        </w:rPr>
        <w:t>b</w:t>
      </w:r>
      <w:r w:rsidRPr="00333C50">
        <w:rPr>
          <w:rFonts w:ascii="Open Sans" w:hAnsi="Open Sans" w:cs="Open Sans"/>
          <w:b/>
          <w:bCs/>
          <w:color w:val="auto"/>
        </w:rPr>
        <w:t>)</w:t>
      </w:r>
      <w:r w:rsidRPr="00797984">
        <w:rPr>
          <w:rFonts w:ascii="Open Sans" w:hAnsi="Open Sans" w:cs="Open Sans"/>
          <w:color w:val="auto"/>
        </w:rPr>
        <w:t xml:space="preserve"> was found non-compliant following </w:t>
      </w:r>
      <w:r>
        <w:rPr>
          <w:rFonts w:ascii="Open Sans" w:hAnsi="Open Sans" w:cs="Open Sans"/>
          <w:color w:val="auto"/>
        </w:rPr>
        <w:t>a site audit</w:t>
      </w:r>
      <w:r w:rsidRPr="00797984">
        <w:rPr>
          <w:rFonts w:ascii="Open Sans" w:hAnsi="Open Sans" w:cs="Open Sans"/>
          <w:color w:val="auto"/>
        </w:rPr>
        <w:t xml:space="preserve"> </w:t>
      </w:r>
      <w:r w:rsidR="00886B41">
        <w:rPr>
          <w:rFonts w:ascii="Open Sans" w:hAnsi="Open Sans" w:cs="Open Sans"/>
          <w:color w:val="auto"/>
        </w:rPr>
        <w:t>undertaken</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Pr>
          <w:rFonts w:ascii="Open Sans" w:hAnsi="Open Sans" w:cs="Open Sans"/>
        </w:rPr>
        <w:t xml:space="preserve">3 April 2025 </w:t>
      </w:r>
      <w:r w:rsidRPr="00B80511">
        <w:rPr>
          <w:rFonts w:ascii="Open Sans" w:hAnsi="Open Sans" w:cs="Open Sans"/>
          <w:color w:val="auto"/>
        </w:rPr>
        <w:t xml:space="preserve">finding </w:t>
      </w:r>
      <w:r w:rsidR="00876539">
        <w:rPr>
          <w:rFonts w:ascii="Open Sans" w:hAnsi="Open Sans" w:cs="Open Sans"/>
        </w:rPr>
        <w:t xml:space="preserve">aspects of the </w:t>
      </w:r>
      <w:r w:rsidR="00876539" w:rsidRPr="001E694D">
        <w:rPr>
          <w:rFonts w:ascii="Open Sans" w:hAnsi="Open Sans" w:cs="Open Sans"/>
        </w:rPr>
        <w:t>service environment</w:t>
      </w:r>
      <w:r w:rsidR="00876539">
        <w:rPr>
          <w:rFonts w:ascii="Open Sans" w:hAnsi="Open Sans" w:cs="Open Sans"/>
        </w:rPr>
        <w:t xml:space="preserve"> were not</w:t>
      </w:r>
      <w:r w:rsidR="00876539" w:rsidRPr="00B05530">
        <w:rPr>
          <w:rFonts w:ascii="Open Sans" w:hAnsi="Open Sans" w:cs="Open Sans"/>
        </w:rPr>
        <w:t xml:space="preserve"> safe</w:t>
      </w:r>
      <w:r w:rsidR="00876539">
        <w:rPr>
          <w:rFonts w:ascii="Open Sans" w:hAnsi="Open Sans" w:cs="Open Sans"/>
        </w:rPr>
        <w:t xml:space="preserve"> </w:t>
      </w:r>
      <w:r w:rsidR="00876539" w:rsidRPr="00B05530">
        <w:rPr>
          <w:rFonts w:ascii="Open Sans" w:hAnsi="Open Sans" w:cs="Open Sans"/>
        </w:rPr>
        <w:t>and</w:t>
      </w:r>
      <w:r w:rsidR="00876539">
        <w:rPr>
          <w:rFonts w:ascii="Open Sans" w:hAnsi="Open Sans" w:cs="Open Sans"/>
        </w:rPr>
        <w:t xml:space="preserve"> did not </w:t>
      </w:r>
      <w:r w:rsidR="00876539" w:rsidRPr="001E694D">
        <w:rPr>
          <w:rFonts w:ascii="Open Sans" w:hAnsi="Open Sans" w:cs="Open Sans"/>
        </w:rPr>
        <w:t>enable consumers to move freely</w:t>
      </w:r>
      <w:r w:rsidRPr="00797984">
        <w:rPr>
          <w:rFonts w:ascii="Open Sans" w:hAnsi="Open Sans" w:cs="Open Sans"/>
          <w:color w:val="auto"/>
        </w:rPr>
        <w:t xml:space="preserve">. </w:t>
      </w:r>
      <w:r w:rsidR="007554C0">
        <w:rPr>
          <w:rFonts w:ascii="Open Sans" w:hAnsi="Open Sans" w:cs="Open Sans"/>
          <w:color w:val="auto"/>
        </w:rPr>
        <w:t>At</w:t>
      </w:r>
      <w:r w:rsidR="0015223C">
        <w:rPr>
          <w:rFonts w:ascii="Open Sans" w:hAnsi="Open Sans" w:cs="Open Sans"/>
          <w:color w:val="auto"/>
        </w:rPr>
        <w:t xml:space="preserve"> the assessment contact in July 2025,</w:t>
      </w:r>
      <w:r>
        <w:rPr>
          <w:rFonts w:ascii="Open Sans" w:hAnsi="Open Sans" w:cs="Open Sans"/>
          <w:color w:val="auto"/>
        </w:rPr>
        <w:t xml:space="preserve"> </w:t>
      </w:r>
      <w:r w:rsidR="007554C0">
        <w:rPr>
          <w:rFonts w:ascii="Open Sans" w:hAnsi="Open Sans" w:cs="Open Sans"/>
          <w:color w:val="auto"/>
        </w:rPr>
        <w:t xml:space="preserve">the Assessment Team </w:t>
      </w:r>
      <w:r>
        <w:rPr>
          <w:rFonts w:ascii="Open Sans" w:hAnsi="Open Sans" w:cs="Open Sans"/>
          <w:color w:val="auto"/>
        </w:rPr>
        <w:t xml:space="preserve">recommended requirement </w:t>
      </w:r>
      <w:r w:rsidR="00876539">
        <w:rPr>
          <w:rFonts w:ascii="Open Sans" w:hAnsi="Open Sans" w:cs="Open Sans"/>
          <w:color w:val="auto"/>
        </w:rPr>
        <w:t>5</w:t>
      </w:r>
      <w:r>
        <w:rPr>
          <w:rFonts w:ascii="Open Sans" w:hAnsi="Open Sans" w:cs="Open Sans"/>
          <w:color w:val="auto"/>
        </w:rPr>
        <w:t>(3)(</w:t>
      </w:r>
      <w:r w:rsidR="00876539">
        <w:rPr>
          <w:rFonts w:ascii="Open Sans" w:hAnsi="Open Sans" w:cs="Open Sans"/>
          <w:color w:val="auto"/>
        </w:rPr>
        <w:t>b</w:t>
      </w:r>
      <w:r>
        <w:rPr>
          <w:rFonts w:ascii="Open Sans" w:hAnsi="Open Sans" w:cs="Open Sans"/>
          <w:color w:val="auto"/>
        </w:rPr>
        <w:t xml:space="preserve">) met and provided the following information gathered through </w:t>
      </w:r>
      <w:r w:rsidRPr="005710F3">
        <w:rPr>
          <w:rFonts w:ascii="Open Sans" w:hAnsi="Open Sans" w:cs="Open Sans"/>
          <w:color w:val="auto"/>
        </w:rPr>
        <w:t>interviews, observations and document review.</w:t>
      </w:r>
      <w:r>
        <w:rPr>
          <w:rFonts w:ascii="Open Sans" w:hAnsi="Open Sans" w:cs="Open Sans"/>
          <w:color w:val="auto"/>
        </w:rPr>
        <w:t xml:space="preserve"> </w:t>
      </w:r>
    </w:p>
    <w:p w14:paraId="1B14D727" w14:textId="468B6DB2" w:rsidR="00E77402" w:rsidRPr="00A625A2" w:rsidRDefault="00E77402" w:rsidP="00A625A2">
      <w:pPr>
        <w:pStyle w:val="NormalArial"/>
        <w:rPr>
          <w:rFonts w:ascii="Open Sans" w:hAnsi="Open Sans" w:cs="Open Sans"/>
          <w:color w:val="auto"/>
        </w:rPr>
      </w:pPr>
      <w:r w:rsidRPr="00A625A2">
        <w:rPr>
          <w:rFonts w:ascii="Open Sans" w:hAnsi="Open Sans" w:cs="Open Sans"/>
          <w:color w:val="auto"/>
        </w:rPr>
        <w:t xml:space="preserve">The service environment </w:t>
      </w:r>
      <w:r w:rsidR="00024FDC">
        <w:rPr>
          <w:rFonts w:ascii="Open Sans" w:hAnsi="Open Sans" w:cs="Open Sans"/>
          <w:color w:val="auto"/>
        </w:rPr>
        <w:t>i</w:t>
      </w:r>
      <w:r w:rsidRPr="00A625A2">
        <w:rPr>
          <w:rFonts w:ascii="Open Sans" w:hAnsi="Open Sans" w:cs="Open Sans"/>
          <w:color w:val="auto"/>
        </w:rPr>
        <w:t>s clean, well maintained and comfortable</w:t>
      </w:r>
      <w:r w:rsidR="00CC039C" w:rsidRPr="00A625A2">
        <w:rPr>
          <w:rFonts w:ascii="Open Sans" w:hAnsi="Open Sans" w:cs="Open Sans"/>
          <w:color w:val="auto"/>
        </w:rPr>
        <w:t>, and c</w:t>
      </w:r>
      <w:r w:rsidRPr="00A625A2">
        <w:rPr>
          <w:rFonts w:ascii="Open Sans" w:hAnsi="Open Sans" w:cs="Open Sans"/>
          <w:color w:val="auto"/>
        </w:rPr>
        <w:t xml:space="preserve">onsumers were moving freely around the service and into </w:t>
      </w:r>
      <w:r w:rsidR="00024FDC">
        <w:rPr>
          <w:rFonts w:ascii="Open Sans" w:hAnsi="Open Sans" w:cs="Open Sans"/>
          <w:color w:val="auto"/>
        </w:rPr>
        <w:t>outdoor</w:t>
      </w:r>
      <w:r w:rsidRPr="00A625A2">
        <w:rPr>
          <w:rFonts w:ascii="Open Sans" w:hAnsi="Open Sans" w:cs="Open Sans"/>
          <w:color w:val="auto"/>
        </w:rPr>
        <w:t xml:space="preserve"> areas.</w:t>
      </w:r>
      <w:r w:rsidR="0052066B" w:rsidRPr="0052066B">
        <w:rPr>
          <w:rFonts w:ascii="Open Sans" w:hAnsi="Open Sans" w:cs="Open Sans"/>
          <w:color w:val="auto"/>
        </w:rPr>
        <w:t xml:space="preserve"> </w:t>
      </w:r>
      <w:r w:rsidR="006D6096">
        <w:rPr>
          <w:rFonts w:ascii="Open Sans" w:hAnsi="Open Sans" w:cs="Open Sans"/>
          <w:color w:val="auto"/>
        </w:rPr>
        <w:t>However, c</w:t>
      </w:r>
      <w:r w:rsidR="0052066B" w:rsidRPr="005A51A9">
        <w:rPr>
          <w:rFonts w:ascii="Open Sans" w:hAnsi="Open Sans" w:cs="Open Sans"/>
          <w:color w:val="auto"/>
        </w:rPr>
        <w:t xml:space="preserve">onsumers from some wings were unable to access the coffee shop without a swipe card. Management </w:t>
      </w:r>
      <w:r w:rsidR="0052066B" w:rsidRPr="0052066B">
        <w:rPr>
          <w:rFonts w:ascii="Open Sans" w:hAnsi="Open Sans" w:cs="Open Sans"/>
          <w:color w:val="auto"/>
        </w:rPr>
        <w:t>implemented immediate actions to address this during the assessment contact, including disabling the swipe care access to doors</w:t>
      </w:r>
      <w:r w:rsidR="0052066B" w:rsidRPr="005A51A9">
        <w:rPr>
          <w:rFonts w:ascii="Open Sans" w:hAnsi="Open Sans" w:cs="Open Sans"/>
          <w:color w:val="auto"/>
        </w:rPr>
        <w:t xml:space="preserve">. </w:t>
      </w:r>
      <w:r w:rsidR="00CC039C" w:rsidRPr="00A625A2">
        <w:rPr>
          <w:rFonts w:ascii="Open Sans" w:hAnsi="Open Sans" w:cs="Open Sans"/>
          <w:color w:val="auto"/>
        </w:rPr>
        <w:t>D</w:t>
      </w:r>
      <w:r w:rsidRPr="00A625A2">
        <w:rPr>
          <w:rFonts w:ascii="Open Sans" w:hAnsi="Open Sans" w:cs="Open Sans"/>
          <w:color w:val="auto"/>
        </w:rPr>
        <w:t>esignated smoking area</w:t>
      </w:r>
      <w:r w:rsidR="00CC039C" w:rsidRPr="00A625A2">
        <w:rPr>
          <w:rFonts w:ascii="Open Sans" w:hAnsi="Open Sans" w:cs="Open Sans"/>
          <w:color w:val="auto"/>
        </w:rPr>
        <w:t xml:space="preserve">s are </w:t>
      </w:r>
      <w:r w:rsidRPr="00A625A2">
        <w:rPr>
          <w:rFonts w:ascii="Open Sans" w:hAnsi="Open Sans" w:cs="Open Sans"/>
          <w:color w:val="auto"/>
        </w:rPr>
        <w:t xml:space="preserve">equipped with cigarette receptacles and fire extinguishing equipment. </w:t>
      </w:r>
      <w:r w:rsidR="001B0957">
        <w:rPr>
          <w:rFonts w:ascii="Open Sans" w:hAnsi="Open Sans" w:cs="Open Sans"/>
          <w:color w:val="auto"/>
        </w:rPr>
        <w:t>T</w:t>
      </w:r>
      <w:r w:rsidR="006C2F56" w:rsidRPr="00A625A2">
        <w:rPr>
          <w:rFonts w:ascii="Open Sans" w:hAnsi="Open Sans" w:cs="Open Sans"/>
          <w:color w:val="auto"/>
        </w:rPr>
        <w:t>he area is not protected from the elements</w:t>
      </w:r>
      <w:r w:rsidR="001B0957">
        <w:rPr>
          <w:rFonts w:ascii="Open Sans" w:hAnsi="Open Sans" w:cs="Open Sans"/>
          <w:color w:val="auto"/>
        </w:rPr>
        <w:t xml:space="preserve"> and</w:t>
      </w:r>
      <w:r w:rsidR="006C2F56" w:rsidRPr="00A625A2">
        <w:rPr>
          <w:rFonts w:ascii="Open Sans" w:hAnsi="Open Sans" w:cs="Open Sans"/>
          <w:color w:val="auto"/>
        </w:rPr>
        <w:t xml:space="preserve"> </w:t>
      </w:r>
      <w:r w:rsidR="00FE43C0" w:rsidRPr="00A625A2">
        <w:rPr>
          <w:rFonts w:ascii="Open Sans" w:hAnsi="Open Sans" w:cs="Open Sans"/>
          <w:color w:val="auto"/>
        </w:rPr>
        <w:t>u</w:t>
      </w:r>
      <w:r w:rsidRPr="00A625A2">
        <w:rPr>
          <w:rFonts w:ascii="Open Sans" w:hAnsi="Open Sans" w:cs="Open Sans"/>
          <w:color w:val="auto"/>
        </w:rPr>
        <w:t xml:space="preserve">mbrellas </w:t>
      </w:r>
      <w:r w:rsidR="00FE43C0" w:rsidRPr="00A625A2">
        <w:rPr>
          <w:rFonts w:ascii="Open Sans" w:hAnsi="Open Sans" w:cs="Open Sans"/>
          <w:color w:val="auto"/>
        </w:rPr>
        <w:t>a</w:t>
      </w:r>
      <w:r w:rsidRPr="00A625A2">
        <w:rPr>
          <w:rFonts w:ascii="Open Sans" w:hAnsi="Open Sans" w:cs="Open Sans"/>
          <w:color w:val="auto"/>
        </w:rPr>
        <w:t>re available for consumer</w:t>
      </w:r>
      <w:r w:rsidR="00FE43C0" w:rsidRPr="00A625A2">
        <w:rPr>
          <w:rFonts w:ascii="Open Sans" w:hAnsi="Open Sans" w:cs="Open Sans"/>
          <w:color w:val="auto"/>
        </w:rPr>
        <w:t xml:space="preserve"> use</w:t>
      </w:r>
      <w:r w:rsidR="001B0957">
        <w:rPr>
          <w:rFonts w:ascii="Open Sans" w:hAnsi="Open Sans" w:cs="Open Sans"/>
          <w:color w:val="auto"/>
        </w:rPr>
        <w:t>, h</w:t>
      </w:r>
      <w:r w:rsidR="00FE43C0" w:rsidRPr="00A625A2">
        <w:rPr>
          <w:rFonts w:ascii="Open Sans" w:hAnsi="Open Sans" w:cs="Open Sans"/>
          <w:color w:val="auto"/>
        </w:rPr>
        <w:t xml:space="preserve">owever, </w:t>
      </w:r>
      <w:r w:rsidR="00266B64" w:rsidRPr="00A625A2">
        <w:rPr>
          <w:rFonts w:ascii="Open Sans" w:hAnsi="Open Sans" w:cs="Open Sans"/>
          <w:color w:val="auto"/>
        </w:rPr>
        <w:t xml:space="preserve">consumers </w:t>
      </w:r>
      <w:r w:rsidRPr="00A625A2">
        <w:rPr>
          <w:rFonts w:ascii="Open Sans" w:hAnsi="Open Sans" w:cs="Open Sans"/>
          <w:color w:val="auto"/>
        </w:rPr>
        <w:t xml:space="preserve">said umbrellas </w:t>
      </w:r>
      <w:r w:rsidR="00266B64" w:rsidRPr="00A625A2">
        <w:rPr>
          <w:rFonts w:ascii="Open Sans" w:hAnsi="Open Sans" w:cs="Open Sans"/>
          <w:color w:val="auto"/>
        </w:rPr>
        <w:t xml:space="preserve">are not suitable for </w:t>
      </w:r>
      <w:r w:rsidR="00886B41">
        <w:rPr>
          <w:rFonts w:ascii="Open Sans" w:hAnsi="Open Sans" w:cs="Open Sans"/>
          <w:color w:val="auto"/>
        </w:rPr>
        <w:t>those</w:t>
      </w:r>
      <w:r w:rsidR="00266B64" w:rsidRPr="00A625A2">
        <w:rPr>
          <w:rFonts w:ascii="Open Sans" w:hAnsi="Open Sans" w:cs="Open Sans"/>
          <w:color w:val="auto"/>
        </w:rPr>
        <w:t xml:space="preserve"> who require mobility aids. </w:t>
      </w:r>
      <w:r w:rsidR="005E742C" w:rsidRPr="00A625A2">
        <w:rPr>
          <w:rFonts w:ascii="Open Sans" w:hAnsi="Open Sans" w:cs="Open Sans"/>
          <w:color w:val="auto"/>
        </w:rPr>
        <w:t>D</w:t>
      </w:r>
      <w:r w:rsidRPr="00A625A2">
        <w:rPr>
          <w:rFonts w:ascii="Open Sans" w:hAnsi="Open Sans" w:cs="Open Sans"/>
          <w:color w:val="auto"/>
        </w:rPr>
        <w:t xml:space="preserve">uring the </w:t>
      </w:r>
      <w:r w:rsidR="005E742C" w:rsidRPr="00A625A2">
        <w:rPr>
          <w:rFonts w:ascii="Open Sans" w:hAnsi="Open Sans" w:cs="Open Sans"/>
          <w:color w:val="auto"/>
        </w:rPr>
        <w:t>si</w:t>
      </w:r>
      <w:r w:rsidRPr="00A625A2">
        <w:rPr>
          <w:rFonts w:ascii="Open Sans" w:hAnsi="Open Sans" w:cs="Open Sans"/>
          <w:color w:val="auto"/>
        </w:rPr>
        <w:t xml:space="preserve">te </w:t>
      </w:r>
      <w:r w:rsidR="005E742C" w:rsidRPr="00A625A2">
        <w:rPr>
          <w:rFonts w:ascii="Open Sans" w:hAnsi="Open Sans" w:cs="Open Sans"/>
          <w:color w:val="auto"/>
        </w:rPr>
        <w:t>a</w:t>
      </w:r>
      <w:r w:rsidRPr="00A625A2">
        <w:rPr>
          <w:rFonts w:ascii="Open Sans" w:hAnsi="Open Sans" w:cs="Open Sans"/>
          <w:color w:val="auto"/>
        </w:rPr>
        <w:t>udit in February 2025</w:t>
      </w:r>
      <w:r w:rsidR="005E742C" w:rsidRPr="00A625A2">
        <w:rPr>
          <w:rFonts w:ascii="Open Sans" w:hAnsi="Open Sans" w:cs="Open Sans"/>
          <w:color w:val="auto"/>
        </w:rPr>
        <w:t xml:space="preserve">, </w:t>
      </w:r>
      <w:r w:rsidR="00B73E8F" w:rsidRPr="00A625A2">
        <w:rPr>
          <w:rFonts w:ascii="Open Sans" w:hAnsi="Open Sans" w:cs="Open Sans"/>
          <w:color w:val="auto"/>
        </w:rPr>
        <w:t xml:space="preserve">management said an action item would be added to the </w:t>
      </w:r>
      <w:r w:rsidR="004E12D3">
        <w:rPr>
          <w:rFonts w:ascii="Open Sans" w:hAnsi="Open Sans" w:cs="Open Sans"/>
          <w:color w:val="auto"/>
        </w:rPr>
        <w:t>PCI</w:t>
      </w:r>
      <w:r w:rsidR="00B73E8F" w:rsidRPr="00A625A2">
        <w:rPr>
          <w:rFonts w:ascii="Open Sans" w:hAnsi="Open Sans" w:cs="Open Sans"/>
          <w:color w:val="auto"/>
        </w:rPr>
        <w:t xml:space="preserve"> </w:t>
      </w:r>
      <w:r w:rsidRPr="00A625A2">
        <w:rPr>
          <w:rFonts w:ascii="Open Sans" w:hAnsi="Open Sans" w:cs="Open Sans"/>
          <w:color w:val="auto"/>
        </w:rPr>
        <w:t>to explore the option of an undercover walkway</w:t>
      </w:r>
      <w:r w:rsidR="001B0957">
        <w:rPr>
          <w:rFonts w:ascii="Open Sans" w:hAnsi="Open Sans" w:cs="Open Sans"/>
          <w:color w:val="auto"/>
        </w:rPr>
        <w:t xml:space="preserve"> which is still being considered</w:t>
      </w:r>
      <w:r w:rsidR="00B73E8F" w:rsidRPr="00A625A2">
        <w:rPr>
          <w:rFonts w:ascii="Open Sans" w:hAnsi="Open Sans" w:cs="Open Sans"/>
          <w:color w:val="auto"/>
        </w:rPr>
        <w:t>.</w:t>
      </w:r>
    </w:p>
    <w:p w14:paraId="6E4736E7" w14:textId="126DB83D" w:rsidR="0048068B" w:rsidRPr="0048068B" w:rsidRDefault="0048068B" w:rsidP="00A625A2">
      <w:pPr>
        <w:pStyle w:val="NormalArial"/>
        <w:rPr>
          <w:rFonts w:ascii="Open Sans" w:hAnsi="Open Sans" w:cs="Open Sans"/>
          <w:color w:val="auto"/>
        </w:rPr>
      </w:pPr>
      <w:r w:rsidRPr="0048068B">
        <w:rPr>
          <w:rFonts w:ascii="Open Sans" w:hAnsi="Open Sans" w:cs="Open Sans"/>
          <w:color w:val="auto"/>
        </w:rPr>
        <w:t xml:space="preserve">Based on the Assessment Team’s report, I find requirement </w:t>
      </w:r>
      <w:r w:rsidR="00E77402" w:rsidRPr="00A625A2">
        <w:rPr>
          <w:rFonts w:ascii="Open Sans" w:hAnsi="Open Sans" w:cs="Open Sans"/>
          <w:color w:val="auto"/>
        </w:rPr>
        <w:t>5</w:t>
      </w:r>
      <w:r w:rsidRPr="0048068B">
        <w:rPr>
          <w:rFonts w:ascii="Open Sans" w:hAnsi="Open Sans" w:cs="Open Sans"/>
          <w:color w:val="auto"/>
        </w:rPr>
        <w:t>(3)(</w:t>
      </w:r>
      <w:r w:rsidR="00E77402" w:rsidRPr="00A625A2">
        <w:rPr>
          <w:rFonts w:ascii="Open Sans" w:hAnsi="Open Sans" w:cs="Open Sans"/>
          <w:color w:val="auto"/>
        </w:rPr>
        <w:t>b</w:t>
      </w:r>
      <w:r w:rsidRPr="0048068B">
        <w:rPr>
          <w:rFonts w:ascii="Open Sans" w:hAnsi="Open Sans" w:cs="Open Sans"/>
          <w:color w:val="auto"/>
        </w:rPr>
        <w:t xml:space="preserve">) compliant.  </w:t>
      </w:r>
    </w:p>
    <w:p w14:paraId="1017CD99" w14:textId="77777777" w:rsidR="0048068B" w:rsidRDefault="0048068B" w:rsidP="007D5244">
      <w:pPr>
        <w:spacing w:before="240" w:line="276" w:lineRule="auto"/>
        <w:rPr>
          <w:rFonts w:ascii="Open Sans" w:eastAsia="Times New Roman" w:hAnsi="Open Sans" w:cs="Open Sans"/>
          <w:color w:val="000000"/>
          <w:lang w:eastAsia="en-AU"/>
        </w:rPr>
      </w:pPr>
    </w:p>
    <w:p w14:paraId="6A7F1124" w14:textId="77777777" w:rsidR="0048068B" w:rsidRDefault="0048068B" w:rsidP="007D5244">
      <w:pPr>
        <w:spacing w:before="240" w:line="276" w:lineRule="auto"/>
        <w:rPr>
          <w:rFonts w:ascii="Open Sans" w:eastAsia="Times New Roman" w:hAnsi="Open Sans" w:cs="Open Sans"/>
          <w:color w:val="000000"/>
          <w:lang w:eastAsia="en-AU"/>
        </w:rPr>
      </w:pPr>
    </w:p>
    <w:p w14:paraId="486BE1F3" w14:textId="77777777" w:rsidR="0048068B" w:rsidRDefault="0048068B" w:rsidP="007D5244">
      <w:pPr>
        <w:spacing w:before="240" w:line="276" w:lineRule="auto"/>
        <w:rPr>
          <w:rFonts w:ascii="Open Sans" w:eastAsia="Times New Roman" w:hAnsi="Open Sans" w:cs="Open Sans"/>
          <w:color w:val="000000"/>
          <w:lang w:eastAsia="en-AU"/>
        </w:rPr>
      </w:pPr>
    </w:p>
    <w:p w14:paraId="7BFB2D69" w14:textId="77777777" w:rsidR="00A13433" w:rsidRDefault="00A13433" w:rsidP="007D5244">
      <w:pPr>
        <w:spacing w:before="240" w:line="276" w:lineRule="auto"/>
        <w:rPr>
          <w:rFonts w:ascii="Open Sans" w:eastAsia="Times New Roman" w:hAnsi="Open Sans" w:cs="Open Sans"/>
          <w:color w:val="000000"/>
          <w:lang w:eastAsia="en-AU"/>
        </w:rPr>
      </w:pPr>
    </w:p>
    <w:p w14:paraId="71468C8F" w14:textId="77777777" w:rsidR="00886B41" w:rsidRDefault="00886B41" w:rsidP="007D5244">
      <w:pPr>
        <w:spacing w:before="240" w:line="276" w:lineRule="auto"/>
        <w:rPr>
          <w:rFonts w:ascii="Open Sans" w:eastAsia="Times New Roman" w:hAnsi="Open Sans" w:cs="Open Sans"/>
          <w:color w:val="000000"/>
          <w:lang w:eastAsia="en-AU"/>
        </w:rPr>
      </w:pPr>
    </w:p>
    <w:p w14:paraId="2CDA0F1A" w14:textId="77777777" w:rsidR="004A4D04" w:rsidRPr="001E694D" w:rsidRDefault="004A4D04" w:rsidP="0036130C">
      <w:pPr>
        <w:pStyle w:val="NormalArial"/>
        <w:rPr>
          <w:rFonts w:ascii="Open Sans" w:hAnsi="Open Sans" w:cs="Open Sans"/>
        </w:rPr>
      </w:pPr>
      <w:r w:rsidRPr="001E694D">
        <w:rPr>
          <w:rFonts w:ascii="Open Sans" w:hAnsi="Open Sans" w:cs="Open Sans"/>
        </w:rPr>
        <w:br w:type="page"/>
      </w:r>
    </w:p>
    <w:p w14:paraId="44821EE1" w14:textId="77777777" w:rsidR="004A4D04" w:rsidRPr="001E694D" w:rsidRDefault="004A4D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60"/>
        <w:gridCol w:w="1972"/>
      </w:tblGrid>
      <w:tr w:rsidR="00461C3D" w14:paraId="6BF71A82" w14:textId="77777777" w:rsidTr="00373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7" w:type="dxa"/>
            <w:gridSpan w:val="2"/>
            <w:shd w:val="clear" w:color="auto" w:fill="781E77"/>
          </w:tcPr>
          <w:p w14:paraId="4EE76DB0" w14:textId="77777777" w:rsidR="004A4D04" w:rsidRPr="001E694D" w:rsidRDefault="004A4D0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72" w:type="dxa"/>
            <w:shd w:val="clear" w:color="auto" w:fill="781E77"/>
          </w:tcPr>
          <w:p w14:paraId="1F67CB83" w14:textId="77777777" w:rsidR="004A4D04" w:rsidRPr="001E694D" w:rsidRDefault="004A4D0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1C3D" w14:paraId="38B7C457" w14:textId="77777777" w:rsidTr="003738D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A02033"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8(3)(d)</w:t>
            </w:r>
          </w:p>
        </w:tc>
        <w:tc>
          <w:tcPr>
            <w:tcW w:w="5560" w:type="dxa"/>
            <w:shd w:val="clear" w:color="auto" w:fill="auto"/>
          </w:tcPr>
          <w:p w14:paraId="65003046" w14:textId="77777777" w:rsidR="004A4D04" w:rsidRPr="001E694D" w:rsidRDefault="004A4D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348CEE9" w14:textId="77777777" w:rsidR="004A4D04" w:rsidRPr="001E694D" w:rsidRDefault="004A4D04"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B36A68C" w14:textId="77777777" w:rsidR="004A4D04" w:rsidRPr="001E694D" w:rsidRDefault="004A4D04"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AA023E5" w14:textId="77777777" w:rsidR="004A4D04" w:rsidRPr="001E694D" w:rsidRDefault="004A4D04"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C8DFCA2" w14:textId="77777777" w:rsidR="004A4D04" w:rsidRPr="001E694D" w:rsidRDefault="004A4D04"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72" w:type="dxa"/>
            <w:shd w:val="clear" w:color="auto" w:fill="auto"/>
          </w:tcPr>
          <w:p w14:paraId="0E2190AC" w14:textId="77777777" w:rsidR="004A4D04" w:rsidRPr="001E694D" w:rsidRDefault="007D7F9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61944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A4D04" w:rsidRPr="001E694D">
                  <w:rPr>
                    <w:rFonts w:ascii="Open Sans" w:hAnsi="Open Sans" w:cs="Open Sans"/>
                  </w:rPr>
                  <w:t>Compliant</w:t>
                </w:r>
              </w:sdtContent>
            </w:sdt>
          </w:p>
        </w:tc>
      </w:tr>
      <w:tr w:rsidR="00461C3D" w14:paraId="2900AE18" w14:textId="77777777" w:rsidTr="003738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F41DBC" w14:textId="77777777" w:rsidR="004A4D04" w:rsidRPr="001E694D" w:rsidRDefault="004A4D04" w:rsidP="002C5FA9">
            <w:pPr>
              <w:spacing w:line="22" w:lineRule="atLeast"/>
              <w:rPr>
                <w:rFonts w:ascii="Open Sans" w:hAnsi="Open Sans" w:cs="Open Sans"/>
              </w:rPr>
            </w:pPr>
            <w:r w:rsidRPr="001E694D">
              <w:rPr>
                <w:rFonts w:ascii="Open Sans" w:hAnsi="Open Sans" w:cs="Open Sans"/>
              </w:rPr>
              <w:t>Requirement 8(3)(e)</w:t>
            </w:r>
          </w:p>
        </w:tc>
        <w:tc>
          <w:tcPr>
            <w:tcW w:w="5560" w:type="dxa"/>
            <w:shd w:val="clear" w:color="auto" w:fill="auto"/>
          </w:tcPr>
          <w:p w14:paraId="3C25B739" w14:textId="77777777" w:rsidR="004A4D04" w:rsidRPr="001E694D" w:rsidRDefault="004A4D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DF2DE5A" w14:textId="77777777" w:rsidR="004A4D04" w:rsidRPr="001E694D" w:rsidRDefault="004A4D0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948D19A" w14:textId="77777777" w:rsidR="004A4D04" w:rsidRPr="001E694D" w:rsidRDefault="004A4D0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99DCF8C" w14:textId="77777777" w:rsidR="004A4D04" w:rsidRPr="001E694D" w:rsidRDefault="004A4D0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72" w:type="dxa"/>
            <w:shd w:val="clear" w:color="auto" w:fill="auto"/>
          </w:tcPr>
          <w:p w14:paraId="4FF05AB8" w14:textId="7CCDD9DD" w:rsidR="00997806" w:rsidRDefault="00B9018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Pr>
                <w:rFonts w:ascii="Open Sans" w:hAnsi="Open Sans" w:cs="Open Sans"/>
                <w:color w:val="auto"/>
              </w:rPr>
              <w:t>Not</w:t>
            </w:r>
            <w:r w:rsidR="003738DD">
              <w:rPr>
                <w:rFonts w:ascii="Open Sans" w:hAnsi="Open Sans" w:cs="Open Sans"/>
                <w:color w:val="auto"/>
              </w:rPr>
              <w:t xml:space="preserve"> Compliant</w:t>
            </w:r>
          </w:p>
          <w:p w14:paraId="762FF616" w14:textId="7E38E48F" w:rsidR="004A4D04" w:rsidRPr="001E694D" w:rsidRDefault="004A4D0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p>
        </w:tc>
      </w:tr>
    </w:tbl>
    <w:p w14:paraId="1A238B30" w14:textId="77777777" w:rsidR="004A4D04" w:rsidRPr="007A2323" w:rsidRDefault="004A4D0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7B007B6" w14:textId="3273F742" w:rsidR="008614CF" w:rsidRPr="00997806" w:rsidRDefault="008614CF" w:rsidP="008614CF">
      <w:pPr>
        <w:pStyle w:val="NormalArial"/>
        <w:rPr>
          <w:rFonts w:ascii="Open Sans" w:hAnsi="Open Sans" w:cs="Open Sans"/>
          <w:color w:val="auto"/>
        </w:rPr>
      </w:pPr>
      <w:r w:rsidRPr="00997806">
        <w:rPr>
          <w:rFonts w:ascii="Open Sans" w:hAnsi="Open Sans" w:cs="Open Sans"/>
          <w:color w:val="auto"/>
        </w:rPr>
        <w:t>The Quality Standard is non-compliant as</w:t>
      </w:r>
      <w:r w:rsidR="00B90186" w:rsidRPr="00997806">
        <w:rPr>
          <w:rFonts w:ascii="Open Sans" w:hAnsi="Open Sans" w:cs="Open Sans"/>
          <w:color w:val="auto"/>
        </w:rPr>
        <w:t xml:space="preserve"> one of</w:t>
      </w:r>
      <w:r w:rsidRPr="00997806">
        <w:rPr>
          <w:rFonts w:ascii="Open Sans" w:hAnsi="Open Sans" w:cs="Open Sans"/>
          <w:color w:val="auto"/>
        </w:rPr>
        <w:t xml:space="preserve"> the 2 requirements assessed </w:t>
      </w:r>
      <w:r w:rsidR="00B90186" w:rsidRPr="00997806">
        <w:rPr>
          <w:rFonts w:ascii="Open Sans" w:hAnsi="Open Sans" w:cs="Open Sans"/>
          <w:color w:val="auto"/>
        </w:rPr>
        <w:t>is</w:t>
      </w:r>
      <w:r w:rsidRPr="00997806">
        <w:rPr>
          <w:rFonts w:ascii="Open Sans" w:hAnsi="Open Sans" w:cs="Open Sans"/>
          <w:color w:val="auto"/>
        </w:rPr>
        <w:t xml:space="preserve"> non-compliant. </w:t>
      </w:r>
    </w:p>
    <w:p w14:paraId="5711633F" w14:textId="1A0B18A0" w:rsidR="00F56A7C" w:rsidRPr="006850B3" w:rsidRDefault="00875D06" w:rsidP="006850B3">
      <w:pPr>
        <w:rPr>
          <w:rFonts w:ascii="Open Sans" w:hAnsi="Open Sans" w:cs="Open Sans"/>
        </w:rPr>
      </w:pPr>
      <w:r w:rsidRPr="00730148">
        <w:rPr>
          <w:rFonts w:ascii="Open Sans" w:hAnsi="Open Sans" w:cs="Open Sans"/>
          <w:b/>
          <w:bCs/>
        </w:rPr>
        <w:t xml:space="preserve">Requirement </w:t>
      </w:r>
      <w:r w:rsidR="008614CF" w:rsidRPr="00730148">
        <w:rPr>
          <w:rFonts w:ascii="Open Sans" w:hAnsi="Open Sans" w:cs="Open Sans"/>
          <w:b/>
          <w:bCs/>
        </w:rPr>
        <w:t>8</w:t>
      </w:r>
      <w:r w:rsidRPr="00730148">
        <w:rPr>
          <w:rFonts w:ascii="Open Sans" w:hAnsi="Open Sans" w:cs="Open Sans"/>
          <w:b/>
          <w:bCs/>
        </w:rPr>
        <w:t>(3)(</w:t>
      </w:r>
      <w:r w:rsidR="008614CF" w:rsidRPr="00730148">
        <w:rPr>
          <w:rFonts w:ascii="Open Sans" w:hAnsi="Open Sans" w:cs="Open Sans"/>
          <w:b/>
          <w:bCs/>
        </w:rPr>
        <w:t>d</w:t>
      </w:r>
      <w:r w:rsidRPr="00730148">
        <w:rPr>
          <w:rFonts w:ascii="Open Sans" w:hAnsi="Open Sans" w:cs="Open Sans"/>
          <w:b/>
          <w:bCs/>
        </w:rPr>
        <w:t>)</w:t>
      </w:r>
      <w:r w:rsidRPr="00730148">
        <w:rPr>
          <w:rFonts w:ascii="Open Sans" w:hAnsi="Open Sans" w:cs="Open Sans"/>
        </w:rPr>
        <w:t xml:space="preserve"> was found non-compliant following </w:t>
      </w:r>
      <w:r w:rsidR="008614CF" w:rsidRPr="00730148">
        <w:rPr>
          <w:rFonts w:ascii="Open Sans" w:hAnsi="Open Sans" w:cs="Open Sans"/>
        </w:rPr>
        <w:t>a site audit</w:t>
      </w:r>
      <w:r w:rsidRPr="00730148">
        <w:rPr>
          <w:rFonts w:ascii="Open Sans" w:hAnsi="Open Sans" w:cs="Open Sans"/>
        </w:rPr>
        <w:t xml:space="preserve"> </w:t>
      </w:r>
      <w:r w:rsidR="00F53A7C" w:rsidRPr="00730148">
        <w:rPr>
          <w:rFonts w:ascii="Open Sans" w:hAnsi="Open Sans" w:cs="Open Sans"/>
        </w:rPr>
        <w:t>undertaken</w:t>
      </w:r>
      <w:r w:rsidRPr="00730148">
        <w:rPr>
          <w:rFonts w:ascii="Open Sans" w:hAnsi="Open Sans" w:cs="Open Sans"/>
        </w:rPr>
        <w:t xml:space="preserve"> in </w:t>
      </w:r>
      <w:r w:rsidR="008614CF" w:rsidRPr="00730148">
        <w:rPr>
          <w:rFonts w:ascii="Open Sans" w:hAnsi="Open Sans" w:cs="Open Sans"/>
        </w:rPr>
        <w:t>February 2025</w:t>
      </w:r>
      <w:r w:rsidRPr="00730148">
        <w:rPr>
          <w:rFonts w:ascii="Open Sans" w:hAnsi="Open Sans" w:cs="Open Sans"/>
        </w:rPr>
        <w:t xml:space="preserve">, with the related performance report dated </w:t>
      </w:r>
      <w:r w:rsidR="00377BEA">
        <w:rPr>
          <w:rFonts w:ascii="Open Sans" w:hAnsi="Open Sans" w:cs="Open Sans"/>
        </w:rPr>
        <w:t xml:space="preserve">3 April 2025 </w:t>
      </w:r>
      <w:r w:rsidRPr="00730148">
        <w:rPr>
          <w:rFonts w:ascii="Open Sans" w:hAnsi="Open Sans" w:cs="Open Sans"/>
        </w:rPr>
        <w:t xml:space="preserve">finding </w:t>
      </w:r>
      <w:r w:rsidR="008614CF" w:rsidRPr="003B59C3">
        <w:rPr>
          <w:rFonts w:ascii="Open Sans" w:hAnsi="Open Sans" w:cs="Open Sans"/>
        </w:rPr>
        <w:t>governance systems</w:t>
      </w:r>
      <w:r w:rsidR="008614CF">
        <w:rPr>
          <w:rFonts w:ascii="Open Sans" w:hAnsi="Open Sans" w:cs="Open Sans"/>
        </w:rPr>
        <w:t xml:space="preserve"> r</w:t>
      </w:r>
      <w:r w:rsidR="008614CF" w:rsidRPr="003B59C3">
        <w:rPr>
          <w:rFonts w:ascii="Open Sans" w:hAnsi="Open Sans" w:cs="Open Sans"/>
        </w:rPr>
        <w:t>elating to managing high</w:t>
      </w:r>
      <w:r w:rsidR="008614CF">
        <w:rPr>
          <w:rFonts w:ascii="Open Sans" w:hAnsi="Open Sans" w:cs="Open Sans"/>
        </w:rPr>
        <w:t xml:space="preserve"> </w:t>
      </w:r>
      <w:r w:rsidR="008614CF" w:rsidRPr="003B59C3">
        <w:rPr>
          <w:rFonts w:ascii="Open Sans" w:hAnsi="Open Sans" w:cs="Open Sans"/>
        </w:rPr>
        <w:t>impact or hig</w:t>
      </w:r>
      <w:r w:rsidR="008614CF">
        <w:rPr>
          <w:rFonts w:ascii="Open Sans" w:hAnsi="Open Sans" w:cs="Open Sans"/>
        </w:rPr>
        <w:t xml:space="preserve">h </w:t>
      </w:r>
      <w:r w:rsidR="008614CF" w:rsidRPr="003B59C3">
        <w:rPr>
          <w:rFonts w:ascii="Open Sans" w:hAnsi="Open Sans" w:cs="Open Sans"/>
        </w:rPr>
        <w:t>prevalence risks</w:t>
      </w:r>
      <w:r w:rsidR="008614CF">
        <w:rPr>
          <w:rFonts w:ascii="Open Sans" w:hAnsi="Open Sans" w:cs="Open Sans"/>
        </w:rPr>
        <w:t>,</w:t>
      </w:r>
      <w:r w:rsidR="008614CF" w:rsidRPr="003B59C3">
        <w:rPr>
          <w:rFonts w:ascii="Open Sans" w:hAnsi="Open Sans" w:cs="Open Sans"/>
        </w:rPr>
        <w:t xml:space="preserve"> managing and preventing incidents, </w:t>
      </w:r>
      <w:r w:rsidR="008614CF">
        <w:rPr>
          <w:rFonts w:ascii="Open Sans" w:hAnsi="Open Sans" w:cs="Open Sans"/>
        </w:rPr>
        <w:t>and</w:t>
      </w:r>
      <w:r w:rsidR="008614CF" w:rsidRPr="003B59C3">
        <w:rPr>
          <w:rFonts w:ascii="Open Sans" w:hAnsi="Open Sans" w:cs="Open Sans"/>
        </w:rPr>
        <w:t xml:space="preserve"> identifying and responding to abuse and neglect </w:t>
      </w:r>
      <w:r w:rsidR="008614CF">
        <w:rPr>
          <w:rFonts w:ascii="Open Sans" w:hAnsi="Open Sans" w:cs="Open Sans"/>
        </w:rPr>
        <w:t>were not effective</w:t>
      </w:r>
      <w:r w:rsidRPr="00730148">
        <w:rPr>
          <w:rFonts w:ascii="Open Sans" w:hAnsi="Open Sans" w:cs="Open Sans"/>
        </w:rPr>
        <w:t xml:space="preserve">. </w:t>
      </w:r>
      <w:bookmarkStart w:id="3" w:name="_Hlk205208459"/>
      <w:r w:rsidR="00F56A7C" w:rsidRPr="00F56A7C">
        <w:rPr>
          <w:rFonts w:ascii="Open Sans" w:hAnsi="Open Sans" w:cs="Open Sans"/>
        </w:rPr>
        <w:t>In response to the non-compliance, the provider implemented a range of improvement actions, including, but not limited to,</w:t>
      </w:r>
      <w:r w:rsidR="00730148" w:rsidRPr="00730148">
        <w:rPr>
          <w:rFonts w:ascii="Open Sans" w:hAnsi="Open Sans" w:cs="Open Sans"/>
        </w:rPr>
        <w:t xml:space="preserve"> </w:t>
      </w:r>
      <w:bookmarkEnd w:id="3"/>
      <w:r w:rsidR="00730148" w:rsidRPr="00730148">
        <w:rPr>
          <w:rFonts w:ascii="Open Sans" w:hAnsi="Open Sans" w:cs="Open Sans"/>
        </w:rPr>
        <w:t xml:space="preserve">a new incident management documentation system, with the incident register including root cause analysis and more detailed documentation of incidents; a clinical risk register which identifies all high impact or high prevalence risks to consumers; weekly clinical collaboration forums where incidents, deterioration or change in a consumer’s need is discussed and risks identified; and staff education on </w:t>
      </w:r>
      <w:r w:rsidR="007554C0">
        <w:rPr>
          <w:rFonts w:ascii="Open Sans" w:hAnsi="Open Sans" w:cs="Open Sans"/>
        </w:rPr>
        <w:t xml:space="preserve">the serious incident response scheme </w:t>
      </w:r>
      <w:r w:rsidR="007554C0" w:rsidRPr="007554C0">
        <w:rPr>
          <w:rFonts w:ascii="Open Sans" w:hAnsi="Open Sans" w:cs="Open Sans"/>
          <w:color w:val="auto"/>
        </w:rPr>
        <w:t>(</w:t>
      </w:r>
      <w:r w:rsidR="00730148" w:rsidRPr="007554C0">
        <w:rPr>
          <w:rFonts w:ascii="Open Sans" w:hAnsi="Open Sans" w:cs="Open Sans"/>
          <w:color w:val="auto"/>
        </w:rPr>
        <w:t>SIRS</w:t>
      </w:r>
      <w:r w:rsidR="007554C0" w:rsidRPr="007554C0">
        <w:rPr>
          <w:rFonts w:ascii="Open Sans" w:hAnsi="Open Sans" w:cs="Open Sans"/>
          <w:color w:val="auto"/>
        </w:rPr>
        <w:t>)</w:t>
      </w:r>
      <w:r w:rsidR="00730148" w:rsidRPr="007554C0">
        <w:rPr>
          <w:rFonts w:ascii="Open Sans" w:hAnsi="Open Sans" w:cs="Open Sans"/>
          <w:color w:val="auto"/>
        </w:rPr>
        <w:t xml:space="preserve"> </w:t>
      </w:r>
      <w:r w:rsidR="00730148" w:rsidRPr="00730148">
        <w:rPr>
          <w:rFonts w:ascii="Open Sans" w:hAnsi="Open Sans" w:cs="Open Sans"/>
        </w:rPr>
        <w:t xml:space="preserve">and incident management, restrictive practices, </w:t>
      </w:r>
      <w:r w:rsidR="00730148" w:rsidRPr="00730148">
        <w:rPr>
          <w:rFonts w:ascii="Open Sans" w:hAnsi="Open Sans" w:cs="Open Sans"/>
        </w:rPr>
        <w:lastRenderedPageBreak/>
        <w:t xml:space="preserve">behaviour management, skin assessment and pressure injuries, and falls management. </w:t>
      </w:r>
    </w:p>
    <w:p w14:paraId="315E36D1" w14:textId="4752F518" w:rsidR="00875D06" w:rsidRDefault="00861216" w:rsidP="00875D06">
      <w:pPr>
        <w:pStyle w:val="NormalArial"/>
        <w:rPr>
          <w:rFonts w:ascii="Open Sans" w:hAnsi="Open Sans" w:cs="Open Sans"/>
          <w:color w:val="auto"/>
        </w:rPr>
      </w:pPr>
      <w:r w:rsidRPr="00004F77">
        <w:rPr>
          <w:rFonts w:ascii="Open Sans" w:hAnsi="Open Sans" w:cs="Open Sans"/>
          <w:color w:val="auto"/>
        </w:rPr>
        <w:t xml:space="preserve">At the assessment contact in July 2025, </w:t>
      </w:r>
      <w:r w:rsidR="00C93F85">
        <w:rPr>
          <w:rFonts w:ascii="Open Sans" w:hAnsi="Open Sans" w:cs="Open Sans"/>
          <w:color w:val="auto"/>
        </w:rPr>
        <w:t xml:space="preserve">effective risk management systems and practices to support consumers to live the best life they can were demonstrated. However, </w:t>
      </w:r>
      <w:r w:rsidRPr="00004F77">
        <w:rPr>
          <w:rFonts w:ascii="Open Sans" w:hAnsi="Open Sans" w:cs="Open Sans"/>
          <w:color w:val="auto"/>
        </w:rPr>
        <w:t>the Assessment Team found while the service has implemented improvement</w:t>
      </w:r>
      <w:r w:rsidR="00667EF3">
        <w:rPr>
          <w:rFonts w:ascii="Open Sans" w:hAnsi="Open Sans" w:cs="Open Sans"/>
          <w:color w:val="auto"/>
        </w:rPr>
        <w:t xml:space="preserve"> actions</w:t>
      </w:r>
      <w:r w:rsidRPr="00004F77">
        <w:rPr>
          <w:rFonts w:ascii="Open Sans" w:hAnsi="Open Sans" w:cs="Open Sans"/>
          <w:color w:val="auto"/>
        </w:rPr>
        <w:t xml:space="preserve"> in response to the non-compliance, </w:t>
      </w:r>
      <w:r w:rsidR="00963B03" w:rsidRPr="00004F77">
        <w:rPr>
          <w:rFonts w:ascii="Open Sans" w:eastAsia="Times New Roman" w:hAnsi="Open Sans" w:cs="Open Sans"/>
          <w:color w:val="auto"/>
          <w:lang w:eastAsia="en-AU"/>
        </w:rPr>
        <w:t xml:space="preserve">the </w:t>
      </w:r>
      <w:r w:rsidR="00963B03" w:rsidRPr="009C29A9">
        <w:rPr>
          <w:rFonts w:ascii="Open Sans" w:eastAsia="Times New Roman" w:hAnsi="Open Sans" w:cs="Open Sans"/>
          <w:color w:val="000000"/>
          <w:lang w:eastAsia="en-AU"/>
        </w:rPr>
        <w:t xml:space="preserve">organisation </w:t>
      </w:r>
      <w:r w:rsidR="00963B03">
        <w:rPr>
          <w:rFonts w:ascii="Open Sans" w:eastAsia="Times New Roman" w:hAnsi="Open Sans" w:cs="Open Sans"/>
          <w:color w:val="000000"/>
          <w:lang w:eastAsia="en-AU"/>
        </w:rPr>
        <w:t>did not demonstrate</w:t>
      </w:r>
      <w:r w:rsidR="00963B03" w:rsidRPr="009C29A9">
        <w:rPr>
          <w:rFonts w:ascii="Open Sans" w:eastAsia="Times New Roman" w:hAnsi="Open Sans" w:cs="Open Sans"/>
          <w:color w:val="000000"/>
          <w:lang w:eastAsia="en-AU"/>
        </w:rPr>
        <w:t xml:space="preserve"> these processes are effective in ensuring risks are identified, monitored and effectively managed</w:t>
      </w:r>
      <w:r w:rsidR="00963B03">
        <w:rPr>
          <w:rFonts w:ascii="Open Sans" w:eastAsia="Times New Roman" w:hAnsi="Open Sans" w:cs="Open Sans"/>
          <w:color w:val="000000"/>
          <w:lang w:eastAsia="en-AU"/>
        </w:rPr>
        <w:t>.</w:t>
      </w:r>
      <w:r w:rsidR="00963B03">
        <w:rPr>
          <w:rFonts w:ascii="Open Sans" w:hAnsi="Open Sans" w:cs="Open Sans"/>
          <w:color w:val="auto"/>
        </w:rPr>
        <w:t xml:space="preserve"> </w:t>
      </w:r>
      <w:r w:rsidR="00875D06">
        <w:rPr>
          <w:rFonts w:ascii="Open Sans" w:hAnsi="Open Sans" w:cs="Open Sans"/>
          <w:color w:val="auto"/>
        </w:rPr>
        <w:t xml:space="preserve">The Assessment Team recommended requirement </w:t>
      </w:r>
      <w:r w:rsidR="008614CF">
        <w:rPr>
          <w:rFonts w:ascii="Open Sans" w:hAnsi="Open Sans" w:cs="Open Sans"/>
          <w:color w:val="auto"/>
        </w:rPr>
        <w:t>8</w:t>
      </w:r>
      <w:r w:rsidR="00875D06">
        <w:rPr>
          <w:rFonts w:ascii="Open Sans" w:hAnsi="Open Sans" w:cs="Open Sans"/>
          <w:color w:val="auto"/>
        </w:rPr>
        <w:t>(3)(</w:t>
      </w:r>
      <w:r w:rsidR="008614CF">
        <w:rPr>
          <w:rFonts w:ascii="Open Sans" w:hAnsi="Open Sans" w:cs="Open Sans"/>
          <w:color w:val="auto"/>
        </w:rPr>
        <w:t>d</w:t>
      </w:r>
      <w:r w:rsidR="00875D06">
        <w:rPr>
          <w:rFonts w:ascii="Open Sans" w:hAnsi="Open Sans" w:cs="Open Sans"/>
          <w:color w:val="auto"/>
        </w:rPr>
        <w:t xml:space="preserve">) not met and provided the following information gathered through </w:t>
      </w:r>
      <w:r w:rsidR="00875D06" w:rsidRPr="005710F3">
        <w:rPr>
          <w:rFonts w:ascii="Open Sans" w:hAnsi="Open Sans" w:cs="Open Sans"/>
          <w:color w:val="auto"/>
        </w:rPr>
        <w:t>interviews</w:t>
      </w:r>
      <w:r w:rsidR="004C1645">
        <w:rPr>
          <w:rFonts w:ascii="Open Sans" w:hAnsi="Open Sans" w:cs="Open Sans"/>
          <w:color w:val="auto"/>
        </w:rPr>
        <w:t xml:space="preserve"> </w:t>
      </w:r>
      <w:r w:rsidR="00875D06" w:rsidRPr="005710F3">
        <w:rPr>
          <w:rFonts w:ascii="Open Sans" w:hAnsi="Open Sans" w:cs="Open Sans"/>
          <w:color w:val="auto"/>
        </w:rPr>
        <w:t>and document review.</w:t>
      </w:r>
      <w:r w:rsidR="00875D06">
        <w:rPr>
          <w:rFonts w:ascii="Open Sans" w:hAnsi="Open Sans" w:cs="Open Sans"/>
          <w:color w:val="auto"/>
        </w:rPr>
        <w:t xml:space="preserve"> </w:t>
      </w:r>
    </w:p>
    <w:p w14:paraId="2AD80987" w14:textId="63629F10" w:rsidR="009C29A9" w:rsidRPr="00A12EB8" w:rsidRDefault="00963B03" w:rsidP="00A12EB8">
      <w:pPr>
        <w:pStyle w:val="NormalArial"/>
        <w:rPr>
          <w:rFonts w:ascii="Open Sans" w:hAnsi="Open Sans" w:cs="Open Sans"/>
          <w:color w:val="auto"/>
        </w:rPr>
      </w:pPr>
      <w:r w:rsidRPr="00A12EB8">
        <w:rPr>
          <w:rFonts w:ascii="Open Sans" w:hAnsi="Open Sans" w:cs="Open Sans"/>
          <w:color w:val="auto"/>
        </w:rPr>
        <w:t>E</w:t>
      </w:r>
      <w:r w:rsidR="009C29A9" w:rsidRPr="00A12EB8">
        <w:rPr>
          <w:rFonts w:ascii="Open Sans" w:hAnsi="Open Sans" w:cs="Open Sans"/>
          <w:color w:val="auto"/>
        </w:rPr>
        <w:t>ffective measures to manage high impact or high prevalence risks</w:t>
      </w:r>
      <w:r w:rsidRPr="00A12EB8">
        <w:rPr>
          <w:rFonts w:ascii="Open Sans" w:hAnsi="Open Sans" w:cs="Open Sans"/>
          <w:color w:val="auto"/>
        </w:rPr>
        <w:t xml:space="preserve"> were not demonstrated, with the Assessment Team referencing deficiencies identified in re</w:t>
      </w:r>
      <w:r w:rsidR="009C29A9" w:rsidRPr="00A12EB8">
        <w:rPr>
          <w:rFonts w:ascii="Open Sans" w:hAnsi="Open Sans" w:cs="Open Sans"/>
          <w:color w:val="auto"/>
        </w:rPr>
        <w:t>quirement 3(3)(b)</w:t>
      </w:r>
      <w:r w:rsidR="007554C0">
        <w:rPr>
          <w:rFonts w:ascii="Open Sans" w:hAnsi="Open Sans" w:cs="Open Sans"/>
          <w:color w:val="auto"/>
        </w:rPr>
        <w:t>. These deficiencies included</w:t>
      </w:r>
      <w:r w:rsidR="00A12EB8" w:rsidRPr="00A12EB8">
        <w:rPr>
          <w:rFonts w:ascii="Open Sans" w:hAnsi="Open Sans" w:cs="Open Sans"/>
          <w:color w:val="auto"/>
        </w:rPr>
        <w:t xml:space="preserve"> </w:t>
      </w:r>
      <w:r w:rsidR="009C29A9" w:rsidRPr="00A12EB8">
        <w:rPr>
          <w:rFonts w:ascii="Open Sans" w:hAnsi="Open Sans" w:cs="Open Sans"/>
          <w:color w:val="auto"/>
        </w:rPr>
        <w:t xml:space="preserve">knowledge and understanding of restrictive practices, </w:t>
      </w:r>
      <w:r w:rsidR="0013756A">
        <w:rPr>
          <w:rFonts w:ascii="Open Sans" w:hAnsi="Open Sans" w:cs="Open Sans"/>
          <w:color w:val="auto"/>
        </w:rPr>
        <w:t>BSPs</w:t>
      </w:r>
      <w:r w:rsidR="009C29A9" w:rsidRPr="00A12EB8">
        <w:rPr>
          <w:rFonts w:ascii="Open Sans" w:hAnsi="Open Sans" w:cs="Open Sans"/>
          <w:color w:val="auto"/>
        </w:rPr>
        <w:t>, incident investigation</w:t>
      </w:r>
      <w:r w:rsidR="00A12EB8" w:rsidRPr="00A12EB8">
        <w:rPr>
          <w:rFonts w:ascii="Open Sans" w:hAnsi="Open Sans" w:cs="Open Sans"/>
          <w:color w:val="auto"/>
        </w:rPr>
        <w:t>, specifically</w:t>
      </w:r>
      <w:r w:rsidR="009C29A9" w:rsidRPr="00A12EB8">
        <w:rPr>
          <w:rFonts w:ascii="Open Sans" w:hAnsi="Open Sans" w:cs="Open Sans"/>
          <w:color w:val="auto"/>
        </w:rPr>
        <w:t xml:space="preserve"> medication incidents, post falls management and communication with the hospital when consumers are transferred. </w:t>
      </w:r>
    </w:p>
    <w:p w14:paraId="33DD1969" w14:textId="07BA05FB" w:rsidR="009C29A9" w:rsidRPr="00004F77" w:rsidRDefault="00591E9A" w:rsidP="00004F77">
      <w:pPr>
        <w:pStyle w:val="NormalArial"/>
        <w:rPr>
          <w:rFonts w:ascii="Open Sans" w:hAnsi="Open Sans" w:cs="Open Sans"/>
          <w:color w:val="auto"/>
        </w:rPr>
      </w:pPr>
      <w:r w:rsidRPr="00004F77">
        <w:rPr>
          <w:rFonts w:ascii="Open Sans" w:hAnsi="Open Sans" w:cs="Open Sans"/>
          <w:color w:val="auto"/>
        </w:rPr>
        <w:t>Since 7 April 2024, there have been 23 occasions where consumers</w:t>
      </w:r>
      <w:r w:rsidR="00F47D23">
        <w:rPr>
          <w:rFonts w:ascii="Open Sans" w:hAnsi="Open Sans" w:cs="Open Sans"/>
          <w:color w:val="auto"/>
        </w:rPr>
        <w:t>’</w:t>
      </w:r>
      <w:r w:rsidRPr="00004F77">
        <w:rPr>
          <w:rFonts w:ascii="Open Sans" w:hAnsi="Open Sans" w:cs="Open Sans"/>
          <w:color w:val="auto"/>
        </w:rPr>
        <w:t xml:space="preserve"> medication has not been in stock</w:t>
      </w:r>
      <w:r w:rsidR="00F47D23">
        <w:rPr>
          <w:rFonts w:ascii="Open Sans" w:hAnsi="Open Sans" w:cs="Open Sans"/>
          <w:color w:val="auto"/>
        </w:rPr>
        <w:t>, with o</w:t>
      </w:r>
      <w:r w:rsidR="00A12EB8" w:rsidRPr="002063A7">
        <w:rPr>
          <w:rFonts w:ascii="Open Sans" w:hAnsi="Open Sans" w:cs="Open Sans"/>
          <w:color w:val="auto"/>
        </w:rPr>
        <w:t xml:space="preserve">nly 2 of 23 </w:t>
      </w:r>
      <w:r w:rsidR="009C29A9" w:rsidRPr="002063A7">
        <w:rPr>
          <w:rFonts w:ascii="Open Sans" w:hAnsi="Open Sans" w:cs="Open Sans"/>
          <w:color w:val="auto"/>
        </w:rPr>
        <w:t>incidents</w:t>
      </w:r>
      <w:r w:rsidR="009C29A9" w:rsidRPr="00004F77">
        <w:rPr>
          <w:rFonts w:ascii="Open Sans" w:hAnsi="Open Sans" w:cs="Open Sans"/>
          <w:color w:val="auto"/>
        </w:rPr>
        <w:t xml:space="preserve"> identified and reported </w:t>
      </w:r>
      <w:r w:rsidR="0013756A">
        <w:rPr>
          <w:rFonts w:ascii="Open Sans" w:hAnsi="Open Sans" w:cs="Open Sans"/>
          <w:color w:val="auto"/>
        </w:rPr>
        <w:t>to the</w:t>
      </w:r>
      <w:r w:rsidR="009C29A9" w:rsidRPr="00004F77">
        <w:rPr>
          <w:rFonts w:ascii="Open Sans" w:hAnsi="Open Sans" w:cs="Open Sans"/>
          <w:color w:val="auto"/>
        </w:rPr>
        <w:t xml:space="preserve"> SIRS. </w:t>
      </w:r>
      <w:r w:rsidR="00004F77" w:rsidRPr="00004F77">
        <w:rPr>
          <w:rFonts w:ascii="Open Sans" w:hAnsi="Open Sans" w:cs="Open Sans"/>
          <w:color w:val="auto"/>
        </w:rPr>
        <w:t xml:space="preserve">In relation to these incidents, there </w:t>
      </w:r>
      <w:r w:rsidR="00B270D7">
        <w:rPr>
          <w:rFonts w:ascii="Open Sans" w:hAnsi="Open Sans" w:cs="Open Sans"/>
          <w:color w:val="auto"/>
        </w:rPr>
        <w:t>i</w:t>
      </w:r>
      <w:r w:rsidR="00004F77" w:rsidRPr="00004F77">
        <w:rPr>
          <w:rFonts w:ascii="Open Sans" w:hAnsi="Open Sans" w:cs="Open Sans"/>
          <w:color w:val="auto"/>
        </w:rPr>
        <w:t>s a lack of evidence relating to investigation, risk mitigation or prevention strategies.</w:t>
      </w:r>
    </w:p>
    <w:p w14:paraId="4BD772C2" w14:textId="661C954C" w:rsidR="00096205" w:rsidRPr="005B564F" w:rsidRDefault="00096205" w:rsidP="00096205">
      <w:pPr>
        <w:pStyle w:val="NormalArial"/>
        <w:rPr>
          <w:rFonts w:ascii="Open Sans" w:hAnsi="Open Sans" w:cs="Open Sans"/>
          <w:color w:val="auto"/>
        </w:rPr>
      </w:pPr>
      <w:r w:rsidRPr="005B564F">
        <w:rPr>
          <w:rFonts w:ascii="Open Sans" w:hAnsi="Open Sans" w:cs="Open Sans"/>
          <w:color w:val="auto"/>
        </w:rPr>
        <w:t xml:space="preserve">I have come to a different finding to that of the Assessment Team’s recommendation of not met and find this requirement compliant. While I acknowledge evidence brought forward by the Assessment Team, I do not consider the evidence presented is indicative of systemic </w:t>
      </w:r>
      <w:r>
        <w:rPr>
          <w:rFonts w:ascii="Open Sans" w:hAnsi="Open Sans" w:cs="Open Sans"/>
          <w:color w:val="auto"/>
        </w:rPr>
        <w:t>failures</w:t>
      </w:r>
      <w:r w:rsidRPr="005B564F">
        <w:rPr>
          <w:rFonts w:ascii="Open Sans" w:hAnsi="Open Sans" w:cs="Open Sans"/>
          <w:color w:val="auto"/>
        </w:rPr>
        <w:t xml:space="preserve"> as they relate to </w:t>
      </w:r>
      <w:r w:rsidR="009202FB">
        <w:rPr>
          <w:rFonts w:ascii="Open Sans" w:hAnsi="Open Sans" w:cs="Open Sans"/>
          <w:color w:val="auto"/>
        </w:rPr>
        <w:t>the organisations’ risk management systems and practices</w:t>
      </w:r>
      <w:r w:rsidRPr="005B564F">
        <w:rPr>
          <w:rFonts w:ascii="Open Sans" w:hAnsi="Open Sans" w:cs="Open Sans"/>
          <w:color w:val="auto"/>
        </w:rPr>
        <w:t>. In coming to my finding, I have placed weight on supporting documentation included in the provider’s response.</w:t>
      </w:r>
      <w:r w:rsidR="007144E0" w:rsidRPr="007144E0">
        <w:rPr>
          <w:rFonts w:ascii="Open Sans" w:hAnsi="Open Sans" w:cs="Open Sans"/>
          <w:color w:val="auto"/>
        </w:rPr>
        <w:t xml:space="preserve"> </w:t>
      </w:r>
    </w:p>
    <w:p w14:paraId="58FB3894" w14:textId="6E0A1D70" w:rsidR="00096205" w:rsidRDefault="000348CA" w:rsidP="00AD4CB8">
      <w:pPr>
        <w:pStyle w:val="NormalArial"/>
        <w:rPr>
          <w:rFonts w:ascii="Open Sans" w:hAnsi="Open Sans" w:cs="Open Sans"/>
          <w:color w:val="auto"/>
        </w:rPr>
      </w:pPr>
      <w:r>
        <w:rPr>
          <w:rFonts w:ascii="Open Sans" w:hAnsi="Open Sans" w:cs="Open Sans"/>
          <w:color w:val="auto"/>
        </w:rPr>
        <w:t>T</w:t>
      </w:r>
      <w:r w:rsidR="00F973B8">
        <w:rPr>
          <w:rFonts w:ascii="Open Sans" w:hAnsi="Open Sans" w:cs="Open Sans"/>
          <w:color w:val="auto"/>
        </w:rPr>
        <w:t>he Assessment Team note</w:t>
      </w:r>
      <w:r>
        <w:rPr>
          <w:rFonts w:ascii="Open Sans" w:hAnsi="Open Sans" w:cs="Open Sans"/>
          <w:color w:val="auto"/>
        </w:rPr>
        <w:t xml:space="preserve">d measures to manage high impact or high prevalence risks were not effective, referencing </w:t>
      </w:r>
      <w:r w:rsidR="001E66FA">
        <w:rPr>
          <w:rFonts w:ascii="Open Sans" w:hAnsi="Open Sans" w:cs="Open Sans"/>
          <w:color w:val="auto"/>
        </w:rPr>
        <w:t xml:space="preserve">deficiencies </w:t>
      </w:r>
      <w:r w:rsidR="00F65EF1">
        <w:rPr>
          <w:rFonts w:ascii="Open Sans" w:hAnsi="Open Sans" w:cs="Open Sans"/>
          <w:color w:val="auto"/>
        </w:rPr>
        <w:t xml:space="preserve">identified in requirement 3(3)(b). </w:t>
      </w:r>
      <w:r w:rsidR="00D64796">
        <w:rPr>
          <w:rFonts w:ascii="Open Sans" w:hAnsi="Open Sans" w:cs="Open Sans"/>
          <w:color w:val="auto"/>
        </w:rPr>
        <w:t>High impact or high prevalence risks highlighted in requirement 3(3)(b</w:t>
      </w:r>
      <w:r w:rsidR="00A1185A">
        <w:rPr>
          <w:rFonts w:ascii="Open Sans" w:hAnsi="Open Sans" w:cs="Open Sans"/>
          <w:color w:val="auto"/>
        </w:rPr>
        <w:t>)</w:t>
      </w:r>
      <w:r w:rsidR="00DC7B63">
        <w:rPr>
          <w:rFonts w:ascii="Open Sans" w:hAnsi="Open Sans" w:cs="Open Sans"/>
          <w:color w:val="auto"/>
        </w:rPr>
        <w:t xml:space="preserve"> have been found to be effectively managed. </w:t>
      </w:r>
      <w:r w:rsidR="00CC5CD8">
        <w:rPr>
          <w:rFonts w:ascii="Open Sans" w:hAnsi="Open Sans" w:cs="Open Sans"/>
          <w:color w:val="auto"/>
        </w:rPr>
        <w:t xml:space="preserve">Additionally, </w:t>
      </w:r>
      <w:r w:rsidR="00DD7A29">
        <w:rPr>
          <w:rFonts w:ascii="Open Sans" w:hAnsi="Open Sans" w:cs="Open Sans"/>
          <w:color w:val="auto"/>
        </w:rPr>
        <w:t>the pr</w:t>
      </w:r>
      <w:r w:rsidR="003A45FB">
        <w:rPr>
          <w:rFonts w:ascii="Open Sans" w:hAnsi="Open Sans" w:cs="Open Sans"/>
          <w:color w:val="auto"/>
        </w:rPr>
        <w:t>ovider has taken measures to review BSPs,</w:t>
      </w:r>
      <w:r w:rsidR="00624CE2">
        <w:rPr>
          <w:rFonts w:ascii="Open Sans" w:hAnsi="Open Sans" w:cs="Open Sans"/>
          <w:color w:val="auto"/>
        </w:rPr>
        <w:t xml:space="preserve"> with documentation for </w:t>
      </w:r>
      <w:r w:rsidR="00624CE2" w:rsidRPr="006603FC">
        <w:rPr>
          <w:rFonts w:ascii="Open Sans" w:hAnsi="Open Sans" w:cs="Open Sans"/>
          <w:color w:val="auto"/>
        </w:rPr>
        <w:t>3 highlighted consumers</w:t>
      </w:r>
      <w:r w:rsidR="00590D17">
        <w:rPr>
          <w:rFonts w:ascii="Open Sans" w:hAnsi="Open Sans" w:cs="Open Sans"/>
          <w:color w:val="auto"/>
        </w:rPr>
        <w:t xml:space="preserve"> containing</w:t>
      </w:r>
      <w:r w:rsidR="00624CE2" w:rsidRPr="006603FC">
        <w:rPr>
          <w:rFonts w:ascii="Open Sans" w:hAnsi="Open Sans" w:cs="Open Sans"/>
          <w:color w:val="auto"/>
        </w:rPr>
        <w:t xml:space="preserve"> individualised, person-centred information to guide staff in the management of behaviours</w:t>
      </w:r>
      <w:r w:rsidR="00590D17">
        <w:rPr>
          <w:rFonts w:ascii="Open Sans" w:hAnsi="Open Sans" w:cs="Open Sans"/>
          <w:color w:val="auto"/>
        </w:rPr>
        <w:t>.</w:t>
      </w:r>
      <w:r w:rsidR="00CC5CD8">
        <w:rPr>
          <w:rFonts w:ascii="Open Sans" w:hAnsi="Open Sans" w:cs="Open Sans"/>
          <w:color w:val="auto"/>
        </w:rPr>
        <w:t xml:space="preserve"> </w:t>
      </w:r>
      <w:r w:rsidR="002C2D0E">
        <w:rPr>
          <w:rFonts w:ascii="Open Sans" w:hAnsi="Open Sans" w:cs="Open Sans"/>
          <w:color w:val="auto"/>
        </w:rPr>
        <w:t>T</w:t>
      </w:r>
      <w:r w:rsidR="00C066D6" w:rsidRPr="005B564F">
        <w:rPr>
          <w:rFonts w:ascii="Open Sans" w:hAnsi="Open Sans" w:cs="Open Sans"/>
          <w:color w:val="auto"/>
        </w:rPr>
        <w:t>he provider has taken appropriate measures</w:t>
      </w:r>
      <w:r w:rsidR="00974589" w:rsidRPr="005B564F">
        <w:rPr>
          <w:rFonts w:ascii="Open Sans" w:hAnsi="Open Sans" w:cs="Open Sans"/>
          <w:color w:val="auto"/>
        </w:rPr>
        <w:t xml:space="preserve"> to </w:t>
      </w:r>
      <w:r w:rsidR="00974589">
        <w:rPr>
          <w:rFonts w:ascii="Open Sans" w:hAnsi="Open Sans" w:cs="Open Sans"/>
          <w:color w:val="auto"/>
        </w:rPr>
        <w:t xml:space="preserve">address </w:t>
      </w:r>
      <w:r w:rsidR="002C2D0E">
        <w:rPr>
          <w:rFonts w:ascii="Open Sans" w:hAnsi="Open Sans" w:cs="Open Sans"/>
          <w:color w:val="auto"/>
        </w:rPr>
        <w:t>medication supply</w:t>
      </w:r>
      <w:r w:rsidR="00974589">
        <w:rPr>
          <w:rFonts w:ascii="Open Sans" w:hAnsi="Open Sans" w:cs="Open Sans"/>
          <w:color w:val="auto"/>
        </w:rPr>
        <w:t xml:space="preserve"> issues and to </w:t>
      </w:r>
      <w:r w:rsidR="00974589" w:rsidRPr="005B564F">
        <w:rPr>
          <w:rFonts w:ascii="Open Sans" w:hAnsi="Open Sans" w:cs="Open Sans"/>
          <w:color w:val="auto"/>
        </w:rPr>
        <w:t xml:space="preserve">mitigate </w:t>
      </w:r>
      <w:r w:rsidR="00974589">
        <w:rPr>
          <w:rFonts w:ascii="Open Sans" w:hAnsi="Open Sans" w:cs="Open Sans"/>
          <w:color w:val="auto"/>
        </w:rPr>
        <w:t xml:space="preserve">related </w:t>
      </w:r>
      <w:r w:rsidR="00974589" w:rsidRPr="005B564F">
        <w:rPr>
          <w:rFonts w:ascii="Open Sans" w:hAnsi="Open Sans" w:cs="Open Sans"/>
          <w:color w:val="auto"/>
        </w:rPr>
        <w:t>risks to consumers.</w:t>
      </w:r>
      <w:r w:rsidR="00160E34">
        <w:rPr>
          <w:rFonts w:ascii="Open Sans" w:hAnsi="Open Sans" w:cs="Open Sans"/>
          <w:color w:val="auto"/>
        </w:rPr>
        <w:t xml:space="preserve"> </w:t>
      </w:r>
      <w:r w:rsidR="00C85708">
        <w:rPr>
          <w:rFonts w:ascii="Open Sans" w:hAnsi="Open Sans" w:cs="Open Sans"/>
          <w:color w:val="auto"/>
        </w:rPr>
        <w:t xml:space="preserve">While </w:t>
      </w:r>
      <w:r w:rsidR="00160E34">
        <w:rPr>
          <w:rFonts w:ascii="Open Sans" w:hAnsi="Open Sans" w:cs="Open Sans"/>
          <w:color w:val="auto"/>
        </w:rPr>
        <w:t>I have</w:t>
      </w:r>
      <w:r w:rsidR="008D7C10">
        <w:rPr>
          <w:rFonts w:ascii="Open Sans" w:hAnsi="Open Sans" w:cs="Open Sans"/>
          <w:color w:val="auto"/>
        </w:rPr>
        <w:t xml:space="preserve"> </w:t>
      </w:r>
      <w:r w:rsidR="00160E34">
        <w:rPr>
          <w:rFonts w:ascii="Open Sans" w:hAnsi="Open Sans" w:cs="Open Sans"/>
          <w:color w:val="auto"/>
        </w:rPr>
        <w:t xml:space="preserve">considered </w:t>
      </w:r>
      <w:r w:rsidR="00442514">
        <w:rPr>
          <w:rFonts w:ascii="Open Sans" w:hAnsi="Open Sans" w:cs="Open Sans"/>
          <w:color w:val="auto"/>
        </w:rPr>
        <w:t xml:space="preserve">use of and consent for restrictive practices has not been undertaken in line with legislative requirements, and </w:t>
      </w:r>
      <w:r w:rsidR="008602E3">
        <w:rPr>
          <w:rFonts w:ascii="Open Sans" w:hAnsi="Open Sans" w:cs="Open Sans"/>
          <w:color w:val="auto"/>
        </w:rPr>
        <w:t xml:space="preserve">organisational </w:t>
      </w:r>
      <w:r w:rsidR="008602E3" w:rsidRPr="000F53D2">
        <w:rPr>
          <w:rFonts w:ascii="Open Sans" w:hAnsi="Open Sans" w:cs="Open Sans"/>
          <w:color w:val="auto"/>
        </w:rPr>
        <w:t>processes to identify opportunities to minimise the use of restrictive practices</w:t>
      </w:r>
      <w:r w:rsidR="008602E3">
        <w:rPr>
          <w:rFonts w:ascii="Open Sans" w:hAnsi="Open Sans" w:cs="Open Sans"/>
          <w:color w:val="auto"/>
        </w:rPr>
        <w:t xml:space="preserve"> have not been effective</w:t>
      </w:r>
      <w:r w:rsidR="00C85708">
        <w:rPr>
          <w:rFonts w:ascii="Open Sans" w:hAnsi="Open Sans" w:cs="Open Sans"/>
          <w:color w:val="auto"/>
        </w:rPr>
        <w:t xml:space="preserve">, I find these </w:t>
      </w:r>
      <w:r w:rsidR="008D7C10">
        <w:rPr>
          <w:rFonts w:ascii="Open Sans" w:hAnsi="Open Sans" w:cs="Open Sans"/>
          <w:color w:val="auto"/>
        </w:rPr>
        <w:t xml:space="preserve">aspects are more aligned to assessment and planning </w:t>
      </w:r>
      <w:r w:rsidR="00C85708">
        <w:rPr>
          <w:rFonts w:ascii="Open Sans" w:hAnsi="Open Sans" w:cs="Open Sans"/>
          <w:color w:val="auto"/>
        </w:rPr>
        <w:t xml:space="preserve">and </w:t>
      </w:r>
      <w:r w:rsidR="00A24616">
        <w:rPr>
          <w:rFonts w:ascii="Open Sans" w:hAnsi="Open Sans" w:cs="Open Sans"/>
          <w:color w:val="auto"/>
        </w:rPr>
        <w:t xml:space="preserve">clinical governance </w:t>
      </w:r>
      <w:r w:rsidR="00A24616">
        <w:rPr>
          <w:rFonts w:ascii="Open Sans" w:hAnsi="Open Sans" w:cs="Open Sans"/>
          <w:color w:val="auto"/>
        </w:rPr>
        <w:lastRenderedPageBreak/>
        <w:t>and have considered the evidence in my findings for requirement</w:t>
      </w:r>
      <w:r w:rsidR="00A13433">
        <w:rPr>
          <w:rFonts w:ascii="Open Sans" w:hAnsi="Open Sans" w:cs="Open Sans"/>
          <w:color w:val="auto"/>
        </w:rPr>
        <w:t>s</w:t>
      </w:r>
      <w:r w:rsidR="00A24616">
        <w:rPr>
          <w:rFonts w:ascii="Open Sans" w:hAnsi="Open Sans" w:cs="Open Sans"/>
          <w:color w:val="auto"/>
        </w:rPr>
        <w:t xml:space="preserve"> 2(3)(a) and 8(3)(e) respectively. </w:t>
      </w:r>
      <w:r w:rsidR="00413655">
        <w:rPr>
          <w:rFonts w:ascii="Open Sans" w:hAnsi="Open Sans" w:cs="Open Sans"/>
          <w:color w:val="auto"/>
        </w:rPr>
        <w:t xml:space="preserve"> </w:t>
      </w:r>
      <w:r w:rsidR="008602E3">
        <w:rPr>
          <w:rFonts w:ascii="Open Sans" w:hAnsi="Open Sans" w:cs="Open Sans"/>
          <w:color w:val="auto"/>
        </w:rPr>
        <w:t xml:space="preserve"> </w:t>
      </w:r>
    </w:p>
    <w:p w14:paraId="7CD328F6" w14:textId="76DC0E6C" w:rsidR="00096205" w:rsidRDefault="006E6F18" w:rsidP="00AD4CB8">
      <w:pPr>
        <w:pStyle w:val="NormalArial"/>
        <w:rPr>
          <w:rFonts w:ascii="Open Sans" w:hAnsi="Open Sans" w:cs="Open Sans"/>
          <w:color w:val="auto"/>
        </w:rPr>
      </w:pPr>
      <w:r>
        <w:rPr>
          <w:rFonts w:ascii="Open Sans" w:hAnsi="Open Sans" w:cs="Open Sans"/>
          <w:color w:val="auto"/>
        </w:rPr>
        <w:t>I acknowledge evidence indicating not all incidents where medications have been unavailable have been reported through the SIRS</w:t>
      </w:r>
      <w:r w:rsidR="00A42EBF">
        <w:rPr>
          <w:rFonts w:ascii="Open Sans" w:hAnsi="Open Sans" w:cs="Open Sans"/>
          <w:color w:val="auto"/>
        </w:rPr>
        <w:t xml:space="preserve">, and related incident reports do not include sufficient detail relating to the incidents. </w:t>
      </w:r>
      <w:r w:rsidR="00FC55F7">
        <w:rPr>
          <w:rFonts w:ascii="Open Sans" w:hAnsi="Open Sans" w:cs="Open Sans"/>
          <w:color w:val="auto"/>
        </w:rPr>
        <w:t>However, I do not consider this demonstrates systemic deficits relating to the organisation’s</w:t>
      </w:r>
      <w:r w:rsidR="000E3A68">
        <w:rPr>
          <w:rFonts w:ascii="Open Sans" w:hAnsi="Open Sans" w:cs="Open Sans"/>
          <w:color w:val="auto"/>
        </w:rPr>
        <w:t xml:space="preserve"> risk management systems and practices more broadly.</w:t>
      </w:r>
      <w:r w:rsidR="00FC55F7">
        <w:rPr>
          <w:rFonts w:ascii="Open Sans" w:hAnsi="Open Sans" w:cs="Open Sans"/>
          <w:color w:val="auto"/>
        </w:rPr>
        <w:t xml:space="preserve"> </w:t>
      </w:r>
      <w:r w:rsidR="00960F2B">
        <w:rPr>
          <w:rFonts w:ascii="Open Sans" w:hAnsi="Open Sans" w:cs="Open Sans"/>
          <w:color w:val="auto"/>
        </w:rPr>
        <w:t>The provider states incidents relating to medication supplies have been reported to the SIRS</w:t>
      </w:r>
      <w:r w:rsidR="002C2D0E">
        <w:rPr>
          <w:rFonts w:ascii="Open Sans" w:hAnsi="Open Sans" w:cs="Open Sans"/>
          <w:color w:val="auto"/>
        </w:rPr>
        <w:t>,</w:t>
      </w:r>
      <w:r w:rsidR="00960F2B">
        <w:rPr>
          <w:rFonts w:ascii="Open Sans" w:hAnsi="Open Sans" w:cs="Open Sans"/>
          <w:color w:val="auto"/>
        </w:rPr>
        <w:t xml:space="preserve"> where applicable for each consumer</w:t>
      </w:r>
      <w:r w:rsidR="000E3A68">
        <w:rPr>
          <w:rFonts w:ascii="Open Sans" w:hAnsi="Open Sans" w:cs="Open Sans"/>
          <w:color w:val="auto"/>
        </w:rPr>
        <w:t>, however, evidence to support this was not included in the response</w:t>
      </w:r>
      <w:r w:rsidR="00960F2B">
        <w:rPr>
          <w:rFonts w:ascii="Open Sans" w:hAnsi="Open Sans" w:cs="Open Sans"/>
          <w:color w:val="auto"/>
        </w:rPr>
        <w:t xml:space="preserve">. </w:t>
      </w:r>
      <w:r w:rsidR="000101D5">
        <w:rPr>
          <w:rFonts w:ascii="Open Sans" w:hAnsi="Open Sans" w:cs="Open Sans"/>
          <w:color w:val="auto"/>
        </w:rPr>
        <w:t xml:space="preserve">In relation </w:t>
      </w:r>
      <w:r w:rsidR="00837A10">
        <w:rPr>
          <w:rFonts w:ascii="Open Sans" w:hAnsi="Open Sans" w:cs="Open Sans"/>
          <w:color w:val="auto"/>
        </w:rPr>
        <w:t>medication incidents, specifically those related to medication supply issues, I would encourage the provider to review their incident reporting processes to ensure</w:t>
      </w:r>
      <w:r w:rsidR="006178A8">
        <w:rPr>
          <w:rFonts w:ascii="Open Sans" w:hAnsi="Open Sans" w:cs="Open Sans"/>
          <w:color w:val="auto"/>
        </w:rPr>
        <w:t xml:space="preserve"> the length of time the consumer </w:t>
      </w:r>
      <w:r w:rsidR="002C537D">
        <w:rPr>
          <w:rFonts w:ascii="Open Sans" w:hAnsi="Open Sans" w:cs="Open Sans"/>
          <w:color w:val="auto"/>
        </w:rPr>
        <w:t>i</w:t>
      </w:r>
      <w:r w:rsidR="006178A8">
        <w:rPr>
          <w:rFonts w:ascii="Open Sans" w:hAnsi="Open Sans" w:cs="Open Sans"/>
          <w:color w:val="auto"/>
        </w:rPr>
        <w:t>s without the medication is noted</w:t>
      </w:r>
      <w:r w:rsidR="00B8406F">
        <w:rPr>
          <w:rFonts w:ascii="Open Sans" w:hAnsi="Open Sans" w:cs="Open Sans"/>
          <w:color w:val="auto"/>
        </w:rPr>
        <w:t xml:space="preserve">, as well as how the consumer’s health and wellbeing </w:t>
      </w:r>
      <w:r w:rsidR="003C62AF">
        <w:rPr>
          <w:rFonts w:ascii="Open Sans" w:hAnsi="Open Sans" w:cs="Open Sans"/>
          <w:color w:val="auto"/>
        </w:rPr>
        <w:t>i</w:t>
      </w:r>
      <w:r w:rsidR="00B8406F">
        <w:rPr>
          <w:rFonts w:ascii="Open Sans" w:hAnsi="Open Sans" w:cs="Open Sans"/>
          <w:color w:val="auto"/>
        </w:rPr>
        <w:t>s monitored to ensure</w:t>
      </w:r>
      <w:r w:rsidR="005C7902">
        <w:rPr>
          <w:rFonts w:ascii="Open Sans" w:hAnsi="Open Sans" w:cs="Open Sans"/>
          <w:color w:val="auto"/>
        </w:rPr>
        <w:t xml:space="preserve"> any adverse effects are identified and</w:t>
      </w:r>
      <w:r w:rsidR="002A1657">
        <w:rPr>
          <w:rFonts w:ascii="Open Sans" w:hAnsi="Open Sans" w:cs="Open Sans"/>
          <w:color w:val="auto"/>
        </w:rPr>
        <w:t xml:space="preserve"> managed. </w:t>
      </w:r>
      <w:r w:rsidR="00B8406F">
        <w:rPr>
          <w:rFonts w:ascii="Open Sans" w:hAnsi="Open Sans" w:cs="Open Sans"/>
          <w:color w:val="auto"/>
        </w:rPr>
        <w:t xml:space="preserve"> </w:t>
      </w:r>
      <w:r w:rsidR="00837A10">
        <w:rPr>
          <w:rFonts w:ascii="Open Sans" w:hAnsi="Open Sans" w:cs="Open Sans"/>
          <w:color w:val="auto"/>
        </w:rPr>
        <w:t xml:space="preserve"> </w:t>
      </w:r>
    </w:p>
    <w:p w14:paraId="51EB4B4D" w14:textId="55E993AD" w:rsidR="00AD4CB8" w:rsidRDefault="00AD4CB8" w:rsidP="00AD4CB8">
      <w:pPr>
        <w:pStyle w:val="NormalArial"/>
        <w:rPr>
          <w:rFonts w:ascii="Open Sans" w:hAnsi="Open Sans" w:cs="Open Sans"/>
          <w:color w:val="auto"/>
        </w:rPr>
      </w:pPr>
      <w:r>
        <w:rPr>
          <w:rFonts w:ascii="Open Sans" w:hAnsi="Open Sans" w:cs="Open Sans"/>
          <w:color w:val="auto"/>
        </w:rPr>
        <w:t xml:space="preserve">For the reasons detailed above, I find requirement 8(3)(d) compliant. </w:t>
      </w:r>
    </w:p>
    <w:p w14:paraId="44E70D7A" w14:textId="7F493B61" w:rsidR="00CD508B" w:rsidRDefault="008614CF" w:rsidP="008614CF">
      <w:pPr>
        <w:pStyle w:val="NormalArial"/>
        <w:rPr>
          <w:rFonts w:ascii="Open Sans" w:hAnsi="Open Sans" w:cs="Open Sans"/>
          <w:color w:val="auto"/>
        </w:rPr>
      </w:pPr>
      <w:bookmarkStart w:id="4" w:name="_Hlk204857931"/>
      <w:r w:rsidRPr="00333C50">
        <w:rPr>
          <w:rFonts w:ascii="Open Sans" w:hAnsi="Open Sans" w:cs="Open Sans"/>
          <w:b/>
          <w:bCs/>
          <w:color w:val="auto"/>
        </w:rPr>
        <w:t xml:space="preserve">Requirement </w:t>
      </w:r>
      <w:r>
        <w:rPr>
          <w:rFonts w:ascii="Open Sans" w:hAnsi="Open Sans" w:cs="Open Sans"/>
          <w:b/>
          <w:bCs/>
          <w:color w:val="auto"/>
        </w:rPr>
        <w:t>8</w:t>
      </w:r>
      <w:r w:rsidRPr="00333C50">
        <w:rPr>
          <w:rFonts w:ascii="Open Sans" w:hAnsi="Open Sans" w:cs="Open Sans"/>
          <w:b/>
          <w:bCs/>
          <w:color w:val="auto"/>
        </w:rPr>
        <w:t>(3)(</w:t>
      </w:r>
      <w:r w:rsidR="004C1645">
        <w:rPr>
          <w:rFonts w:ascii="Open Sans" w:hAnsi="Open Sans" w:cs="Open Sans"/>
          <w:b/>
          <w:bCs/>
          <w:color w:val="auto"/>
        </w:rPr>
        <w:t>e</w:t>
      </w:r>
      <w:r w:rsidRPr="00333C50">
        <w:rPr>
          <w:rFonts w:ascii="Open Sans" w:hAnsi="Open Sans" w:cs="Open Sans"/>
          <w:b/>
          <w:bCs/>
          <w:color w:val="auto"/>
        </w:rPr>
        <w:t>)</w:t>
      </w:r>
      <w:r w:rsidRPr="00797984">
        <w:rPr>
          <w:rFonts w:ascii="Open Sans" w:hAnsi="Open Sans" w:cs="Open Sans"/>
          <w:color w:val="auto"/>
        </w:rPr>
        <w:t xml:space="preserve"> was found non-compliant following </w:t>
      </w:r>
      <w:r>
        <w:rPr>
          <w:rFonts w:ascii="Open Sans" w:hAnsi="Open Sans" w:cs="Open Sans"/>
          <w:color w:val="auto"/>
        </w:rPr>
        <w:t>a site audit</w:t>
      </w:r>
      <w:r w:rsidRPr="00797984">
        <w:rPr>
          <w:rFonts w:ascii="Open Sans" w:hAnsi="Open Sans" w:cs="Open Sans"/>
          <w:color w:val="auto"/>
        </w:rPr>
        <w:t xml:space="preserve"> </w:t>
      </w:r>
      <w:r>
        <w:rPr>
          <w:rFonts w:ascii="Open Sans" w:hAnsi="Open Sans" w:cs="Open Sans"/>
          <w:color w:val="auto"/>
        </w:rPr>
        <w:t>conducted</w:t>
      </w:r>
      <w:r w:rsidRPr="00797984">
        <w:rPr>
          <w:rFonts w:ascii="Open Sans" w:hAnsi="Open Sans" w:cs="Open Sans"/>
          <w:color w:val="auto"/>
        </w:rPr>
        <w:t xml:space="preserve"> in </w:t>
      </w:r>
      <w:r>
        <w:rPr>
          <w:rFonts w:ascii="Open Sans" w:hAnsi="Open Sans" w:cs="Open Sans"/>
          <w:color w:val="auto"/>
        </w:rPr>
        <w:t>February 2025</w:t>
      </w:r>
      <w:r w:rsidRPr="00B80511">
        <w:rPr>
          <w:rFonts w:ascii="Open Sans" w:hAnsi="Open Sans" w:cs="Open Sans"/>
          <w:color w:val="auto"/>
        </w:rPr>
        <w:t xml:space="preserve">, with the related performance report dated </w:t>
      </w:r>
      <w:r w:rsidR="00377BEA">
        <w:rPr>
          <w:rFonts w:ascii="Open Sans" w:hAnsi="Open Sans" w:cs="Open Sans"/>
        </w:rPr>
        <w:t xml:space="preserve">3 April </w:t>
      </w:r>
      <w:r w:rsidR="00D175E7">
        <w:rPr>
          <w:rFonts w:ascii="Open Sans" w:hAnsi="Open Sans" w:cs="Open Sans"/>
        </w:rPr>
        <w:t xml:space="preserve">2025 </w:t>
      </w:r>
      <w:r w:rsidR="00D175E7" w:rsidRPr="00B80511">
        <w:rPr>
          <w:rFonts w:ascii="Open Sans" w:hAnsi="Open Sans" w:cs="Open Sans"/>
          <w:color w:val="auto"/>
        </w:rPr>
        <w:t>finding</w:t>
      </w:r>
      <w:r w:rsidRPr="00B80511">
        <w:rPr>
          <w:rFonts w:ascii="Open Sans" w:hAnsi="Open Sans" w:cs="Open Sans"/>
          <w:color w:val="auto"/>
        </w:rPr>
        <w:t xml:space="preserve"> </w:t>
      </w:r>
      <w:r>
        <w:rPr>
          <w:rFonts w:ascii="Open Sans" w:hAnsi="Open Sans" w:cs="Open Sans"/>
          <w:color w:val="auto"/>
        </w:rPr>
        <w:t xml:space="preserve">the clinical </w:t>
      </w:r>
      <w:r w:rsidRPr="001E694D">
        <w:rPr>
          <w:rFonts w:ascii="Open Sans" w:hAnsi="Open Sans" w:cs="Open Sans"/>
        </w:rPr>
        <w:t>governance framework</w:t>
      </w:r>
      <w:r>
        <w:rPr>
          <w:rFonts w:ascii="Open Sans" w:hAnsi="Open Sans" w:cs="Open Sans"/>
        </w:rPr>
        <w:t>, including minimising use of restraint was not effective</w:t>
      </w:r>
      <w:r w:rsidRPr="00797984">
        <w:rPr>
          <w:rFonts w:ascii="Open Sans" w:hAnsi="Open Sans" w:cs="Open Sans"/>
          <w:color w:val="auto"/>
        </w:rPr>
        <w:t xml:space="preserve">. </w:t>
      </w:r>
      <w:r w:rsidR="00CD508B" w:rsidRPr="00F56A7C">
        <w:rPr>
          <w:rFonts w:ascii="Open Sans" w:hAnsi="Open Sans" w:cs="Open Sans"/>
        </w:rPr>
        <w:t>In response to the non-compliance, the provider implemented a range of improvement actions, including, but not limited to,</w:t>
      </w:r>
      <w:r w:rsidR="004C1645" w:rsidRPr="004C1645">
        <w:rPr>
          <w:rFonts w:ascii="Open Sans" w:eastAsia="Times New Roman" w:hAnsi="Open Sans" w:cs="Open Sans"/>
          <w:color w:val="000000"/>
          <w:lang w:eastAsia="en-AU"/>
        </w:rPr>
        <w:t xml:space="preserve"> </w:t>
      </w:r>
      <w:r w:rsidR="004C1645" w:rsidRPr="000C2CFC">
        <w:rPr>
          <w:rFonts w:ascii="Open Sans" w:eastAsia="Times New Roman" w:hAnsi="Open Sans" w:cs="Open Sans"/>
          <w:color w:val="000000"/>
          <w:lang w:eastAsia="en-AU"/>
        </w:rPr>
        <w:t>a new electronic documentation system for access to policies and procedures</w:t>
      </w:r>
      <w:r w:rsidR="004C1645">
        <w:rPr>
          <w:rFonts w:ascii="Open Sans" w:eastAsia="Times New Roman" w:hAnsi="Open Sans" w:cs="Open Sans"/>
          <w:color w:val="000000"/>
          <w:lang w:eastAsia="en-AU"/>
        </w:rPr>
        <w:t xml:space="preserve">; </w:t>
      </w:r>
      <w:r w:rsidR="004C1645" w:rsidRPr="004C1645">
        <w:rPr>
          <w:rFonts w:ascii="Open Sans" w:eastAsia="Times New Roman" w:hAnsi="Open Sans" w:cs="Open Sans"/>
          <w:color w:val="000000"/>
          <w:lang w:eastAsia="en-AU"/>
        </w:rPr>
        <w:t>a risk management committee to define and establish the organisation’s risk appetite</w:t>
      </w:r>
      <w:r w:rsidR="004C1645">
        <w:rPr>
          <w:rFonts w:ascii="Open Sans" w:eastAsia="Times New Roman" w:hAnsi="Open Sans" w:cs="Open Sans"/>
          <w:color w:val="000000"/>
          <w:lang w:eastAsia="en-AU"/>
        </w:rPr>
        <w:t xml:space="preserve">; </w:t>
      </w:r>
      <w:r w:rsidR="004C1645" w:rsidRPr="004C1645">
        <w:rPr>
          <w:rFonts w:ascii="Open Sans" w:eastAsia="Times New Roman" w:hAnsi="Open Sans" w:cs="Open Sans"/>
          <w:color w:val="000000"/>
          <w:lang w:eastAsia="en-AU"/>
        </w:rPr>
        <w:t xml:space="preserve">a new external auditing platform with audit results reported </w:t>
      </w:r>
      <w:r w:rsidR="004C1645">
        <w:rPr>
          <w:rFonts w:ascii="Open Sans" w:eastAsia="Times New Roman" w:hAnsi="Open Sans" w:cs="Open Sans"/>
          <w:color w:val="000000"/>
          <w:lang w:eastAsia="en-AU"/>
        </w:rPr>
        <w:t xml:space="preserve">monthly </w:t>
      </w:r>
      <w:r w:rsidR="004C1645" w:rsidRPr="004C1645">
        <w:rPr>
          <w:rFonts w:ascii="Open Sans" w:eastAsia="Times New Roman" w:hAnsi="Open Sans" w:cs="Open Sans"/>
          <w:color w:val="000000"/>
          <w:lang w:eastAsia="en-AU"/>
        </w:rPr>
        <w:t xml:space="preserve">to the </w:t>
      </w:r>
      <w:r w:rsidR="004C1645">
        <w:rPr>
          <w:rFonts w:ascii="Open Sans" w:eastAsia="Times New Roman" w:hAnsi="Open Sans" w:cs="Open Sans"/>
          <w:color w:val="000000"/>
          <w:lang w:eastAsia="en-AU"/>
        </w:rPr>
        <w:t>b</w:t>
      </w:r>
      <w:r w:rsidR="004C1645" w:rsidRPr="004C1645">
        <w:rPr>
          <w:rFonts w:ascii="Open Sans" w:eastAsia="Times New Roman" w:hAnsi="Open Sans" w:cs="Open Sans"/>
          <w:color w:val="000000"/>
          <w:lang w:eastAsia="en-AU"/>
        </w:rPr>
        <w:t>oard</w:t>
      </w:r>
      <w:r w:rsidR="004C1645">
        <w:rPr>
          <w:rFonts w:ascii="Open Sans" w:eastAsia="Times New Roman" w:hAnsi="Open Sans" w:cs="Open Sans"/>
          <w:color w:val="000000"/>
          <w:lang w:eastAsia="en-AU"/>
        </w:rPr>
        <w:t>; and a</w:t>
      </w:r>
      <w:r w:rsidR="004C1645" w:rsidRPr="004C1645">
        <w:rPr>
          <w:rFonts w:ascii="Open Sans" w:eastAsia="Times New Roman" w:hAnsi="Open Sans" w:cs="Open Sans"/>
          <w:color w:val="000000"/>
          <w:lang w:eastAsia="en-AU"/>
        </w:rPr>
        <w:t xml:space="preserve"> clinical governance committee responsible </w:t>
      </w:r>
      <w:r w:rsidR="004C1645">
        <w:rPr>
          <w:rFonts w:ascii="Open Sans" w:eastAsia="Times New Roman" w:hAnsi="Open Sans" w:cs="Open Sans"/>
          <w:color w:val="000000"/>
          <w:lang w:eastAsia="en-AU"/>
        </w:rPr>
        <w:t>for</w:t>
      </w:r>
      <w:r w:rsidR="004C1645" w:rsidRPr="004C1645">
        <w:rPr>
          <w:rFonts w:ascii="Open Sans" w:eastAsia="Times New Roman" w:hAnsi="Open Sans" w:cs="Open Sans"/>
          <w:color w:val="000000"/>
          <w:lang w:eastAsia="en-AU"/>
        </w:rPr>
        <w:t xml:space="preserve"> oversee</w:t>
      </w:r>
      <w:r w:rsidR="004C1645">
        <w:rPr>
          <w:rFonts w:ascii="Open Sans" w:eastAsia="Times New Roman" w:hAnsi="Open Sans" w:cs="Open Sans"/>
          <w:color w:val="000000"/>
          <w:lang w:eastAsia="en-AU"/>
        </w:rPr>
        <w:t>ing</w:t>
      </w:r>
      <w:r w:rsidR="004C1645" w:rsidRPr="004C1645">
        <w:rPr>
          <w:rFonts w:ascii="Open Sans" w:eastAsia="Times New Roman" w:hAnsi="Open Sans" w:cs="Open Sans"/>
          <w:color w:val="000000"/>
          <w:lang w:eastAsia="en-AU"/>
        </w:rPr>
        <w:t xml:space="preserve"> risks, monitor</w:t>
      </w:r>
      <w:r w:rsidR="00C8325C">
        <w:rPr>
          <w:rFonts w:ascii="Open Sans" w:eastAsia="Times New Roman" w:hAnsi="Open Sans" w:cs="Open Sans"/>
          <w:color w:val="000000"/>
          <w:lang w:eastAsia="en-AU"/>
        </w:rPr>
        <w:t>ing</w:t>
      </w:r>
      <w:r w:rsidR="004C1645" w:rsidRPr="004C1645">
        <w:rPr>
          <w:rFonts w:ascii="Open Sans" w:eastAsia="Times New Roman" w:hAnsi="Open Sans" w:cs="Open Sans"/>
          <w:color w:val="000000"/>
          <w:lang w:eastAsia="en-AU"/>
        </w:rPr>
        <w:t xml:space="preserve"> outcomes, review</w:t>
      </w:r>
      <w:r w:rsidR="00C8325C">
        <w:rPr>
          <w:rFonts w:ascii="Open Sans" w:eastAsia="Times New Roman" w:hAnsi="Open Sans" w:cs="Open Sans"/>
          <w:color w:val="000000"/>
          <w:lang w:eastAsia="en-AU"/>
        </w:rPr>
        <w:t>ing</w:t>
      </w:r>
      <w:r w:rsidR="004C1645" w:rsidRPr="004C1645">
        <w:rPr>
          <w:rFonts w:ascii="Open Sans" w:eastAsia="Times New Roman" w:hAnsi="Open Sans" w:cs="Open Sans"/>
          <w:color w:val="000000"/>
          <w:lang w:eastAsia="en-AU"/>
        </w:rPr>
        <w:t xml:space="preserve"> policy and support</w:t>
      </w:r>
      <w:r w:rsidR="00C8325C">
        <w:rPr>
          <w:rFonts w:ascii="Open Sans" w:eastAsia="Times New Roman" w:hAnsi="Open Sans" w:cs="Open Sans"/>
          <w:color w:val="000000"/>
          <w:lang w:eastAsia="en-AU"/>
        </w:rPr>
        <w:t>ing</w:t>
      </w:r>
      <w:r w:rsidR="004C1645" w:rsidRPr="004C1645">
        <w:rPr>
          <w:rFonts w:ascii="Open Sans" w:eastAsia="Times New Roman" w:hAnsi="Open Sans" w:cs="Open Sans"/>
          <w:color w:val="000000"/>
          <w:lang w:eastAsia="en-AU"/>
        </w:rPr>
        <w:t xml:space="preserve"> continuous improvement</w:t>
      </w:r>
      <w:r w:rsidR="004C1645">
        <w:rPr>
          <w:rFonts w:ascii="Open Sans" w:eastAsia="Times New Roman" w:hAnsi="Open Sans" w:cs="Open Sans"/>
          <w:color w:val="000000"/>
          <w:lang w:eastAsia="en-AU"/>
        </w:rPr>
        <w:t>.</w:t>
      </w:r>
    </w:p>
    <w:p w14:paraId="717461A8" w14:textId="32C0D19F" w:rsidR="004C1645" w:rsidRDefault="004C1645" w:rsidP="004C1645">
      <w:pPr>
        <w:pStyle w:val="NormalArial"/>
        <w:rPr>
          <w:rFonts w:ascii="Open Sans" w:hAnsi="Open Sans" w:cs="Open Sans"/>
          <w:color w:val="auto"/>
        </w:rPr>
      </w:pPr>
      <w:r w:rsidRPr="00004F77">
        <w:rPr>
          <w:rFonts w:ascii="Open Sans" w:hAnsi="Open Sans" w:cs="Open Sans"/>
          <w:color w:val="auto"/>
        </w:rPr>
        <w:t xml:space="preserve">At the assessment contact in July 2025, </w:t>
      </w:r>
      <w:r w:rsidR="00B959A8">
        <w:rPr>
          <w:rFonts w:ascii="Open Sans" w:hAnsi="Open Sans" w:cs="Open Sans"/>
          <w:color w:val="auto"/>
        </w:rPr>
        <w:t>effective governance systems, supported by policies, procedures, staff training and monitoring processes were found to be in place to support antimicrobial stewardship and open disclosure. However, t</w:t>
      </w:r>
      <w:r w:rsidRPr="00004F77">
        <w:rPr>
          <w:rFonts w:ascii="Open Sans" w:hAnsi="Open Sans" w:cs="Open Sans"/>
          <w:color w:val="auto"/>
        </w:rPr>
        <w:t>he Assessment Team found while improvement</w:t>
      </w:r>
      <w:r w:rsidR="00B959A8">
        <w:rPr>
          <w:rFonts w:ascii="Open Sans" w:hAnsi="Open Sans" w:cs="Open Sans"/>
          <w:color w:val="auto"/>
        </w:rPr>
        <w:t xml:space="preserve"> actions</w:t>
      </w:r>
      <w:r w:rsidRPr="00004F77">
        <w:rPr>
          <w:rFonts w:ascii="Open Sans" w:hAnsi="Open Sans" w:cs="Open Sans"/>
          <w:color w:val="auto"/>
        </w:rPr>
        <w:t xml:space="preserve"> </w:t>
      </w:r>
      <w:r w:rsidR="00B959A8">
        <w:rPr>
          <w:rFonts w:ascii="Open Sans" w:hAnsi="Open Sans" w:cs="Open Sans"/>
          <w:color w:val="auto"/>
        </w:rPr>
        <w:t xml:space="preserve">have been implemented </w:t>
      </w:r>
      <w:r w:rsidRPr="00004F77">
        <w:rPr>
          <w:rFonts w:ascii="Open Sans" w:hAnsi="Open Sans" w:cs="Open Sans"/>
          <w:color w:val="auto"/>
        </w:rPr>
        <w:t xml:space="preserve">in response to the non-compliance, </w:t>
      </w:r>
      <w:r w:rsidRPr="000C2CFC">
        <w:rPr>
          <w:rFonts w:ascii="Open Sans" w:hAnsi="Open Sans" w:cs="Open Sans"/>
          <w:color w:val="000000"/>
          <w:szCs w:val="22"/>
        </w:rPr>
        <w:t xml:space="preserve">clinical governance systems and processes </w:t>
      </w:r>
      <w:r>
        <w:rPr>
          <w:rFonts w:ascii="Open Sans" w:hAnsi="Open Sans" w:cs="Open Sans"/>
          <w:color w:val="000000"/>
          <w:szCs w:val="22"/>
        </w:rPr>
        <w:t>were not demonstrated</w:t>
      </w:r>
      <w:r w:rsidR="00C94106">
        <w:rPr>
          <w:rFonts w:ascii="Open Sans" w:eastAsia="Times New Roman" w:hAnsi="Open Sans" w:cs="Open Sans"/>
          <w:color w:val="000000"/>
          <w:lang w:eastAsia="en-AU"/>
        </w:rPr>
        <w:t>.</w:t>
      </w:r>
      <w:r>
        <w:rPr>
          <w:rFonts w:ascii="Open Sans" w:hAnsi="Open Sans" w:cs="Open Sans"/>
          <w:color w:val="auto"/>
        </w:rPr>
        <w:t xml:space="preserve"> The Assessment Team recommended requirement 8(3)(</w:t>
      </w:r>
      <w:r w:rsidR="00E1453B">
        <w:rPr>
          <w:rFonts w:ascii="Open Sans" w:hAnsi="Open Sans" w:cs="Open Sans"/>
          <w:color w:val="auto"/>
        </w:rPr>
        <w:t>e</w:t>
      </w:r>
      <w:r>
        <w:rPr>
          <w:rFonts w:ascii="Open Sans" w:hAnsi="Open Sans" w:cs="Open Sans"/>
          <w:color w:val="auto"/>
        </w:rPr>
        <w:t xml:space="preserve">) not met and provided the following information gathered through </w:t>
      </w:r>
      <w:r w:rsidRPr="005710F3">
        <w:rPr>
          <w:rFonts w:ascii="Open Sans" w:hAnsi="Open Sans" w:cs="Open Sans"/>
          <w:color w:val="auto"/>
        </w:rPr>
        <w:t>interviews and document review.</w:t>
      </w:r>
      <w:r>
        <w:rPr>
          <w:rFonts w:ascii="Open Sans" w:hAnsi="Open Sans" w:cs="Open Sans"/>
          <w:color w:val="auto"/>
        </w:rPr>
        <w:t xml:space="preserve"> </w:t>
      </w:r>
    </w:p>
    <w:bookmarkEnd w:id="4"/>
    <w:p w14:paraId="7D43514E" w14:textId="53CA93CB" w:rsidR="002B067D" w:rsidRDefault="00A13433" w:rsidP="002B067D">
      <w:pPr>
        <w:pStyle w:val="NormalArial"/>
        <w:rPr>
          <w:rFonts w:ascii="Open Sans" w:hAnsi="Open Sans" w:cs="Open Sans"/>
          <w:color w:val="auto"/>
        </w:rPr>
      </w:pPr>
      <w:r>
        <w:rPr>
          <w:rFonts w:ascii="Open Sans" w:hAnsi="Open Sans" w:cs="Open Sans"/>
          <w:color w:val="auto"/>
        </w:rPr>
        <w:t>Organisational</w:t>
      </w:r>
      <w:r w:rsidR="00C306E4" w:rsidRPr="00B959A8">
        <w:rPr>
          <w:rFonts w:ascii="Open Sans" w:hAnsi="Open Sans" w:cs="Open Sans"/>
          <w:color w:val="auto"/>
        </w:rPr>
        <w:t xml:space="preserve"> processes </w:t>
      </w:r>
      <w:r w:rsidR="00E1453B">
        <w:rPr>
          <w:rFonts w:ascii="Open Sans" w:hAnsi="Open Sans" w:cs="Open Sans"/>
          <w:color w:val="auto"/>
        </w:rPr>
        <w:t>do not</w:t>
      </w:r>
      <w:r w:rsidR="00C306E4" w:rsidRPr="00B959A8">
        <w:rPr>
          <w:rFonts w:ascii="Open Sans" w:hAnsi="Open Sans" w:cs="Open Sans"/>
          <w:color w:val="auto"/>
        </w:rPr>
        <w:t xml:space="preserve"> ensure restrictive practices are used as a last resort. </w:t>
      </w:r>
      <w:r w:rsidR="00141D30" w:rsidRPr="00B959A8">
        <w:rPr>
          <w:rFonts w:ascii="Open Sans" w:hAnsi="Open Sans" w:cs="Open Sans"/>
          <w:color w:val="auto"/>
        </w:rPr>
        <w:t xml:space="preserve">In </w:t>
      </w:r>
      <w:r w:rsidR="00E14EE0">
        <w:rPr>
          <w:rFonts w:ascii="Open Sans" w:hAnsi="Open Sans" w:cs="Open Sans"/>
          <w:color w:val="auto"/>
        </w:rPr>
        <w:t xml:space="preserve">relation to restrictive practices, I </w:t>
      </w:r>
      <w:r w:rsidR="00141D30" w:rsidRPr="00B959A8">
        <w:rPr>
          <w:rFonts w:ascii="Open Sans" w:hAnsi="Open Sans" w:cs="Open Sans"/>
          <w:color w:val="auto"/>
        </w:rPr>
        <w:t>have considered evidence highlighted in requirement 3(3)(a)</w:t>
      </w:r>
      <w:r w:rsidR="002A0CA9" w:rsidRPr="00B959A8">
        <w:rPr>
          <w:rFonts w:ascii="Open Sans" w:hAnsi="Open Sans" w:cs="Open Sans"/>
          <w:color w:val="auto"/>
        </w:rPr>
        <w:t xml:space="preserve">. </w:t>
      </w:r>
      <w:r w:rsidR="00097BA2">
        <w:rPr>
          <w:rFonts w:ascii="Open Sans" w:hAnsi="Open Sans" w:cs="Open Sans"/>
          <w:color w:val="auto"/>
        </w:rPr>
        <w:t xml:space="preserve">Specifically, </w:t>
      </w:r>
      <w:r w:rsidR="00CD2D3A">
        <w:rPr>
          <w:rFonts w:ascii="Open Sans" w:hAnsi="Open Sans" w:cs="Open Sans"/>
          <w:color w:val="auto"/>
        </w:rPr>
        <w:t>30</w:t>
      </w:r>
      <w:r w:rsidR="002A0CA9" w:rsidRPr="00B959A8">
        <w:rPr>
          <w:rFonts w:ascii="Open Sans" w:hAnsi="Open Sans" w:cs="Open Sans"/>
          <w:color w:val="auto"/>
        </w:rPr>
        <w:t xml:space="preserve"> consumers are subject to mechanical restraint through use of </w:t>
      </w:r>
      <w:r w:rsidR="003811ED" w:rsidRPr="00B959A8">
        <w:rPr>
          <w:rFonts w:ascii="Open Sans" w:hAnsi="Open Sans" w:cs="Open Sans"/>
          <w:color w:val="auto"/>
        </w:rPr>
        <w:t>bed rails</w:t>
      </w:r>
      <w:r w:rsidR="009B2CB0" w:rsidRPr="00B959A8">
        <w:rPr>
          <w:rFonts w:ascii="Open Sans" w:hAnsi="Open Sans" w:cs="Open Sans"/>
          <w:color w:val="auto"/>
        </w:rPr>
        <w:t>, with management</w:t>
      </w:r>
      <w:r w:rsidR="00F91668" w:rsidRPr="00B959A8">
        <w:rPr>
          <w:rFonts w:ascii="Open Sans" w:hAnsi="Open Sans" w:cs="Open Sans"/>
          <w:color w:val="auto"/>
        </w:rPr>
        <w:t xml:space="preserve"> and registered staff stating use was at representatives’ requests for safety</w:t>
      </w:r>
      <w:r w:rsidR="003811ED" w:rsidRPr="00B959A8">
        <w:rPr>
          <w:rFonts w:ascii="Open Sans" w:hAnsi="Open Sans" w:cs="Open Sans"/>
          <w:color w:val="auto"/>
        </w:rPr>
        <w:t>. Management could not identify any consumers where use of bed rails had been ceased</w:t>
      </w:r>
      <w:r w:rsidR="009B2CB0" w:rsidRPr="00B959A8">
        <w:rPr>
          <w:rFonts w:ascii="Open Sans" w:hAnsi="Open Sans" w:cs="Open Sans"/>
          <w:color w:val="auto"/>
        </w:rPr>
        <w:t xml:space="preserve"> and there is no</w:t>
      </w:r>
      <w:r w:rsidR="003811ED" w:rsidRPr="00B959A8">
        <w:rPr>
          <w:rFonts w:ascii="Open Sans" w:hAnsi="Open Sans" w:cs="Open Sans"/>
          <w:color w:val="auto"/>
        </w:rPr>
        <w:t xml:space="preserve"> strategy </w:t>
      </w:r>
      <w:r w:rsidR="003811ED" w:rsidRPr="00B959A8">
        <w:rPr>
          <w:rFonts w:ascii="Open Sans" w:hAnsi="Open Sans" w:cs="Open Sans"/>
          <w:color w:val="auto"/>
        </w:rPr>
        <w:lastRenderedPageBreak/>
        <w:t>to reduce the overall use of bed rails</w:t>
      </w:r>
      <w:r w:rsidR="009B2CB0" w:rsidRPr="00B959A8">
        <w:rPr>
          <w:rFonts w:ascii="Open Sans" w:hAnsi="Open Sans" w:cs="Open Sans"/>
          <w:color w:val="auto"/>
        </w:rPr>
        <w:t>.</w:t>
      </w:r>
      <w:r w:rsidR="003811ED" w:rsidRPr="00B959A8">
        <w:rPr>
          <w:rFonts w:ascii="Open Sans" w:hAnsi="Open Sans" w:cs="Open Sans"/>
          <w:color w:val="auto"/>
        </w:rPr>
        <w:t xml:space="preserve"> </w:t>
      </w:r>
      <w:r w:rsidR="00280536" w:rsidRPr="00B959A8">
        <w:rPr>
          <w:rFonts w:ascii="Open Sans" w:hAnsi="Open Sans" w:cs="Open Sans"/>
          <w:color w:val="auto"/>
        </w:rPr>
        <w:t>Twenty-seven consumers are considered to have a chemical restraint in place</w:t>
      </w:r>
      <w:r w:rsidR="00CD2D3A">
        <w:rPr>
          <w:rFonts w:ascii="Open Sans" w:hAnsi="Open Sans" w:cs="Open Sans"/>
          <w:color w:val="auto"/>
        </w:rPr>
        <w:t xml:space="preserve">, and while </w:t>
      </w:r>
      <w:r w:rsidR="00280536" w:rsidRPr="00B959A8">
        <w:rPr>
          <w:rFonts w:ascii="Open Sans" w:hAnsi="Open Sans" w:cs="Open Sans"/>
          <w:color w:val="auto"/>
        </w:rPr>
        <w:t xml:space="preserve">regularly reviewed, management could not name consumers where the medication had been ceased. </w:t>
      </w:r>
      <w:r w:rsidR="00280536" w:rsidRPr="00263467">
        <w:rPr>
          <w:rFonts w:ascii="Open Sans" w:hAnsi="Open Sans" w:cs="Open Sans"/>
          <w:color w:val="auto"/>
        </w:rPr>
        <w:t>Registered staff did not demonstrate a shared or correct understanding of chemical restraint, for example</w:t>
      </w:r>
      <w:r w:rsidR="002D24ED">
        <w:rPr>
          <w:rFonts w:ascii="Open Sans" w:hAnsi="Open Sans" w:cs="Open Sans"/>
          <w:color w:val="auto"/>
        </w:rPr>
        <w:t>,</w:t>
      </w:r>
      <w:r w:rsidR="00280536" w:rsidRPr="00263467">
        <w:rPr>
          <w:rFonts w:ascii="Open Sans" w:hAnsi="Open Sans" w:cs="Open Sans"/>
          <w:color w:val="auto"/>
        </w:rPr>
        <w:t xml:space="preserve"> </w:t>
      </w:r>
      <w:r w:rsidR="002D24ED">
        <w:rPr>
          <w:rFonts w:ascii="Open Sans" w:hAnsi="Open Sans" w:cs="Open Sans"/>
          <w:color w:val="auto"/>
        </w:rPr>
        <w:t>stating</w:t>
      </w:r>
      <w:r w:rsidR="00280536" w:rsidRPr="00263467">
        <w:rPr>
          <w:rFonts w:ascii="Open Sans" w:hAnsi="Open Sans" w:cs="Open Sans"/>
          <w:color w:val="auto"/>
        </w:rPr>
        <w:t xml:space="preserve"> only as required medications are considered to be a chemical restraint</w:t>
      </w:r>
      <w:r w:rsidR="00327F83">
        <w:rPr>
          <w:rFonts w:ascii="Open Sans" w:hAnsi="Open Sans" w:cs="Open Sans"/>
          <w:color w:val="auto"/>
        </w:rPr>
        <w:t xml:space="preserve">, and </w:t>
      </w:r>
      <w:r w:rsidR="00280536" w:rsidRPr="00263467">
        <w:rPr>
          <w:rFonts w:ascii="Open Sans" w:hAnsi="Open Sans" w:cs="Open Sans"/>
          <w:color w:val="auto"/>
        </w:rPr>
        <w:t>if the medication is used for behavioural and psychological symptoms of dementia it is not a chemical restraint.</w:t>
      </w:r>
      <w:r w:rsidR="002A1657">
        <w:rPr>
          <w:rFonts w:ascii="Open Sans" w:hAnsi="Open Sans" w:cs="Open Sans"/>
          <w:color w:val="auto"/>
        </w:rPr>
        <w:t xml:space="preserve"> </w:t>
      </w:r>
      <w:r w:rsidR="002B067D" w:rsidRPr="00B959A8">
        <w:rPr>
          <w:rFonts w:ascii="Open Sans" w:hAnsi="Open Sans" w:cs="Open Sans"/>
          <w:color w:val="auto"/>
        </w:rPr>
        <w:t>Management advised deficiencies in relation to behaviour support and restrictive practices ha</w:t>
      </w:r>
      <w:r w:rsidR="00825AD1">
        <w:rPr>
          <w:rFonts w:ascii="Open Sans" w:hAnsi="Open Sans" w:cs="Open Sans"/>
          <w:color w:val="auto"/>
        </w:rPr>
        <w:t>ve</w:t>
      </w:r>
      <w:r w:rsidR="002B067D" w:rsidRPr="00B959A8">
        <w:rPr>
          <w:rFonts w:ascii="Open Sans" w:hAnsi="Open Sans" w:cs="Open Sans"/>
          <w:color w:val="auto"/>
        </w:rPr>
        <w:t xml:space="preserve"> been identified across the organisation and measures to address this have been developed as an organisational initiative. </w:t>
      </w:r>
    </w:p>
    <w:p w14:paraId="154DDDCF" w14:textId="573E0726" w:rsidR="0022251D" w:rsidRDefault="00A13433" w:rsidP="002B067D">
      <w:pPr>
        <w:pStyle w:val="NormalArial"/>
        <w:rPr>
          <w:rFonts w:ascii="Open Sans" w:hAnsi="Open Sans" w:cs="Open Sans"/>
          <w:color w:val="auto"/>
        </w:rPr>
      </w:pPr>
      <w:r>
        <w:rPr>
          <w:rFonts w:ascii="Open Sans" w:hAnsi="Open Sans" w:cs="Open Sans"/>
          <w:color w:val="auto"/>
        </w:rPr>
        <w:t>In their response, the provider</w:t>
      </w:r>
      <w:r w:rsidR="004827D4">
        <w:rPr>
          <w:rFonts w:ascii="Open Sans" w:hAnsi="Open Sans" w:cs="Open Sans"/>
          <w:color w:val="auto"/>
        </w:rPr>
        <w:t xml:space="preserve"> indicates the organisation is actively reviewing organisational governance systems towards appropriate oversight and management of risk. </w:t>
      </w:r>
      <w:r w:rsidR="001C114F">
        <w:rPr>
          <w:rFonts w:ascii="Open Sans" w:hAnsi="Open Sans" w:cs="Open Sans"/>
          <w:color w:val="auto"/>
        </w:rPr>
        <w:t xml:space="preserve">Additionally, effective and safe systems, integrated into the operational rhythm of the service have been implemented to utilise effective and safe practices associated with behaviour support and management of restrictive practices. </w:t>
      </w:r>
    </w:p>
    <w:p w14:paraId="2989C391" w14:textId="77777777" w:rsidR="003F3B7E" w:rsidRDefault="00ED3366" w:rsidP="00B90186">
      <w:pPr>
        <w:pStyle w:val="NormalArial"/>
        <w:rPr>
          <w:rFonts w:ascii="Open Sans" w:hAnsi="Open Sans" w:cs="Open Sans"/>
        </w:rPr>
      </w:pPr>
      <w:r w:rsidRPr="000A2071">
        <w:rPr>
          <w:rFonts w:ascii="Open Sans" w:hAnsi="Open Sans" w:cs="Open Sans"/>
        </w:rPr>
        <w:t xml:space="preserve">I acknowledge the provider’s response. </w:t>
      </w:r>
      <w:r w:rsidRPr="008340C4">
        <w:rPr>
          <w:rFonts w:ascii="Open Sans" w:hAnsi="Open Sans" w:cs="Open Sans"/>
        </w:rPr>
        <w:t>However, I find the clinical governance framework</w:t>
      </w:r>
      <w:r w:rsidRPr="000A2071">
        <w:rPr>
          <w:rFonts w:ascii="Open Sans" w:hAnsi="Open Sans" w:cs="Open Sans"/>
        </w:rPr>
        <w:t xml:space="preserve"> is not effective, </w:t>
      </w:r>
      <w:r>
        <w:rPr>
          <w:rFonts w:ascii="Open Sans" w:hAnsi="Open Sans" w:cs="Open Sans"/>
        </w:rPr>
        <w:t>specifically</w:t>
      </w:r>
      <w:r w:rsidRPr="000A2071">
        <w:rPr>
          <w:rFonts w:ascii="Open Sans" w:hAnsi="Open Sans" w:cs="Open Sans"/>
        </w:rPr>
        <w:t xml:space="preserve"> in relation to </w:t>
      </w:r>
      <w:r w:rsidRPr="008340C4">
        <w:rPr>
          <w:rFonts w:ascii="Open Sans" w:hAnsi="Open Sans" w:cs="Open Sans"/>
        </w:rPr>
        <w:t>minimising use of restraint.</w:t>
      </w:r>
      <w:r w:rsidR="00047046">
        <w:rPr>
          <w:rFonts w:ascii="Open Sans" w:hAnsi="Open Sans" w:cs="Open Sans"/>
        </w:rPr>
        <w:t xml:space="preserve"> In coming to my finding, I have placed weight on evidence presented in the Assessment Team’s report. </w:t>
      </w:r>
    </w:p>
    <w:p w14:paraId="2E95F795" w14:textId="396F8907" w:rsidR="00672C8F" w:rsidRPr="00225D8F" w:rsidRDefault="00B90186" w:rsidP="00AD4CB8">
      <w:pPr>
        <w:pStyle w:val="NormalArial"/>
        <w:rPr>
          <w:rFonts w:ascii="Open Sans" w:hAnsi="Open Sans" w:cs="Open Sans"/>
          <w:color w:val="auto"/>
        </w:rPr>
      </w:pPr>
      <w:r w:rsidRPr="007C02BC">
        <w:rPr>
          <w:rFonts w:ascii="Open Sans" w:hAnsi="Open Sans" w:cs="Open Sans"/>
          <w:color w:val="auto"/>
        </w:rPr>
        <w:t xml:space="preserve">The PCI includes an improvement action, identified 31 March 2025, to minimise restraint across all </w:t>
      </w:r>
      <w:r w:rsidR="00551375">
        <w:rPr>
          <w:rFonts w:ascii="Open Sans" w:hAnsi="Open Sans" w:cs="Open Sans"/>
          <w:color w:val="auto"/>
        </w:rPr>
        <w:t xml:space="preserve">of the organisation’s </w:t>
      </w:r>
      <w:r w:rsidRPr="007C02BC">
        <w:rPr>
          <w:rFonts w:ascii="Open Sans" w:hAnsi="Open Sans" w:cs="Open Sans"/>
          <w:color w:val="auto"/>
        </w:rPr>
        <w:t>services. All tasks related to the improvement action are marked as complete with dates ranging from 30 May 2025 to 17 July 2025. Actions taken include, but are not limited to, staff training</w:t>
      </w:r>
      <w:r w:rsidR="00D175E7">
        <w:rPr>
          <w:rFonts w:ascii="Open Sans" w:hAnsi="Open Sans" w:cs="Open Sans"/>
          <w:color w:val="auto"/>
        </w:rPr>
        <w:t>,</w:t>
      </w:r>
      <w:r w:rsidRPr="007C02BC">
        <w:rPr>
          <w:rFonts w:ascii="Open Sans" w:hAnsi="Open Sans" w:cs="Open Sans"/>
          <w:color w:val="auto"/>
        </w:rPr>
        <w:t xml:space="preserve"> removal of </w:t>
      </w:r>
      <w:r w:rsidRPr="00225D8F">
        <w:rPr>
          <w:rFonts w:ascii="Open Sans" w:hAnsi="Open Sans" w:cs="Open Sans"/>
          <w:color w:val="auto"/>
        </w:rPr>
        <w:t xml:space="preserve">environmental restraints; and reviewing consumers subject to restrictive practice and considering reduction or removal of restraint where appropriate. </w:t>
      </w:r>
      <w:r w:rsidR="00E029A3" w:rsidRPr="00225D8F">
        <w:rPr>
          <w:rFonts w:ascii="Open Sans" w:hAnsi="Open Sans" w:cs="Open Sans"/>
          <w:color w:val="auto"/>
        </w:rPr>
        <w:t xml:space="preserve">I find these actions have not been </w:t>
      </w:r>
      <w:r w:rsidR="00F22957">
        <w:rPr>
          <w:rFonts w:ascii="Open Sans" w:hAnsi="Open Sans" w:cs="Open Sans"/>
          <w:color w:val="auto"/>
        </w:rPr>
        <w:t xml:space="preserve">effectively implemented </w:t>
      </w:r>
      <w:r w:rsidR="00A13433">
        <w:rPr>
          <w:rFonts w:ascii="Open Sans" w:hAnsi="Open Sans" w:cs="Open Sans"/>
          <w:color w:val="auto"/>
        </w:rPr>
        <w:t xml:space="preserve">nor have they resulted in minimising the use of </w:t>
      </w:r>
      <w:r w:rsidR="00E029A3" w:rsidRPr="00225D8F">
        <w:rPr>
          <w:rFonts w:ascii="Open Sans" w:hAnsi="Open Sans" w:cs="Open Sans"/>
          <w:color w:val="auto"/>
        </w:rPr>
        <w:t xml:space="preserve">restrictive practices. </w:t>
      </w:r>
      <w:r w:rsidR="00846B80" w:rsidRPr="00225D8F">
        <w:rPr>
          <w:rFonts w:ascii="Open Sans" w:hAnsi="Open Sans" w:cs="Open Sans"/>
          <w:color w:val="auto"/>
        </w:rPr>
        <w:t>This is evidenced by the fact that 30</w:t>
      </w:r>
      <w:r w:rsidR="00F73CB4" w:rsidRPr="00225D8F">
        <w:rPr>
          <w:rFonts w:ascii="Open Sans" w:hAnsi="Open Sans" w:cs="Open Sans"/>
          <w:color w:val="auto"/>
        </w:rPr>
        <w:t xml:space="preserve"> consumers are subject to mechanical restraint through use of bedrails,</w:t>
      </w:r>
      <w:r w:rsidR="00B77EEC" w:rsidRPr="00225D8F">
        <w:rPr>
          <w:rFonts w:ascii="Open Sans" w:hAnsi="Open Sans" w:cs="Open Sans"/>
          <w:color w:val="auto"/>
        </w:rPr>
        <w:t xml:space="preserve"> and 27 consumers are subject to </w:t>
      </w:r>
      <w:r w:rsidR="009D7D83" w:rsidRPr="00225D8F">
        <w:rPr>
          <w:rFonts w:ascii="Open Sans" w:hAnsi="Open Sans" w:cs="Open Sans"/>
          <w:color w:val="auto"/>
        </w:rPr>
        <w:t>chemical restraint,</w:t>
      </w:r>
      <w:r w:rsidR="00F73CB4" w:rsidRPr="00225D8F">
        <w:rPr>
          <w:rFonts w:ascii="Open Sans" w:hAnsi="Open Sans" w:cs="Open Sans"/>
          <w:color w:val="auto"/>
        </w:rPr>
        <w:t xml:space="preserve"> with </w:t>
      </w:r>
      <w:r w:rsidR="002050B5" w:rsidRPr="00225D8F">
        <w:rPr>
          <w:rFonts w:ascii="Open Sans" w:hAnsi="Open Sans" w:cs="Open Sans"/>
          <w:color w:val="auto"/>
        </w:rPr>
        <w:t xml:space="preserve">management unable to </w:t>
      </w:r>
      <w:r w:rsidR="00D175E7" w:rsidRPr="00225D8F">
        <w:rPr>
          <w:rFonts w:ascii="Open Sans" w:hAnsi="Open Sans" w:cs="Open Sans"/>
          <w:color w:val="auto"/>
        </w:rPr>
        <w:t>identif</w:t>
      </w:r>
      <w:r w:rsidR="00D175E7">
        <w:rPr>
          <w:rFonts w:ascii="Open Sans" w:hAnsi="Open Sans" w:cs="Open Sans"/>
          <w:color w:val="auto"/>
        </w:rPr>
        <w:t xml:space="preserve">y </w:t>
      </w:r>
      <w:r w:rsidR="002A4D68" w:rsidRPr="00225D8F">
        <w:rPr>
          <w:rFonts w:ascii="Open Sans" w:hAnsi="Open Sans" w:cs="Open Sans"/>
          <w:color w:val="auto"/>
        </w:rPr>
        <w:t xml:space="preserve">any consumers where </w:t>
      </w:r>
      <w:r w:rsidR="009D7D83" w:rsidRPr="00225D8F">
        <w:rPr>
          <w:rFonts w:ascii="Open Sans" w:hAnsi="Open Sans" w:cs="Open Sans"/>
          <w:color w:val="auto"/>
        </w:rPr>
        <w:t>minimising</w:t>
      </w:r>
      <w:r w:rsidR="002A4D68" w:rsidRPr="00225D8F">
        <w:rPr>
          <w:rFonts w:ascii="Open Sans" w:hAnsi="Open Sans" w:cs="Open Sans"/>
          <w:color w:val="auto"/>
        </w:rPr>
        <w:t xml:space="preserve"> use </w:t>
      </w:r>
      <w:r w:rsidR="00656269" w:rsidRPr="00225D8F">
        <w:rPr>
          <w:rFonts w:ascii="Open Sans" w:hAnsi="Open Sans" w:cs="Open Sans"/>
          <w:color w:val="auto"/>
        </w:rPr>
        <w:t>ha</w:t>
      </w:r>
      <w:r w:rsidR="00D64D7B">
        <w:rPr>
          <w:rFonts w:ascii="Open Sans" w:hAnsi="Open Sans" w:cs="Open Sans"/>
          <w:color w:val="auto"/>
        </w:rPr>
        <w:t>s</w:t>
      </w:r>
      <w:r w:rsidR="00656269" w:rsidRPr="00225D8F">
        <w:rPr>
          <w:rFonts w:ascii="Open Sans" w:hAnsi="Open Sans" w:cs="Open Sans"/>
          <w:color w:val="auto"/>
        </w:rPr>
        <w:t xml:space="preserve"> been considered. </w:t>
      </w:r>
      <w:r w:rsidR="00672C8F" w:rsidRPr="00225D8F">
        <w:rPr>
          <w:rFonts w:ascii="Open Sans" w:hAnsi="Open Sans" w:cs="Open Sans"/>
          <w:color w:val="auto"/>
        </w:rPr>
        <w:t>Additionally, w</w:t>
      </w:r>
      <w:r w:rsidR="0083268E" w:rsidRPr="00225D8F">
        <w:rPr>
          <w:rFonts w:ascii="Open Sans" w:hAnsi="Open Sans" w:cs="Open Sans"/>
          <w:color w:val="auto"/>
        </w:rPr>
        <w:t xml:space="preserve">hile there are processes to </w:t>
      </w:r>
      <w:r w:rsidR="00BB2BEA" w:rsidRPr="00225D8F">
        <w:rPr>
          <w:rFonts w:ascii="Open Sans" w:hAnsi="Open Sans" w:cs="Open Sans"/>
          <w:color w:val="auto"/>
        </w:rPr>
        <w:t xml:space="preserve">regularly </w:t>
      </w:r>
      <w:r w:rsidR="0083268E" w:rsidRPr="00225D8F">
        <w:rPr>
          <w:rFonts w:ascii="Open Sans" w:hAnsi="Open Sans" w:cs="Open Sans"/>
          <w:color w:val="auto"/>
        </w:rPr>
        <w:t xml:space="preserve">review </w:t>
      </w:r>
      <w:r w:rsidR="00BB2BEA" w:rsidRPr="00225D8F">
        <w:rPr>
          <w:rFonts w:ascii="Open Sans" w:hAnsi="Open Sans" w:cs="Open Sans"/>
          <w:color w:val="auto"/>
        </w:rPr>
        <w:t>chemical restraint</w:t>
      </w:r>
      <w:r w:rsidR="0083268E" w:rsidRPr="00225D8F">
        <w:rPr>
          <w:rFonts w:ascii="Open Sans" w:hAnsi="Open Sans" w:cs="Open Sans"/>
          <w:color w:val="auto"/>
        </w:rPr>
        <w:t xml:space="preserve">, </w:t>
      </w:r>
      <w:r w:rsidR="005D50B3" w:rsidRPr="00225D8F">
        <w:rPr>
          <w:rFonts w:ascii="Open Sans" w:hAnsi="Open Sans" w:cs="Open Sans"/>
          <w:color w:val="auto"/>
        </w:rPr>
        <w:t>this has</w:t>
      </w:r>
      <w:r w:rsidR="00BB2BEA" w:rsidRPr="00225D8F">
        <w:rPr>
          <w:rFonts w:ascii="Open Sans" w:hAnsi="Open Sans" w:cs="Open Sans"/>
          <w:color w:val="auto"/>
        </w:rPr>
        <w:t xml:space="preserve"> not resulted in</w:t>
      </w:r>
      <w:r w:rsidR="00846B80" w:rsidRPr="00225D8F">
        <w:rPr>
          <w:rFonts w:ascii="Open Sans" w:hAnsi="Open Sans" w:cs="Open Sans"/>
          <w:color w:val="auto"/>
        </w:rPr>
        <w:t xml:space="preserve"> the identification of </w:t>
      </w:r>
      <w:r w:rsidR="0083268E" w:rsidRPr="00225D8F">
        <w:rPr>
          <w:rFonts w:ascii="Open Sans" w:hAnsi="Open Sans" w:cs="Open Sans"/>
          <w:color w:val="auto"/>
        </w:rPr>
        <w:t>opportunities to minimise use.</w:t>
      </w:r>
      <w:r w:rsidR="00CD72C0" w:rsidRPr="00225D8F">
        <w:rPr>
          <w:rFonts w:ascii="Open Sans" w:hAnsi="Open Sans" w:cs="Open Sans"/>
          <w:color w:val="auto"/>
        </w:rPr>
        <w:t xml:space="preserve"> The PCI includes an improvement action dated 10 July 2025 relating to bedrail review. Actions taken and planned to address the high use of bedrails include reviewing use of bedrails and undertaking discussions with the consumer or the substitute decision maker regarding minimising use of bedrails and addressing risks associated with restraint</w:t>
      </w:r>
      <w:r w:rsidR="001670D5" w:rsidRPr="00225D8F">
        <w:rPr>
          <w:rFonts w:ascii="Open Sans" w:hAnsi="Open Sans" w:cs="Open Sans"/>
          <w:color w:val="auto"/>
        </w:rPr>
        <w:t xml:space="preserve">. </w:t>
      </w:r>
      <w:r w:rsidR="00225D8F" w:rsidRPr="00225D8F">
        <w:rPr>
          <w:rFonts w:ascii="Open Sans" w:hAnsi="Open Sans" w:cs="Open Sans"/>
          <w:color w:val="auto"/>
        </w:rPr>
        <w:t xml:space="preserve">Due dates for these actions are noted as 18 July 2025 to 31 August 2025. </w:t>
      </w:r>
      <w:r w:rsidR="0083268E" w:rsidRPr="00225D8F">
        <w:rPr>
          <w:rFonts w:ascii="Open Sans" w:hAnsi="Open Sans" w:cs="Open Sans"/>
          <w:color w:val="auto"/>
        </w:rPr>
        <w:t xml:space="preserve"> </w:t>
      </w:r>
    </w:p>
    <w:p w14:paraId="1DCE55EC" w14:textId="57BF744C" w:rsidR="007C02BC" w:rsidRDefault="00D41AFF" w:rsidP="00AD4CB8">
      <w:pPr>
        <w:pStyle w:val="NormalArial"/>
        <w:rPr>
          <w:rFonts w:ascii="Open Sans" w:hAnsi="Open Sans" w:cs="Open Sans"/>
          <w:color w:val="auto"/>
        </w:rPr>
      </w:pPr>
      <w:r w:rsidRPr="007C02BC">
        <w:rPr>
          <w:rFonts w:ascii="Open Sans" w:hAnsi="Open Sans" w:cs="Open Sans"/>
          <w:color w:val="auto"/>
        </w:rPr>
        <w:t xml:space="preserve">As highlighted in my finding for requirement 2(3)(a), </w:t>
      </w:r>
      <w:r w:rsidR="00574696" w:rsidRPr="007C02BC">
        <w:rPr>
          <w:rFonts w:ascii="Open Sans" w:hAnsi="Open Sans" w:cs="Open Sans"/>
          <w:color w:val="auto"/>
        </w:rPr>
        <w:t xml:space="preserve">I have also considered </w:t>
      </w:r>
      <w:r w:rsidR="006C5E85" w:rsidRPr="007C02BC">
        <w:rPr>
          <w:rFonts w:ascii="Open Sans" w:hAnsi="Open Sans" w:cs="Open Sans"/>
          <w:color w:val="auto"/>
        </w:rPr>
        <w:t xml:space="preserve">assessment and planning, specifically for use of and consent for restrictive </w:t>
      </w:r>
      <w:r w:rsidR="006C5E85" w:rsidRPr="007C02BC">
        <w:rPr>
          <w:rFonts w:ascii="Open Sans" w:hAnsi="Open Sans" w:cs="Open Sans"/>
          <w:color w:val="auto"/>
        </w:rPr>
        <w:lastRenderedPageBreak/>
        <w:t>practices has not been undertaken in line with legislative requirements.</w:t>
      </w:r>
      <w:r w:rsidRPr="007C02BC">
        <w:rPr>
          <w:rFonts w:ascii="Open Sans" w:hAnsi="Open Sans" w:cs="Open Sans"/>
          <w:color w:val="auto"/>
        </w:rPr>
        <w:t xml:space="preserve"> </w:t>
      </w:r>
      <w:r w:rsidR="00144C34" w:rsidRPr="007C02BC">
        <w:rPr>
          <w:rFonts w:ascii="Open Sans" w:hAnsi="Open Sans" w:cs="Open Sans"/>
          <w:color w:val="auto"/>
        </w:rPr>
        <w:t xml:space="preserve">Furthermore, </w:t>
      </w:r>
      <w:r w:rsidR="00D600A6" w:rsidRPr="007C02BC">
        <w:rPr>
          <w:rFonts w:ascii="Open Sans" w:hAnsi="Open Sans" w:cs="Open Sans"/>
          <w:color w:val="auto"/>
        </w:rPr>
        <w:t xml:space="preserve">registered staff </w:t>
      </w:r>
      <w:r w:rsidR="00B85B4D" w:rsidRPr="007C02BC">
        <w:rPr>
          <w:rFonts w:ascii="Open Sans" w:hAnsi="Open Sans" w:cs="Open Sans"/>
          <w:color w:val="auto"/>
        </w:rPr>
        <w:t xml:space="preserve">did not have a good understanding of </w:t>
      </w:r>
      <w:r w:rsidR="00BE0747" w:rsidRPr="007C02BC">
        <w:rPr>
          <w:rFonts w:ascii="Open Sans" w:hAnsi="Open Sans" w:cs="Open Sans"/>
          <w:color w:val="auto"/>
        </w:rPr>
        <w:t>chemical restrictive practices</w:t>
      </w:r>
      <w:r w:rsidR="005D50B3">
        <w:rPr>
          <w:rFonts w:ascii="Open Sans" w:hAnsi="Open Sans" w:cs="Open Sans"/>
          <w:color w:val="auto"/>
        </w:rPr>
        <w:t xml:space="preserve"> and have </w:t>
      </w:r>
      <w:r w:rsidR="00662144" w:rsidRPr="007C02BC">
        <w:rPr>
          <w:rFonts w:ascii="Open Sans" w:hAnsi="Open Sans" w:cs="Open Sans"/>
          <w:color w:val="auto"/>
        </w:rPr>
        <w:t>recently</w:t>
      </w:r>
      <w:r w:rsidR="00BE0747" w:rsidRPr="007C02BC">
        <w:rPr>
          <w:rFonts w:ascii="Open Sans" w:hAnsi="Open Sans" w:cs="Open Sans"/>
          <w:color w:val="auto"/>
        </w:rPr>
        <w:t xml:space="preserve"> received </w:t>
      </w:r>
      <w:r w:rsidR="00662144" w:rsidRPr="007C02BC">
        <w:rPr>
          <w:rFonts w:ascii="Open Sans" w:hAnsi="Open Sans" w:cs="Open Sans"/>
          <w:color w:val="auto"/>
        </w:rPr>
        <w:t xml:space="preserve">training </w:t>
      </w:r>
      <w:r w:rsidR="00662144">
        <w:rPr>
          <w:rFonts w:ascii="Open Sans" w:hAnsi="Open Sans" w:cs="Open Sans"/>
          <w:color w:val="auto"/>
        </w:rPr>
        <w:t>which included</w:t>
      </w:r>
      <w:r w:rsidR="00662144" w:rsidRPr="006603FC">
        <w:rPr>
          <w:rFonts w:ascii="Open Sans" w:hAnsi="Open Sans" w:cs="Open Sans"/>
          <w:color w:val="auto"/>
        </w:rPr>
        <w:t xml:space="preserve"> restrictive practices</w:t>
      </w:r>
      <w:r w:rsidR="00662144">
        <w:rPr>
          <w:rFonts w:ascii="Open Sans" w:hAnsi="Open Sans" w:cs="Open Sans"/>
          <w:color w:val="auto"/>
        </w:rPr>
        <w:t xml:space="preserve"> and </w:t>
      </w:r>
      <w:r w:rsidR="00662144" w:rsidRPr="006603FC">
        <w:rPr>
          <w:rFonts w:ascii="Open Sans" w:hAnsi="Open Sans" w:cs="Open Sans"/>
          <w:color w:val="auto"/>
        </w:rPr>
        <w:t>psychotropic medication management</w:t>
      </w:r>
      <w:r w:rsidR="00662144">
        <w:rPr>
          <w:rFonts w:ascii="Open Sans" w:hAnsi="Open Sans" w:cs="Open Sans"/>
          <w:color w:val="auto"/>
        </w:rPr>
        <w:t>. I would encourage the provider t</w:t>
      </w:r>
      <w:r w:rsidR="00227066">
        <w:rPr>
          <w:rFonts w:ascii="Open Sans" w:hAnsi="Open Sans" w:cs="Open Sans"/>
          <w:color w:val="auto"/>
        </w:rPr>
        <w:t xml:space="preserve">o monitor related staff practices to ensure medications considered chemical restraint are </w:t>
      </w:r>
      <w:r w:rsidR="007C02BC">
        <w:rPr>
          <w:rFonts w:ascii="Open Sans" w:hAnsi="Open Sans" w:cs="Open Sans"/>
          <w:color w:val="auto"/>
        </w:rPr>
        <w:t xml:space="preserve">managed in line with legislative requirements. </w:t>
      </w:r>
    </w:p>
    <w:p w14:paraId="72368EAA" w14:textId="70F90F56" w:rsidR="00AD4CB8" w:rsidRDefault="00AD4CB8" w:rsidP="00AD4CB8">
      <w:pPr>
        <w:pStyle w:val="NormalArial"/>
        <w:rPr>
          <w:rFonts w:ascii="Open Sans" w:hAnsi="Open Sans" w:cs="Open Sans"/>
          <w:color w:val="auto"/>
        </w:rPr>
      </w:pPr>
      <w:r>
        <w:rPr>
          <w:rFonts w:ascii="Open Sans" w:hAnsi="Open Sans" w:cs="Open Sans"/>
          <w:color w:val="auto"/>
        </w:rPr>
        <w:t xml:space="preserve">For the reasons detailed above, I find requirement 8(3)(e) non-compliant. </w:t>
      </w:r>
    </w:p>
    <w:sectPr w:rsidR="00AD4CB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2300" w14:textId="77777777" w:rsidR="00B05469" w:rsidRDefault="00B05469">
      <w:pPr>
        <w:spacing w:after="0"/>
      </w:pPr>
      <w:r>
        <w:separator/>
      </w:r>
    </w:p>
  </w:endnote>
  <w:endnote w:type="continuationSeparator" w:id="0">
    <w:p w14:paraId="67675595" w14:textId="77777777" w:rsidR="00B05469" w:rsidRDefault="00B0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60A0" w14:textId="77777777" w:rsidR="004A4D04" w:rsidRPr="00DF37F2" w:rsidRDefault="004A4D04"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Bethania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22BAF8B" w14:textId="77777777" w:rsidR="004A4D04" w:rsidRPr="00DF37F2" w:rsidRDefault="004A4D0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5499</w:t>
    </w:r>
    <w:bookmarkEnd w:id="5"/>
    <w:r w:rsidRPr="00DF37F2">
      <w:rPr>
        <w:rStyle w:val="FooterBold"/>
        <w:rFonts w:ascii="Arial" w:hAnsi="Arial"/>
        <w:b w:val="0"/>
      </w:rPr>
      <w:tab/>
      <w:t xml:space="preserve">OFFICIAL: Sensitive </w:t>
    </w:r>
  </w:p>
  <w:p w14:paraId="40FA4408" w14:textId="77777777" w:rsidR="004A4D04" w:rsidRPr="00DF37F2" w:rsidRDefault="004A4D0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8932" w14:textId="77777777" w:rsidR="004A4D04" w:rsidRDefault="004A4D0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A3B5" w14:textId="77777777" w:rsidR="00B05469" w:rsidRDefault="00B05469" w:rsidP="00D71F88">
      <w:pPr>
        <w:spacing w:after="0"/>
      </w:pPr>
      <w:r>
        <w:separator/>
      </w:r>
    </w:p>
  </w:footnote>
  <w:footnote w:type="continuationSeparator" w:id="0">
    <w:p w14:paraId="20B7D607" w14:textId="77777777" w:rsidR="00B05469" w:rsidRDefault="00B05469" w:rsidP="00D71F88">
      <w:pPr>
        <w:spacing w:after="0"/>
      </w:pPr>
      <w:r>
        <w:continuationSeparator/>
      </w:r>
    </w:p>
  </w:footnote>
  <w:footnote w:id="1">
    <w:p w14:paraId="0E73765C" w14:textId="084F5F4E" w:rsidR="004A4D04" w:rsidRDefault="004A4D0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2635D2">
        <w:rPr>
          <w:rFonts w:ascii="Arial" w:hAnsi="Arial"/>
          <w:color w:val="auto"/>
          <w:sz w:val="20"/>
          <w:szCs w:val="20"/>
        </w:rPr>
        <w:t xml:space="preserve">accordance with section </w:t>
      </w:r>
      <w:r w:rsidR="009F19A1">
        <w:rPr>
          <w:rFonts w:ascii="Arial" w:hAnsi="Arial"/>
          <w:color w:val="auto"/>
          <w:sz w:val="20"/>
          <w:szCs w:val="20"/>
        </w:rPr>
        <w:t>68</w:t>
      </w:r>
      <w:r w:rsidRPr="002635D2">
        <w:rPr>
          <w:rFonts w:ascii="Arial" w:hAnsi="Arial"/>
          <w:color w:val="auto"/>
          <w:sz w:val="20"/>
          <w:szCs w:val="20"/>
        </w:rPr>
        <w:t>A</w:t>
      </w:r>
      <w:r w:rsidRPr="002635D2">
        <w:rPr>
          <w:rFonts w:ascii="Arial" w:hAnsi="Arial"/>
          <w:b/>
          <w:color w:val="auto"/>
          <w:sz w:val="20"/>
          <w:szCs w:val="20"/>
        </w:rPr>
        <w:t xml:space="preserve"> </w:t>
      </w:r>
      <w:r w:rsidRPr="002635D2">
        <w:rPr>
          <w:rFonts w:ascii="Arial" w:hAnsi="Arial"/>
          <w:color w:val="auto"/>
          <w:sz w:val="20"/>
          <w:szCs w:val="20"/>
        </w:rPr>
        <w:t xml:space="preserve">of the Aged </w:t>
      </w:r>
      <w:r w:rsidRPr="00443CA4">
        <w:rPr>
          <w:rFonts w:ascii="Arial" w:hAnsi="Arial"/>
          <w:sz w:val="20"/>
          <w:szCs w:val="20"/>
        </w:rPr>
        <w:t>Care Quality and Safety Commission Rules 2018.</w:t>
      </w:r>
    </w:p>
    <w:p w14:paraId="7E9064DC" w14:textId="77777777" w:rsidR="004A4D04" w:rsidRDefault="004A4D0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217" w14:textId="77777777" w:rsidR="004A4D04" w:rsidRDefault="004A4D04">
    <w:pPr>
      <w:pStyle w:val="Header"/>
    </w:pPr>
    <w:r>
      <w:rPr>
        <w:noProof/>
        <w:color w:val="2B579A"/>
        <w:shd w:val="clear" w:color="auto" w:fill="E6E6E6"/>
        <w:lang w:val="en-US"/>
      </w:rPr>
      <w:drawing>
        <wp:anchor distT="0" distB="0" distL="114300" distR="114300" simplePos="0" relativeHeight="251658241" behindDoc="1" locked="0" layoutInCell="1" allowOverlap="1" wp14:anchorId="561BCE95" wp14:editId="03D10C7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3B77" w14:textId="77777777" w:rsidR="004A4D04" w:rsidRDefault="004A4D04">
    <w:pPr>
      <w:pStyle w:val="Header"/>
    </w:pPr>
    <w:r>
      <w:rPr>
        <w:noProof/>
      </w:rPr>
      <w:drawing>
        <wp:anchor distT="0" distB="0" distL="114300" distR="114300" simplePos="0" relativeHeight="251658240" behindDoc="0" locked="0" layoutInCell="1" allowOverlap="1" wp14:anchorId="05D6E428" wp14:editId="1FFB803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38E0"/>
    <w:multiLevelType w:val="hybridMultilevel"/>
    <w:tmpl w:val="4A96C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D890A42C">
      <w:start w:val="1"/>
      <w:numFmt w:val="lowerRoman"/>
      <w:lvlText w:val="(%1)"/>
      <w:lvlJc w:val="left"/>
      <w:pPr>
        <w:ind w:left="1080" w:hanging="720"/>
      </w:pPr>
      <w:rPr>
        <w:rFonts w:hint="default"/>
      </w:rPr>
    </w:lvl>
    <w:lvl w:ilvl="1" w:tplc="D602BD90" w:tentative="1">
      <w:start w:val="1"/>
      <w:numFmt w:val="lowerLetter"/>
      <w:lvlText w:val="%2."/>
      <w:lvlJc w:val="left"/>
      <w:pPr>
        <w:ind w:left="1440" w:hanging="360"/>
      </w:pPr>
    </w:lvl>
    <w:lvl w:ilvl="2" w:tplc="BF3CD39E" w:tentative="1">
      <w:start w:val="1"/>
      <w:numFmt w:val="lowerRoman"/>
      <w:lvlText w:val="%3."/>
      <w:lvlJc w:val="right"/>
      <w:pPr>
        <w:ind w:left="2160" w:hanging="180"/>
      </w:pPr>
    </w:lvl>
    <w:lvl w:ilvl="3" w:tplc="FAAE7D68" w:tentative="1">
      <w:start w:val="1"/>
      <w:numFmt w:val="decimal"/>
      <w:lvlText w:val="%4."/>
      <w:lvlJc w:val="left"/>
      <w:pPr>
        <w:ind w:left="2880" w:hanging="360"/>
      </w:pPr>
    </w:lvl>
    <w:lvl w:ilvl="4" w:tplc="6218D230" w:tentative="1">
      <w:start w:val="1"/>
      <w:numFmt w:val="lowerLetter"/>
      <w:lvlText w:val="%5."/>
      <w:lvlJc w:val="left"/>
      <w:pPr>
        <w:ind w:left="3600" w:hanging="360"/>
      </w:pPr>
    </w:lvl>
    <w:lvl w:ilvl="5" w:tplc="1D8611E8" w:tentative="1">
      <w:start w:val="1"/>
      <w:numFmt w:val="lowerRoman"/>
      <w:lvlText w:val="%6."/>
      <w:lvlJc w:val="right"/>
      <w:pPr>
        <w:ind w:left="4320" w:hanging="180"/>
      </w:pPr>
    </w:lvl>
    <w:lvl w:ilvl="6" w:tplc="61882636" w:tentative="1">
      <w:start w:val="1"/>
      <w:numFmt w:val="decimal"/>
      <w:lvlText w:val="%7."/>
      <w:lvlJc w:val="left"/>
      <w:pPr>
        <w:ind w:left="5040" w:hanging="360"/>
      </w:pPr>
    </w:lvl>
    <w:lvl w:ilvl="7" w:tplc="2A6E166C" w:tentative="1">
      <w:start w:val="1"/>
      <w:numFmt w:val="lowerLetter"/>
      <w:lvlText w:val="%8."/>
      <w:lvlJc w:val="left"/>
      <w:pPr>
        <w:ind w:left="5760" w:hanging="360"/>
      </w:pPr>
    </w:lvl>
    <w:lvl w:ilvl="8" w:tplc="8CD09426" w:tentative="1">
      <w:start w:val="1"/>
      <w:numFmt w:val="lowerRoman"/>
      <w:lvlText w:val="%9."/>
      <w:lvlJc w:val="right"/>
      <w:pPr>
        <w:ind w:left="6480" w:hanging="180"/>
      </w:pPr>
    </w:lvl>
  </w:abstractNum>
  <w:abstractNum w:abstractNumId="3" w15:restartNumberingAfterBreak="0">
    <w:nsid w:val="03626452"/>
    <w:multiLevelType w:val="hybridMultilevel"/>
    <w:tmpl w:val="4F38A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B57091"/>
    <w:multiLevelType w:val="hybridMultilevel"/>
    <w:tmpl w:val="9872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E3AC6"/>
    <w:multiLevelType w:val="hybridMultilevel"/>
    <w:tmpl w:val="59A452EE"/>
    <w:lvl w:ilvl="0" w:tplc="6940161E">
      <w:start w:val="1"/>
      <w:numFmt w:val="lowerRoman"/>
      <w:lvlText w:val="(%1)"/>
      <w:lvlJc w:val="left"/>
      <w:pPr>
        <w:ind w:left="1080" w:hanging="720"/>
      </w:pPr>
      <w:rPr>
        <w:rFonts w:hint="default"/>
      </w:rPr>
    </w:lvl>
    <w:lvl w:ilvl="1" w:tplc="D6AE6D3C" w:tentative="1">
      <w:start w:val="1"/>
      <w:numFmt w:val="lowerLetter"/>
      <w:lvlText w:val="%2."/>
      <w:lvlJc w:val="left"/>
      <w:pPr>
        <w:ind w:left="1440" w:hanging="360"/>
      </w:pPr>
    </w:lvl>
    <w:lvl w:ilvl="2" w:tplc="15BC2ADE" w:tentative="1">
      <w:start w:val="1"/>
      <w:numFmt w:val="lowerRoman"/>
      <w:lvlText w:val="%3."/>
      <w:lvlJc w:val="right"/>
      <w:pPr>
        <w:ind w:left="2160" w:hanging="180"/>
      </w:pPr>
    </w:lvl>
    <w:lvl w:ilvl="3" w:tplc="D182EE4C" w:tentative="1">
      <w:start w:val="1"/>
      <w:numFmt w:val="decimal"/>
      <w:lvlText w:val="%4."/>
      <w:lvlJc w:val="left"/>
      <w:pPr>
        <w:ind w:left="2880" w:hanging="360"/>
      </w:pPr>
    </w:lvl>
    <w:lvl w:ilvl="4" w:tplc="8A043A50" w:tentative="1">
      <w:start w:val="1"/>
      <w:numFmt w:val="lowerLetter"/>
      <w:lvlText w:val="%5."/>
      <w:lvlJc w:val="left"/>
      <w:pPr>
        <w:ind w:left="3600" w:hanging="360"/>
      </w:pPr>
    </w:lvl>
    <w:lvl w:ilvl="5" w:tplc="9364CBF4" w:tentative="1">
      <w:start w:val="1"/>
      <w:numFmt w:val="lowerRoman"/>
      <w:lvlText w:val="%6."/>
      <w:lvlJc w:val="right"/>
      <w:pPr>
        <w:ind w:left="4320" w:hanging="180"/>
      </w:pPr>
    </w:lvl>
    <w:lvl w:ilvl="6" w:tplc="08F033F6" w:tentative="1">
      <w:start w:val="1"/>
      <w:numFmt w:val="decimal"/>
      <w:lvlText w:val="%7."/>
      <w:lvlJc w:val="left"/>
      <w:pPr>
        <w:ind w:left="5040" w:hanging="360"/>
      </w:pPr>
    </w:lvl>
    <w:lvl w:ilvl="7" w:tplc="CCFA4CCA" w:tentative="1">
      <w:start w:val="1"/>
      <w:numFmt w:val="lowerLetter"/>
      <w:lvlText w:val="%8."/>
      <w:lvlJc w:val="left"/>
      <w:pPr>
        <w:ind w:left="5760" w:hanging="360"/>
      </w:pPr>
    </w:lvl>
    <w:lvl w:ilvl="8" w:tplc="74705840" w:tentative="1">
      <w:start w:val="1"/>
      <w:numFmt w:val="lowerRoman"/>
      <w:lvlText w:val="%9."/>
      <w:lvlJc w:val="right"/>
      <w:pPr>
        <w:ind w:left="6480" w:hanging="180"/>
      </w:pPr>
    </w:lvl>
  </w:abstractNum>
  <w:abstractNum w:abstractNumId="6" w15:restartNumberingAfterBreak="0">
    <w:nsid w:val="0DFF309C"/>
    <w:multiLevelType w:val="hybridMultilevel"/>
    <w:tmpl w:val="1256B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E603E"/>
    <w:multiLevelType w:val="hybridMultilevel"/>
    <w:tmpl w:val="C68EC94A"/>
    <w:lvl w:ilvl="0" w:tplc="F228826E">
      <w:start w:val="1"/>
      <w:numFmt w:val="lowerRoman"/>
      <w:lvlText w:val="(%1)"/>
      <w:lvlJc w:val="left"/>
      <w:pPr>
        <w:ind w:left="1080" w:hanging="720"/>
      </w:pPr>
      <w:rPr>
        <w:rFonts w:hint="default"/>
      </w:rPr>
    </w:lvl>
    <w:lvl w:ilvl="1" w:tplc="3B882048" w:tentative="1">
      <w:start w:val="1"/>
      <w:numFmt w:val="lowerLetter"/>
      <w:lvlText w:val="%2."/>
      <w:lvlJc w:val="left"/>
      <w:pPr>
        <w:ind w:left="1440" w:hanging="360"/>
      </w:pPr>
    </w:lvl>
    <w:lvl w:ilvl="2" w:tplc="D69E113A" w:tentative="1">
      <w:start w:val="1"/>
      <w:numFmt w:val="lowerRoman"/>
      <w:lvlText w:val="%3."/>
      <w:lvlJc w:val="right"/>
      <w:pPr>
        <w:ind w:left="2160" w:hanging="180"/>
      </w:pPr>
    </w:lvl>
    <w:lvl w:ilvl="3" w:tplc="573AAA16" w:tentative="1">
      <w:start w:val="1"/>
      <w:numFmt w:val="decimal"/>
      <w:lvlText w:val="%4."/>
      <w:lvlJc w:val="left"/>
      <w:pPr>
        <w:ind w:left="2880" w:hanging="360"/>
      </w:pPr>
    </w:lvl>
    <w:lvl w:ilvl="4" w:tplc="B6F0C1C0" w:tentative="1">
      <w:start w:val="1"/>
      <w:numFmt w:val="lowerLetter"/>
      <w:lvlText w:val="%5."/>
      <w:lvlJc w:val="left"/>
      <w:pPr>
        <w:ind w:left="3600" w:hanging="360"/>
      </w:pPr>
    </w:lvl>
    <w:lvl w:ilvl="5" w:tplc="910CFD78" w:tentative="1">
      <w:start w:val="1"/>
      <w:numFmt w:val="lowerRoman"/>
      <w:lvlText w:val="%6."/>
      <w:lvlJc w:val="right"/>
      <w:pPr>
        <w:ind w:left="4320" w:hanging="180"/>
      </w:pPr>
    </w:lvl>
    <w:lvl w:ilvl="6" w:tplc="ADFC3B14" w:tentative="1">
      <w:start w:val="1"/>
      <w:numFmt w:val="decimal"/>
      <w:lvlText w:val="%7."/>
      <w:lvlJc w:val="left"/>
      <w:pPr>
        <w:ind w:left="5040" w:hanging="360"/>
      </w:pPr>
    </w:lvl>
    <w:lvl w:ilvl="7" w:tplc="BD3C4A24" w:tentative="1">
      <w:start w:val="1"/>
      <w:numFmt w:val="lowerLetter"/>
      <w:lvlText w:val="%8."/>
      <w:lvlJc w:val="left"/>
      <w:pPr>
        <w:ind w:left="5760" w:hanging="360"/>
      </w:pPr>
    </w:lvl>
    <w:lvl w:ilvl="8" w:tplc="B1E66106" w:tentative="1">
      <w:start w:val="1"/>
      <w:numFmt w:val="lowerRoman"/>
      <w:lvlText w:val="%9."/>
      <w:lvlJc w:val="right"/>
      <w:pPr>
        <w:ind w:left="6480" w:hanging="180"/>
      </w:pPr>
    </w:lvl>
  </w:abstractNum>
  <w:abstractNum w:abstractNumId="8" w15:restartNumberingAfterBreak="0">
    <w:nsid w:val="172342AC"/>
    <w:multiLevelType w:val="hybridMultilevel"/>
    <w:tmpl w:val="12548ADC"/>
    <w:lvl w:ilvl="0" w:tplc="5BE83910">
      <w:start w:val="1"/>
      <w:numFmt w:val="bullet"/>
      <w:lvlText w:val=""/>
      <w:lvlJc w:val="left"/>
      <w:pPr>
        <w:ind w:left="720" w:hanging="360"/>
      </w:pPr>
      <w:rPr>
        <w:rFonts w:ascii="Symbol" w:hAnsi="Symbol" w:hint="default"/>
        <w:color w:val="auto"/>
        <w:sz w:val="24"/>
        <w:szCs w:val="24"/>
      </w:rPr>
    </w:lvl>
    <w:lvl w:ilvl="1" w:tplc="AB10215E" w:tentative="1">
      <w:start w:val="1"/>
      <w:numFmt w:val="bullet"/>
      <w:lvlText w:val="o"/>
      <w:lvlJc w:val="left"/>
      <w:pPr>
        <w:ind w:left="1440" w:hanging="360"/>
      </w:pPr>
      <w:rPr>
        <w:rFonts w:ascii="Courier New" w:hAnsi="Courier New" w:cs="Courier New" w:hint="default"/>
      </w:rPr>
    </w:lvl>
    <w:lvl w:ilvl="2" w:tplc="56881798" w:tentative="1">
      <w:start w:val="1"/>
      <w:numFmt w:val="bullet"/>
      <w:lvlText w:val=""/>
      <w:lvlJc w:val="left"/>
      <w:pPr>
        <w:ind w:left="2160" w:hanging="360"/>
      </w:pPr>
      <w:rPr>
        <w:rFonts w:ascii="Wingdings" w:hAnsi="Wingdings" w:hint="default"/>
      </w:rPr>
    </w:lvl>
    <w:lvl w:ilvl="3" w:tplc="9664FED6" w:tentative="1">
      <w:start w:val="1"/>
      <w:numFmt w:val="bullet"/>
      <w:lvlText w:val=""/>
      <w:lvlJc w:val="left"/>
      <w:pPr>
        <w:ind w:left="2880" w:hanging="360"/>
      </w:pPr>
      <w:rPr>
        <w:rFonts w:ascii="Symbol" w:hAnsi="Symbol" w:hint="default"/>
      </w:rPr>
    </w:lvl>
    <w:lvl w:ilvl="4" w:tplc="FC66943A" w:tentative="1">
      <w:start w:val="1"/>
      <w:numFmt w:val="bullet"/>
      <w:lvlText w:val="o"/>
      <w:lvlJc w:val="left"/>
      <w:pPr>
        <w:ind w:left="3600" w:hanging="360"/>
      </w:pPr>
      <w:rPr>
        <w:rFonts w:ascii="Courier New" w:hAnsi="Courier New" w:cs="Courier New" w:hint="default"/>
      </w:rPr>
    </w:lvl>
    <w:lvl w:ilvl="5" w:tplc="12546652" w:tentative="1">
      <w:start w:val="1"/>
      <w:numFmt w:val="bullet"/>
      <w:lvlText w:val=""/>
      <w:lvlJc w:val="left"/>
      <w:pPr>
        <w:ind w:left="4320" w:hanging="360"/>
      </w:pPr>
      <w:rPr>
        <w:rFonts w:ascii="Wingdings" w:hAnsi="Wingdings" w:hint="default"/>
      </w:rPr>
    </w:lvl>
    <w:lvl w:ilvl="6" w:tplc="EB46A340" w:tentative="1">
      <w:start w:val="1"/>
      <w:numFmt w:val="bullet"/>
      <w:lvlText w:val=""/>
      <w:lvlJc w:val="left"/>
      <w:pPr>
        <w:ind w:left="5040" w:hanging="360"/>
      </w:pPr>
      <w:rPr>
        <w:rFonts w:ascii="Symbol" w:hAnsi="Symbol" w:hint="default"/>
      </w:rPr>
    </w:lvl>
    <w:lvl w:ilvl="7" w:tplc="66F4F5EA" w:tentative="1">
      <w:start w:val="1"/>
      <w:numFmt w:val="bullet"/>
      <w:lvlText w:val="o"/>
      <w:lvlJc w:val="left"/>
      <w:pPr>
        <w:ind w:left="5760" w:hanging="360"/>
      </w:pPr>
      <w:rPr>
        <w:rFonts w:ascii="Courier New" w:hAnsi="Courier New" w:cs="Courier New" w:hint="default"/>
      </w:rPr>
    </w:lvl>
    <w:lvl w:ilvl="8" w:tplc="C14AD81E"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0A327388">
      <w:start w:val="1"/>
      <w:numFmt w:val="lowerRoman"/>
      <w:lvlText w:val="(%1)"/>
      <w:lvlJc w:val="left"/>
      <w:pPr>
        <w:ind w:left="1080" w:hanging="720"/>
      </w:pPr>
      <w:rPr>
        <w:rFonts w:hint="default"/>
      </w:rPr>
    </w:lvl>
    <w:lvl w:ilvl="1" w:tplc="C82CF53A" w:tentative="1">
      <w:start w:val="1"/>
      <w:numFmt w:val="lowerLetter"/>
      <w:lvlText w:val="%2."/>
      <w:lvlJc w:val="left"/>
      <w:pPr>
        <w:ind w:left="1440" w:hanging="360"/>
      </w:pPr>
    </w:lvl>
    <w:lvl w:ilvl="2" w:tplc="4B36EF74" w:tentative="1">
      <w:start w:val="1"/>
      <w:numFmt w:val="lowerRoman"/>
      <w:lvlText w:val="%3."/>
      <w:lvlJc w:val="right"/>
      <w:pPr>
        <w:ind w:left="2160" w:hanging="180"/>
      </w:pPr>
    </w:lvl>
    <w:lvl w:ilvl="3" w:tplc="D0D07402" w:tentative="1">
      <w:start w:val="1"/>
      <w:numFmt w:val="decimal"/>
      <w:lvlText w:val="%4."/>
      <w:lvlJc w:val="left"/>
      <w:pPr>
        <w:ind w:left="2880" w:hanging="360"/>
      </w:pPr>
    </w:lvl>
    <w:lvl w:ilvl="4" w:tplc="FE5EE986" w:tentative="1">
      <w:start w:val="1"/>
      <w:numFmt w:val="lowerLetter"/>
      <w:lvlText w:val="%5."/>
      <w:lvlJc w:val="left"/>
      <w:pPr>
        <w:ind w:left="3600" w:hanging="360"/>
      </w:pPr>
    </w:lvl>
    <w:lvl w:ilvl="5" w:tplc="62A0FED8" w:tentative="1">
      <w:start w:val="1"/>
      <w:numFmt w:val="lowerRoman"/>
      <w:lvlText w:val="%6."/>
      <w:lvlJc w:val="right"/>
      <w:pPr>
        <w:ind w:left="4320" w:hanging="180"/>
      </w:pPr>
    </w:lvl>
    <w:lvl w:ilvl="6" w:tplc="5158286A" w:tentative="1">
      <w:start w:val="1"/>
      <w:numFmt w:val="decimal"/>
      <w:lvlText w:val="%7."/>
      <w:lvlJc w:val="left"/>
      <w:pPr>
        <w:ind w:left="5040" w:hanging="360"/>
      </w:pPr>
    </w:lvl>
    <w:lvl w:ilvl="7" w:tplc="DB0013D8" w:tentative="1">
      <w:start w:val="1"/>
      <w:numFmt w:val="lowerLetter"/>
      <w:lvlText w:val="%8."/>
      <w:lvlJc w:val="left"/>
      <w:pPr>
        <w:ind w:left="5760" w:hanging="360"/>
      </w:pPr>
    </w:lvl>
    <w:lvl w:ilvl="8" w:tplc="BEE26A24" w:tentative="1">
      <w:start w:val="1"/>
      <w:numFmt w:val="lowerRoman"/>
      <w:lvlText w:val="%9."/>
      <w:lvlJc w:val="right"/>
      <w:pPr>
        <w:ind w:left="6480" w:hanging="180"/>
      </w:pPr>
    </w:lvl>
  </w:abstractNum>
  <w:abstractNum w:abstractNumId="10" w15:restartNumberingAfterBreak="0">
    <w:nsid w:val="1B6F20A2"/>
    <w:multiLevelType w:val="hybridMultilevel"/>
    <w:tmpl w:val="39862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12EEA"/>
    <w:multiLevelType w:val="hybridMultilevel"/>
    <w:tmpl w:val="6A744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65746"/>
    <w:multiLevelType w:val="hybridMultilevel"/>
    <w:tmpl w:val="0C58F3FE"/>
    <w:lvl w:ilvl="0" w:tplc="59E06652">
      <w:start w:val="1"/>
      <w:numFmt w:val="lowerRoman"/>
      <w:lvlText w:val="(%1)"/>
      <w:lvlJc w:val="left"/>
      <w:pPr>
        <w:ind w:left="1080" w:hanging="720"/>
      </w:pPr>
      <w:rPr>
        <w:rFonts w:hint="default"/>
      </w:rPr>
    </w:lvl>
    <w:lvl w:ilvl="1" w:tplc="E5FC82BE" w:tentative="1">
      <w:start w:val="1"/>
      <w:numFmt w:val="lowerLetter"/>
      <w:lvlText w:val="%2."/>
      <w:lvlJc w:val="left"/>
      <w:pPr>
        <w:ind w:left="1440" w:hanging="360"/>
      </w:pPr>
    </w:lvl>
    <w:lvl w:ilvl="2" w:tplc="3A48529E" w:tentative="1">
      <w:start w:val="1"/>
      <w:numFmt w:val="lowerRoman"/>
      <w:lvlText w:val="%3."/>
      <w:lvlJc w:val="right"/>
      <w:pPr>
        <w:ind w:left="2160" w:hanging="180"/>
      </w:pPr>
    </w:lvl>
    <w:lvl w:ilvl="3" w:tplc="FC2E044A" w:tentative="1">
      <w:start w:val="1"/>
      <w:numFmt w:val="decimal"/>
      <w:lvlText w:val="%4."/>
      <w:lvlJc w:val="left"/>
      <w:pPr>
        <w:ind w:left="2880" w:hanging="360"/>
      </w:pPr>
    </w:lvl>
    <w:lvl w:ilvl="4" w:tplc="D504A3DE" w:tentative="1">
      <w:start w:val="1"/>
      <w:numFmt w:val="lowerLetter"/>
      <w:lvlText w:val="%5."/>
      <w:lvlJc w:val="left"/>
      <w:pPr>
        <w:ind w:left="3600" w:hanging="360"/>
      </w:pPr>
    </w:lvl>
    <w:lvl w:ilvl="5" w:tplc="29F2A696" w:tentative="1">
      <w:start w:val="1"/>
      <w:numFmt w:val="lowerRoman"/>
      <w:lvlText w:val="%6."/>
      <w:lvlJc w:val="right"/>
      <w:pPr>
        <w:ind w:left="4320" w:hanging="180"/>
      </w:pPr>
    </w:lvl>
    <w:lvl w:ilvl="6" w:tplc="46B28274" w:tentative="1">
      <w:start w:val="1"/>
      <w:numFmt w:val="decimal"/>
      <w:lvlText w:val="%7."/>
      <w:lvlJc w:val="left"/>
      <w:pPr>
        <w:ind w:left="5040" w:hanging="360"/>
      </w:pPr>
    </w:lvl>
    <w:lvl w:ilvl="7" w:tplc="3E5A8D3A" w:tentative="1">
      <w:start w:val="1"/>
      <w:numFmt w:val="lowerLetter"/>
      <w:lvlText w:val="%8."/>
      <w:lvlJc w:val="left"/>
      <w:pPr>
        <w:ind w:left="5760" w:hanging="360"/>
      </w:pPr>
    </w:lvl>
    <w:lvl w:ilvl="8" w:tplc="813E8B7C"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3A2E5FE4">
      <w:start w:val="1"/>
      <w:numFmt w:val="lowerRoman"/>
      <w:lvlText w:val="(%1)"/>
      <w:lvlJc w:val="left"/>
      <w:pPr>
        <w:ind w:left="1080" w:hanging="720"/>
      </w:pPr>
      <w:rPr>
        <w:rFonts w:hint="default"/>
      </w:rPr>
    </w:lvl>
    <w:lvl w:ilvl="1" w:tplc="1882AC46" w:tentative="1">
      <w:start w:val="1"/>
      <w:numFmt w:val="lowerLetter"/>
      <w:lvlText w:val="%2."/>
      <w:lvlJc w:val="left"/>
      <w:pPr>
        <w:ind w:left="1440" w:hanging="360"/>
      </w:pPr>
    </w:lvl>
    <w:lvl w:ilvl="2" w:tplc="6BA058A6" w:tentative="1">
      <w:start w:val="1"/>
      <w:numFmt w:val="lowerRoman"/>
      <w:lvlText w:val="%3."/>
      <w:lvlJc w:val="right"/>
      <w:pPr>
        <w:ind w:left="2160" w:hanging="180"/>
      </w:pPr>
    </w:lvl>
    <w:lvl w:ilvl="3" w:tplc="599AC6BA" w:tentative="1">
      <w:start w:val="1"/>
      <w:numFmt w:val="decimal"/>
      <w:lvlText w:val="%4."/>
      <w:lvlJc w:val="left"/>
      <w:pPr>
        <w:ind w:left="2880" w:hanging="360"/>
      </w:pPr>
    </w:lvl>
    <w:lvl w:ilvl="4" w:tplc="5B26223C" w:tentative="1">
      <w:start w:val="1"/>
      <w:numFmt w:val="lowerLetter"/>
      <w:lvlText w:val="%5."/>
      <w:lvlJc w:val="left"/>
      <w:pPr>
        <w:ind w:left="3600" w:hanging="360"/>
      </w:pPr>
    </w:lvl>
    <w:lvl w:ilvl="5" w:tplc="B798DC6A" w:tentative="1">
      <w:start w:val="1"/>
      <w:numFmt w:val="lowerRoman"/>
      <w:lvlText w:val="%6."/>
      <w:lvlJc w:val="right"/>
      <w:pPr>
        <w:ind w:left="4320" w:hanging="180"/>
      </w:pPr>
    </w:lvl>
    <w:lvl w:ilvl="6" w:tplc="6C1CD0F6" w:tentative="1">
      <w:start w:val="1"/>
      <w:numFmt w:val="decimal"/>
      <w:lvlText w:val="%7."/>
      <w:lvlJc w:val="left"/>
      <w:pPr>
        <w:ind w:left="5040" w:hanging="360"/>
      </w:pPr>
    </w:lvl>
    <w:lvl w:ilvl="7" w:tplc="EFEA9C84" w:tentative="1">
      <w:start w:val="1"/>
      <w:numFmt w:val="lowerLetter"/>
      <w:lvlText w:val="%8."/>
      <w:lvlJc w:val="left"/>
      <w:pPr>
        <w:ind w:left="5760" w:hanging="360"/>
      </w:pPr>
    </w:lvl>
    <w:lvl w:ilvl="8" w:tplc="F22AFF32" w:tentative="1">
      <w:start w:val="1"/>
      <w:numFmt w:val="lowerRoman"/>
      <w:lvlText w:val="%9."/>
      <w:lvlJc w:val="right"/>
      <w:pPr>
        <w:ind w:left="6480" w:hanging="180"/>
      </w:pPr>
    </w:lvl>
  </w:abstractNum>
  <w:abstractNum w:abstractNumId="14" w15:restartNumberingAfterBreak="0">
    <w:nsid w:val="30C52702"/>
    <w:multiLevelType w:val="hybridMultilevel"/>
    <w:tmpl w:val="65F62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1448E"/>
    <w:multiLevelType w:val="hybridMultilevel"/>
    <w:tmpl w:val="D0AE350E"/>
    <w:lvl w:ilvl="0" w:tplc="E672638A">
      <w:start w:val="1"/>
      <w:numFmt w:val="lowerRoman"/>
      <w:lvlText w:val="(%1)"/>
      <w:lvlJc w:val="left"/>
      <w:pPr>
        <w:ind w:left="1080" w:hanging="720"/>
      </w:pPr>
      <w:rPr>
        <w:rFonts w:hint="default"/>
      </w:rPr>
    </w:lvl>
    <w:lvl w:ilvl="1" w:tplc="29085DA4" w:tentative="1">
      <w:start w:val="1"/>
      <w:numFmt w:val="lowerLetter"/>
      <w:lvlText w:val="%2."/>
      <w:lvlJc w:val="left"/>
      <w:pPr>
        <w:ind w:left="1440" w:hanging="360"/>
      </w:pPr>
    </w:lvl>
    <w:lvl w:ilvl="2" w:tplc="D008508A" w:tentative="1">
      <w:start w:val="1"/>
      <w:numFmt w:val="lowerRoman"/>
      <w:lvlText w:val="%3."/>
      <w:lvlJc w:val="right"/>
      <w:pPr>
        <w:ind w:left="2160" w:hanging="180"/>
      </w:pPr>
    </w:lvl>
    <w:lvl w:ilvl="3" w:tplc="4CA6FB14" w:tentative="1">
      <w:start w:val="1"/>
      <w:numFmt w:val="decimal"/>
      <w:lvlText w:val="%4."/>
      <w:lvlJc w:val="left"/>
      <w:pPr>
        <w:ind w:left="2880" w:hanging="360"/>
      </w:pPr>
    </w:lvl>
    <w:lvl w:ilvl="4" w:tplc="CEECC0B4" w:tentative="1">
      <w:start w:val="1"/>
      <w:numFmt w:val="lowerLetter"/>
      <w:lvlText w:val="%5."/>
      <w:lvlJc w:val="left"/>
      <w:pPr>
        <w:ind w:left="3600" w:hanging="360"/>
      </w:pPr>
    </w:lvl>
    <w:lvl w:ilvl="5" w:tplc="40B86484" w:tentative="1">
      <w:start w:val="1"/>
      <w:numFmt w:val="lowerRoman"/>
      <w:lvlText w:val="%6."/>
      <w:lvlJc w:val="right"/>
      <w:pPr>
        <w:ind w:left="4320" w:hanging="180"/>
      </w:pPr>
    </w:lvl>
    <w:lvl w:ilvl="6" w:tplc="8BF01932" w:tentative="1">
      <w:start w:val="1"/>
      <w:numFmt w:val="decimal"/>
      <w:lvlText w:val="%7."/>
      <w:lvlJc w:val="left"/>
      <w:pPr>
        <w:ind w:left="5040" w:hanging="360"/>
      </w:pPr>
    </w:lvl>
    <w:lvl w:ilvl="7" w:tplc="E7125F14" w:tentative="1">
      <w:start w:val="1"/>
      <w:numFmt w:val="lowerLetter"/>
      <w:lvlText w:val="%8."/>
      <w:lvlJc w:val="left"/>
      <w:pPr>
        <w:ind w:left="5760" w:hanging="360"/>
      </w:pPr>
    </w:lvl>
    <w:lvl w:ilvl="8" w:tplc="EC729784" w:tentative="1">
      <w:start w:val="1"/>
      <w:numFmt w:val="lowerRoman"/>
      <w:lvlText w:val="%9."/>
      <w:lvlJc w:val="right"/>
      <w:pPr>
        <w:ind w:left="6480" w:hanging="180"/>
      </w:pPr>
    </w:lvl>
  </w:abstractNum>
  <w:abstractNum w:abstractNumId="16" w15:restartNumberingAfterBreak="0">
    <w:nsid w:val="3C956ABA"/>
    <w:multiLevelType w:val="hybridMultilevel"/>
    <w:tmpl w:val="485C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95616A"/>
    <w:multiLevelType w:val="hybridMultilevel"/>
    <w:tmpl w:val="790C5C02"/>
    <w:lvl w:ilvl="0" w:tplc="5E9E60D2">
      <w:start w:val="1"/>
      <w:numFmt w:val="lowerRoman"/>
      <w:lvlText w:val="(%1)"/>
      <w:lvlJc w:val="left"/>
      <w:pPr>
        <w:ind w:left="1080" w:hanging="720"/>
      </w:pPr>
      <w:rPr>
        <w:rFonts w:hint="default"/>
      </w:rPr>
    </w:lvl>
    <w:lvl w:ilvl="1" w:tplc="BFB05380" w:tentative="1">
      <w:start w:val="1"/>
      <w:numFmt w:val="lowerLetter"/>
      <w:lvlText w:val="%2."/>
      <w:lvlJc w:val="left"/>
      <w:pPr>
        <w:ind w:left="1440" w:hanging="360"/>
      </w:pPr>
    </w:lvl>
    <w:lvl w:ilvl="2" w:tplc="C8C6C850" w:tentative="1">
      <w:start w:val="1"/>
      <w:numFmt w:val="lowerRoman"/>
      <w:lvlText w:val="%3."/>
      <w:lvlJc w:val="right"/>
      <w:pPr>
        <w:ind w:left="2160" w:hanging="180"/>
      </w:pPr>
    </w:lvl>
    <w:lvl w:ilvl="3" w:tplc="5B287B2A" w:tentative="1">
      <w:start w:val="1"/>
      <w:numFmt w:val="decimal"/>
      <w:lvlText w:val="%4."/>
      <w:lvlJc w:val="left"/>
      <w:pPr>
        <w:ind w:left="2880" w:hanging="360"/>
      </w:pPr>
    </w:lvl>
    <w:lvl w:ilvl="4" w:tplc="873A24BA" w:tentative="1">
      <w:start w:val="1"/>
      <w:numFmt w:val="lowerLetter"/>
      <w:lvlText w:val="%5."/>
      <w:lvlJc w:val="left"/>
      <w:pPr>
        <w:ind w:left="3600" w:hanging="360"/>
      </w:pPr>
    </w:lvl>
    <w:lvl w:ilvl="5" w:tplc="5A48EA26" w:tentative="1">
      <w:start w:val="1"/>
      <w:numFmt w:val="lowerRoman"/>
      <w:lvlText w:val="%6."/>
      <w:lvlJc w:val="right"/>
      <w:pPr>
        <w:ind w:left="4320" w:hanging="180"/>
      </w:pPr>
    </w:lvl>
    <w:lvl w:ilvl="6" w:tplc="5A1C75D0" w:tentative="1">
      <w:start w:val="1"/>
      <w:numFmt w:val="decimal"/>
      <w:lvlText w:val="%7."/>
      <w:lvlJc w:val="left"/>
      <w:pPr>
        <w:ind w:left="5040" w:hanging="360"/>
      </w:pPr>
    </w:lvl>
    <w:lvl w:ilvl="7" w:tplc="20BE60B6" w:tentative="1">
      <w:start w:val="1"/>
      <w:numFmt w:val="lowerLetter"/>
      <w:lvlText w:val="%8."/>
      <w:lvlJc w:val="left"/>
      <w:pPr>
        <w:ind w:left="5760" w:hanging="360"/>
      </w:pPr>
    </w:lvl>
    <w:lvl w:ilvl="8" w:tplc="88FA460E" w:tentative="1">
      <w:start w:val="1"/>
      <w:numFmt w:val="lowerRoman"/>
      <w:lvlText w:val="%9."/>
      <w:lvlJc w:val="right"/>
      <w:pPr>
        <w:ind w:left="6480" w:hanging="180"/>
      </w:pPr>
    </w:lvl>
  </w:abstractNum>
  <w:abstractNum w:abstractNumId="18" w15:restartNumberingAfterBreak="0">
    <w:nsid w:val="5C04402C"/>
    <w:multiLevelType w:val="hybridMultilevel"/>
    <w:tmpl w:val="A8B0E35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B4078C"/>
    <w:multiLevelType w:val="hybridMultilevel"/>
    <w:tmpl w:val="6856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4C5705"/>
    <w:multiLevelType w:val="hybridMultilevel"/>
    <w:tmpl w:val="C7521458"/>
    <w:lvl w:ilvl="0" w:tplc="5CE089E0">
      <w:start w:val="1"/>
      <w:numFmt w:val="lowerRoman"/>
      <w:lvlText w:val="(%1)"/>
      <w:lvlJc w:val="left"/>
      <w:pPr>
        <w:ind w:left="1080" w:hanging="720"/>
      </w:pPr>
      <w:rPr>
        <w:rFonts w:hint="default"/>
      </w:rPr>
    </w:lvl>
    <w:lvl w:ilvl="1" w:tplc="C1CAF8DC" w:tentative="1">
      <w:start w:val="1"/>
      <w:numFmt w:val="lowerLetter"/>
      <w:lvlText w:val="%2."/>
      <w:lvlJc w:val="left"/>
      <w:pPr>
        <w:ind w:left="1440" w:hanging="360"/>
      </w:pPr>
    </w:lvl>
    <w:lvl w:ilvl="2" w:tplc="92F2EDD0" w:tentative="1">
      <w:start w:val="1"/>
      <w:numFmt w:val="lowerRoman"/>
      <w:lvlText w:val="%3."/>
      <w:lvlJc w:val="right"/>
      <w:pPr>
        <w:ind w:left="2160" w:hanging="180"/>
      </w:pPr>
    </w:lvl>
    <w:lvl w:ilvl="3" w:tplc="F41EC864" w:tentative="1">
      <w:start w:val="1"/>
      <w:numFmt w:val="decimal"/>
      <w:lvlText w:val="%4."/>
      <w:lvlJc w:val="left"/>
      <w:pPr>
        <w:ind w:left="2880" w:hanging="360"/>
      </w:pPr>
    </w:lvl>
    <w:lvl w:ilvl="4" w:tplc="468E0D6A" w:tentative="1">
      <w:start w:val="1"/>
      <w:numFmt w:val="lowerLetter"/>
      <w:lvlText w:val="%5."/>
      <w:lvlJc w:val="left"/>
      <w:pPr>
        <w:ind w:left="3600" w:hanging="360"/>
      </w:pPr>
    </w:lvl>
    <w:lvl w:ilvl="5" w:tplc="D7AA1606" w:tentative="1">
      <w:start w:val="1"/>
      <w:numFmt w:val="lowerRoman"/>
      <w:lvlText w:val="%6."/>
      <w:lvlJc w:val="right"/>
      <w:pPr>
        <w:ind w:left="4320" w:hanging="180"/>
      </w:pPr>
    </w:lvl>
    <w:lvl w:ilvl="6" w:tplc="68F6FB72" w:tentative="1">
      <w:start w:val="1"/>
      <w:numFmt w:val="decimal"/>
      <w:lvlText w:val="%7."/>
      <w:lvlJc w:val="left"/>
      <w:pPr>
        <w:ind w:left="5040" w:hanging="360"/>
      </w:pPr>
    </w:lvl>
    <w:lvl w:ilvl="7" w:tplc="0BDC7764" w:tentative="1">
      <w:start w:val="1"/>
      <w:numFmt w:val="lowerLetter"/>
      <w:lvlText w:val="%8."/>
      <w:lvlJc w:val="left"/>
      <w:pPr>
        <w:ind w:left="5760" w:hanging="360"/>
      </w:pPr>
    </w:lvl>
    <w:lvl w:ilvl="8" w:tplc="A8C065F6"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7895775">
    <w:abstractNumId w:val="21"/>
  </w:num>
  <w:num w:numId="2" w16cid:durableId="1562204989">
    <w:abstractNumId w:val="8"/>
  </w:num>
  <w:num w:numId="3" w16cid:durableId="1091125878">
    <w:abstractNumId w:val="5"/>
  </w:num>
  <w:num w:numId="4" w16cid:durableId="209920544">
    <w:abstractNumId w:val="13"/>
  </w:num>
  <w:num w:numId="5" w16cid:durableId="1286039112">
    <w:abstractNumId w:val="12"/>
  </w:num>
  <w:num w:numId="6" w16cid:durableId="565651331">
    <w:abstractNumId w:val="2"/>
  </w:num>
  <w:num w:numId="7" w16cid:durableId="1261260871">
    <w:abstractNumId w:val="17"/>
  </w:num>
  <w:num w:numId="8" w16cid:durableId="785075091">
    <w:abstractNumId w:val="9"/>
  </w:num>
  <w:num w:numId="9" w16cid:durableId="1690060813">
    <w:abstractNumId w:val="15"/>
  </w:num>
  <w:num w:numId="10" w16cid:durableId="446975686">
    <w:abstractNumId w:val="7"/>
  </w:num>
  <w:num w:numId="11" w16cid:durableId="737675204">
    <w:abstractNumId w:val="20"/>
  </w:num>
  <w:num w:numId="12" w16cid:durableId="1159423677">
    <w:abstractNumId w:val="0"/>
  </w:num>
  <w:num w:numId="13" w16cid:durableId="1114906503">
    <w:abstractNumId w:val="21"/>
  </w:num>
  <w:num w:numId="14" w16cid:durableId="758604096">
    <w:abstractNumId w:val="21"/>
  </w:num>
  <w:num w:numId="15" w16cid:durableId="1236278948">
    <w:abstractNumId w:val="21"/>
  </w:num>
  <w:num w:numId="16" w16cid:durableId="1851678762">
    <w:abstractNumId w:val="21"/>
  </w:num>
  <w:num w:numId="17" w16cid:durableId="1686899825">
    <w:abstractNumId w:val="21"/>
  </w:num>
  <w:num w:numId="18" w16cid:durableId="2068146094">
    <w:abstractNumId w:val="21"/>
  </w:num>
  <w:num w:numId="19" w16cid:durableId="1822235794">
    <w:abstractNumId w:val="21"/>
  </w:num>
  <w:num w:numId="20" w16cid:durableId="128867241">
    <w:abstractNumId w:val="11"/>
  </w:num>
  <w:num w:numId="21" w16cid:durableId="702097985">
    <w:abstractNumId w:val="16"/>
  </w:num>
  <w:num w:numId="22" w16cid:durableId="1801219505">
    <w:abstractNumId w:val="19"/>
  </w:num>
  <w:num w:numId="23" w16cid:durableId="1975910757">
    <w:abstractNumId w:val="10"/>
  </w:num>
  <w:num w:numId="24" w16cid:durableId="1869565057">
    <w:abstractNumId w:val="14"/>
  </w:num>
  <w:num w:numId="25" w16cid:durableId="598291718">
    <w:abstractNumId w:val="18"/>
  </w:num>
  <w:num w:numId="26" w16cid:durableId="418255829">
    <w:abstractNumId w:val="1"/>
  </w:num>
  <w:num w:numId="27" w16cid:durableId="972490195">
    <w:abstractNumId w:val="6"/>
  </w:num>
  <w:num w:numId="28" w16cid:durableId="633026092">
    <w:abstractNumId w:val="4"/>
  </w:num>
  <w:num w:numId="29" w16cid:durableId="1745370509">
    <w:abstractNumId w:val="3"/>
  </w:num>
  <w:num w:numId="30" w16cid:durableId="1982536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3D"/>
    <w:rsid w:val="00002029"/>
    <w:rsid w:val="00004F77"/>
    <w:rsid w:val="00006EA4"/>
    <w:rsid w:val="000071E2"/>
    <w:rsid w:val="000101D5"/>
    <w:rsid w:val="000104CC"/>
    <w:rsid w:val="0001062F"/>
    <w:rsid w:val="000108DA"/>
    <w:rsid w:val="00012CBD"/>
    <w:rsid w:val="00014886"/>
    <w:rsid w:val="000160C8"/>
    <w:rsid w:val="00020FF0"/>
    <w:rsid w:val="00024BDD"/>
    <w:rsid w:val="00024FDC"/>
    <w:rsid w:val="00026341"/>
    <w:rsid w:val="00027270"/>
    <w:rsid w:val="0003316B"/>
    <w:rsid w:val="0003371A"/>
    <w:rsid w:val="000348CA"/>
    <w:rsid w:val="000379BA"/>
    <w:rsid w:val="000409B8"/>
    <w:rsid w:val="00047046"/>
    <w:rsid w:val="000472BC"/>
    <w:rsid w:val="00050BD5"/>
    <w:rsid w:val="000532D8"/>
    <w:rsid w:val="00055E9D"/>
    <w:rsid w:val="000576D9"/>
    <w:rsid w:val="00060D9A"/>
    <w:rsid w:val="000648A3"/>
    <w:rsid w:val="000655C4"/>
    <w:rsid w:val="000675B0"/>
    <w:rsid w:val="0007200E"/>
    <w:rsid w:val="00074814"/>
    <w:rsid w:val="0007536B"/>
    <w:rsid w:val="00087364"/>
    <w:rsid w:val="00091950"/>
    <w:rsid w:val="00096205"/>
    <w:rsid w:val="00097BA2"/>
    <w:rsid w:val="000A4B7A"/>
    <w:rsid w:val="000A6D7E"/>
    <w:rsid w:val="000A702B"/>
    <w:rsid w:val="000B3034"/>
    <w:rsid w:val="000B4196"/>
    <w:rsid w:val="000B70A4"/>
    <w:rsid w:val="000C0017"/>
    <w:rsid w:val="000C2CFC"/>
    <w:rsid w:val="000C4B42"/>
    <w:rsid w:val="000D35C8"/>
    <w:rsid w:val="000D624D"/>
    <w:rsid w:val="000E3A68"/>
    <w:rsid w:val="000E6FAC"/>
    <w:rsid w:val="000E7F4B"/>
    <w:rsid w:val="000F49C7"/>
    <w:rsid w:val="000F53D2"/>
    <w:rsid w:val="000F7D9B"/>
    <w:rsid w:val="001012D4"/>
    <w:rsid w:val="00104B37"/>
    <w:rsid w:val="00107E4A"/>
    <w:rsid w:val="00111052"/>
    <w:rsid w:val="001132D3"/>
    <w:rsid w:val="00113426"/>
    <w:rsid w:val="00113ADE"/>
    <w:rsid w:val="0011610A"/>
    <w:rsid w:val="0011773F"/>
    <w:rsid w:val="00125F83"/>
    <w:rsid w:val="0013112E"/>
    <w:rsid w:val="00135204"/>
    <w:rsid w:val="0013756A"/>
    <w:rsid w:val="0013761D"/>
    <w:rsid w:val="001417E9"/>
    <w:rsid w:val="00141D30"/>
    <w:rsid w:val="00144C34"/>
    <w:rsid w:val="0014743B"/>
    <w:rsid w:val="0015223C"/>
    <w:rsid w:val="0015491B"/>
    <w:rsid w:val="00160E34"/>
    <w:rsid w:val="001617D2"/>
    <w:rsid w:val="00162DA0"/>
    <w:rsid w:val="00165B66"/>
    <w:rsid w:val="001670D5"/>
    <w:rsid w:val="0017119E"/>
    <w:rsid w:val="00174126"/>
    <w:rsid w:val="00174182"/>
    <w:rsid w:val="001763BA"/>
    <w:rsid w:val="001768D2"/>
    <w:rsid w:val="00176BE8"/>
    <w:rsid w:val="001820C9"/>
    <w:rsid w:val="00182F69"/>
    <w:rsid w:val="00190BE3"/>
    <w:rsid w:val="00194E53"/>
    <w:rsid w:val="00195D4F"/>
    <w:rsid w:val="001A110D"/>
    <w:rsid w:val="001B0957"/>
    <w:rsid w:val="001B23CA"/>
    <w:rsid w:val="001B7921"/>
    <w:rsid w:val="001C114F"/>
    <w:rsid w:val="001C54B3"/>
    <w:rsid w:val="001D169B"/>
    <w:rsid w:val="001E5F5C"/>
    <w:rsid w:val="001E66D7"/>
    <w:rsid w:val="001E66FA"/>
    <w:rsid w:val="001E7CC7"/>
    <w:rsid w:val="001F35A3"/>
    <w:rsid w:val="001F5227"/>
    <w:rsid w:val="00204BE6"/>
    <w:rsid w:val="002050B5"/>
    <w:rsid w:val="002063A7"/>
    <w:rsid w:val="00221410"/>
    <w:rsid w:val="0022251D"/>
    <w:rsid w:val="002248DF"/>
    <w:rsid w:val="00224F71"/>
    <w:rsid w:val="00225D8F"/>
    <w:rsid w:val="00227066"/>
    <w:rsid w:val="0023011F"/>
    <w:rsid w:val="00234887"/>
    <w:rsid w:val="00234EBD"/>
    <w:rsid w:val="00241A18"/>
    <w:rsid w:val="0024376F"/>
    <w:rsid w:val="00244168"/>
    <w:rsid w:val="00244FD4"/>
    <w:rsid w:val="00245CBB"/>
    <w:rsid w:val="00247342"/>
    <w:rsid w:val="00247D62"/>
    <w:rsid w:val="002528D5"/>
    <w:rsid w:val="00253DDF"/>
    <w:rsid w:val="00261ECC"/>
    <w:rsid w:val="00263467"/>
    <w:rsid w:val="002635D2"/>
    <w:rsid w:val="00266B64"/>
    <w:rsid w:val="0027668C"/>
    <w:rsid w:val="00280536"/>
    <w:rsid w:val="00291FB4"/>
    <w:rsid w:val="00293FD2"/>
    <w:rsid w:val="002A0CA9"/>
    <w:rsid w:val="002A1657"/>
    <w:rsid w:val="002A4D68"/>
    <w:rsid w:val="002A659F"/>
    <w:rsid w:val="002B067D"/>
    <w:rsid w:val="002B2D06"/>
    <w:rsid w:val="002B55F2"/>
    <w:rsid w:val="002B6EB3"/>
    <w:rsid w:val="002B7995"/>
    <w:rsid w:val="002C257C"/>
    <w:rsid w:val="002C2D0E"/>
    <w:rsid w:val="002C30D2"/>
    <w:rsid w:val="002C4448"/>
    <w:rsid w:val="002C537D"/>
    <w:rsid w:val="002C62FB"/>
    <w:rsid w:val="002C7CA2"/>
    <w:rsid w:val="002D058D"/>
    <w:rsid w:val="002D1067"/>
    <w:rsid w:val="002D24ED"/>
    <w:rsid w:val="002D4AB0"/>
    <w:rsid w:val="002E2ACA"/>
    <w:rsid w:val="00301CE8"/>
    <w:rsid w:val="00301D34"/>
    <w:rsid w:val="00301EFA"/>
    <w:rsid w:val="00304326"/>
    <w:rsid w:val="00305D0B"/>
    <w:rsid w:val="003064F9"/>
    <w:rsid w:val="003111F1"/>
    <w:rsid w:val="00313FBB"/>
    <w:rsid w:val="00321646"/>
    <w:rsid w:val="00324E2F"/>
    <w:rsid w:val="00326D5F"/>
    <w:rsid w:val="00327F83"/>
    <w:rsid w:val="00330951"/>
    <w:rsid w:val="00334A2A"/>
    <w:rsid w:val="003355B4"/>
    <w:rsid w:val="003366BF"/>
    <w:rsid w:val="00341E0E"/>
    <w:rsid w:val="0034210F"/>
    <w:rsid w:val="00346414"/>
    <w:rsid w:val="0034770F"/>
    <w:rsid w:val="00362729"/>
    <w:rsid w:val="0036368D"/>
    <w:rsid w:val="00363D5E"/>
    <w:rsid w:val="00370F1B"/>
    <w:rsid w:val="0037127C"/>
    <w:rsid w:val="00372E0F"/>
    <w:rsid w:val="003736E0"/>
    <w:rsid w:val="003738DD"/>
    <w:rsid w:val="0037441E"/>
    <w:rsid w:val="00377BEA"/>
    <w:rsid w:val="00377EC8"/>
    <w:rsid w:val="003811ED"/>
    <w:rsid w:val="003825EF"/>
    <w:rsid w:val="0038556B"/>
    <w:rsid w:val="00385627"/>
    <w:rsid w:val="0039293F"/>
    <w:rsid w:val="0039756A"/>
    <w:rsid w:val="003A0E6E"/>
    <w:rsid w:val="003A2513"/>
    <w:rsid w:val="003A45FB"/>
    <w:rsid w:val="003C5A82"/>
    <w:rsid w:val="003C62AF"/>
    <w:rsid w:val="003D1B5B"/>
    <w:rsid w:val="003D2BA9"/>
    <w:rsid w:val="003D401F"/>
    <w:rsid w:val="003D6132"/>
    <w:rsid w:val="003D75E9"/>
    <w:rsid w:val="003E19CF"/>
    <w:rsid w:val="003E4AFA"/>
    <w:rsid w:val="003F3B7E"/>
    <w:rsid w:val="003F4314"/>
    <w:rsid w:val="00400B7F"/>
    <w:rsid w:val="00402171"/>
    <w:rsid w:val="0040250F"/>
    <w:rsid w:val="004047DD"/>
    <w:rsid w:val="004050FB"/>
    <w:rsid w:val="00406125"/>
    <w:rsid w:val="00411EB1"/>
    <w:rsid w:val="00413655"/>
    <w:rsid w:val="00413943"/>
    <w:rsid w:val="00417FF7"/>
    <w:rsid w:val="004271D8"/>
    <w:rsid w:val="00430256"/>
    <w:rsid w:val="00431AB1"/>
    <w:rsid w:val="00440E5E"/>
    <w:rsid w:val="00442514"/>
    <w:rsid w:val="00451A7A"/>
    <w:rsid w:val="00457BD3"/>
    <w:rsid w:val="00461C3D"/>
    <w:rsid w:val="00470A46"/>
    <w:rsid w:val="0047257E"/>
    <w:rsid w:val="0048013F"/>
    <w:rsid w:val="0048068B"/>
    <w:rsid w:val="004827D4"/>
    <w:rsid w:val="004926C4"/>
    <w:rsid w:val="00495D64"/>
    <w:rsid w:val="00497E1A"/>
    <w:rsid w:val="004A03F0"/>
    <w:rsid w:val="004A4D04"/>
    <w:rsid w:val="004B142C"/>
    <w:rsid w:val="004B15A7"/>
    <w:rsid w:val="004B29CD"/>
    <w:rsid w:val="004B4E72"/>
    <w:rsid w:val="004C1645"/>
    <w:rsid w:val="004C249A"/>
    <w:rsid w:val="004C39FB"/>
    <w:rsid w:val="004D1F8E"/>
    <w:rsid w:val="004D3047"/>
    <w:rsid w:val="004D7145"/>
    <w:rsid w:val="004D7541"/>
    <w:rsid w:val="004E12D3"/>
    <w:rsid w:val="004E6305"/>
    <w:rsid w:val="004F0CD2"/>
    <w:rsid w:val="004F228C"/>
    <w:rsid w:val="004F3BCD"/>
    <w:rsid w:val="004F5870"/>
    <w:rsid w:val="00501352"/>
    <w:rsid w:val="00502BA7"/>
    <w:rsid w:val="0050555C"/>
    <w:rsid w:val="00511132"/>
    <w:rsid w:val="005203AC"/>
    <w:rsid w:val="0052066B"/>
    <w:rsid w:val="00522260"/>
    <w:rsid w:val="0053067B"/>
    <w:rsid w:val="005310B2"/>
    <w:rsid w:val="00531DA8"/>
    <w:rsid w:val="00542E9A"/>
    <w:rsid w:val="00543385"/>
    <w:rsid w:val="00550B2D"/>
    <w:rsid w:val="00551375"/>
    <w:rsid w:val="00552CF6"/>
    <w:rsid w:val="00567B36"/>
    <w:rsid w:val="00570802"/>
    <w:rsid w:val="00574696"/>
    <w:rsid w:val="00590408"/>
    <w:rsid w:val="00590D17"/>
    <w:rsid w:val="00591E9A"/>
    <w:rsid w:val="0059543C"/>
    <w:rsid w:val="00595741"/>
    <w:rsid w:val="00596104"/>
    <w:rsid w:val="005A51A9"/>
    <w:rsid w:val="005A5B24"/>
    <w:rsid w:val="005B44C6"/>
    <w:rsid w:val="005B5529"/>
    <w:rsid w:val="005B564F"/>
    <w:rsid w:val="005B6240"/>
    <w:rsid w:val="005B6E36"/>
    <w:rsid w:val="005B7C69"/>
    <w:rsid w:val="005C0501"/>
    <w:rsid w:val="005C1FD8"/>
    <w:rsid w:val="005C50EC"/>
    <w:rsid w:val="005C7902"/>
    <w:rsid w:val="005C7B0C"/>
    <w:rsid w:val="005D0261"/>
    <w:rsid w:val="005D50B3"/>
    <w:rsid w:val="005E1F91"/>
    <w:rsid w:val="005E4BBF"/>
    <w:rsid w:val="005E704B"/>
    <w:rsid w:val="005E742C"/>
    <w:rsid w:val="005E7C6C"/>
    <w:rsid w:val="005F1D0F"/>
    <w:rsid w:val="005F415E"/>
    <w:rsid w:val="005F7F71"/>
    <w:rsid w:val="00602D76"/>
    <w:rsid w:val="00604D14"/>
    <w:rsid w:val="006068F8"/>
    <w:rsid w:val="00607CCF"/>
    <w:rsid w:val="00610725"/>
    <w:rsid w:val="00614076"/>
    <w:rsid w:val="006166F4"/>
    <w:rsid w:val="006178A8"/>
    <w:rsid w:val="00621F74"/>
    <w:rsid w:val="00624CE2"/>
    <w:rsid w:val="00624EA5"/>
    <w:rsid w:val="006339BB"/>
    <w:rsid w:val="0064457F"/>
    <w:rsid w:val="00646FCA"/>
    <w:rsid w:val="00647AF8"/>
    <w:rsid w:val="0065090E"/>
    <w:rsid w:val="00655F8F"/>
    <w:rsid w:val="00656269"/>
    <w:rsid w:val="006603FC"/>
    <w:rsid w:val="00662144"/>
    <w:rsid w:val="00665343"/>
    <w:rsid w:val="00666379"/>
    <w:rsid w:val="0066735A"/>
    <w:rsid w:val="00667EF3"/>
    <w:rsid w:val="00671285"/>
    <w:rsid w:val="00672C8F"/>
    <w:rsid w:val="00674220"/>
    <w:rsid w:val="00674222"/>
    <w:rsid w:val="0068017D"/>
    <w:rsid w:val="006850B3"/>
    <w:rsid w:val="00692A33"/>
    <w:rsid w:val="006A117E"/>
    <w:rsid w:val="006A1E5E"/>
    <w:rsid w:val="006A2681"/>
    <w:rsid w:val="006A662D"/>
    <w:rsid w:val="006B5E27"/>
    <w:rsid w:val="006C023B"/>
    <w:rsid w:val="006C2F56"/>
    <w:rsid w:val="006C5E85"/>
    <w:rsid w:val="006C7507"/>
    <w:rsid w:val="006D377B"/>
    <w:rsid w:val="006D6096"/>
    <w:rsid w:val="006D6904"/>
    <w:rsid w:val="006E6F18"/>
    <w:rsid w:val="006F5687"/>
    <w:rsid w:val="006F64D5"/>
    <w:rsid w:val="00711F11"/>
    <w:rsid w:val="007144E0"/>
    <w:rsid w:val="00716998"/>
    <w:rsid w:val="00720E17"/>
    <w:rsid w:val="00721B67"/>
    <w:rsid w:val="00722406"/>
    <w:rsid w:val="00730148"/>
    <w:rsid w:val="007315FE"/>
    <w:rsid w:val="007366A0"/>
    <w:rsid w:val="007402B4"/>
    <w:rsid w:val="0074082A"/>
    <w:rsid w:val="00741A42"/>
    <w:rsid w:val="00743AA7"/>
    <w:rsid w:val="0074488B"/>
    <w:rsid w:val="0074636F"/>
    <w:rsid w:val="00751E37"/>
    <w:rsid w:val="007554C0"/>
    <w:rsid w:val="00763233"/>
    <w:rsid w:val="00774848"/>
    <w:rsid w:val="00782FFE"/>
    <w:rsid w:val="0078300B"/>
    <w:rsid w:val="007843AE"/>
    <w:rsid w:val="00792E85"/>
    <w:rsid w:val="00792F43"/>
    <w:rsid w:val="00793E74"/>
    <w:rsid w:val="007949AB"/>
    <w:rsid w:val="00796670"/>
    <w:rsid w:val="00797FD4"/>
    <w:rsid w:val="007A0DFC"/>
    <w:rsid w:val="007A2F9E"/>
    <w:rsid w:val="007A3297"/>
    <w:rsid w:val="007A4F23"/>
    <w:rsid w:val="007C02BC"/>
    <w:rsid w:val="007C5424"/>
    <w:rsid w:val="007C69C3"/>
    <w:rsid w:val="007D5244"/>
    <w:rsid w:val="007D7B9D"/>
    <w:rsid w:val="007D7F93"/>
    <w:rsid w:val="007E034C"/>
    <w:rsid w:val="007E2ABE"/>
    <w:rsid w:val="007E4271"/>
    <w:rsid w:val="007E570F"/>
    <w:rsid w:val="007F36A7"/>
    <w:rsid w:val="008000F6"/>
    <w:rsid w:val="008061EF"/>
    <w:rsid w:val="00806671"/>
    <w:rsid w:val="008127F5"/>
    <w:rsid w:val="00825AD1"/>
    <w:rsid w:val="0083268E"/>
    <w:rsid w:val="008338A5"/>
    <w:rsid w:val="00835542"/>
    <w:rsid w:val="00837A10"/>
    <w:rsid w:val="00846B80"/>
    <w:rsid w:val="0084740F"/>
    <w:rsid w:val="00847680"/>
    <w:rsid w:val="00852FE3"/>
    <w:rsid w:val="008602E3"/>
    <w:rsid w:val="00861216"/>
    <w:rsid w:val="008614CF"/>
    <w:rsid w:val="00862BC4"/>
    <w:rsid w:val="0087091F"/>
    <w:rsid w:val="00874279"/>
    <w:rsid w:val="00875D06"/>
    <w:rsid w:val="00876539"/>
    <w:rsid w:val="00881CDC"/>
    <w:rsid w:val="00886B41"/>
    <w:rsid w:val="00896A52"/>
    <w:rsid w:val="008A16BB"/>
    <w:rsid w:val="008A1CAD"/>
    <w:rsid w:val="008A4F6E"/>
    <w:rsid w:val="008A5296"/>
    <w:rsid w:val="008A69E1"/>
    <w:rsid w:val="008A730A"/>
    <w:rsid w:val="008B0A15"/>
    <w:rsid w:val="008B40F0"/>
    <w:rsid w:val="008B6AE5"/>
    <w:rsid w:val="008C23CB"/>
    <w:rsid w:val="008C6414"/>
    <w:rsid w:val="008D24B1"/>
    <w:rsid w:val="008D6073"/>
    <w:rsid w:val="008D7AEA"/>
    <w:rsid w:val="008D7C10"/>
    <w:rsid w:val="008D7CA5"/>
    <w:rsid w:val="008F6F3B"/>
    <w:rsid w:val="0090299F"/>
    <w:rsid w:val="00903574"/>
    <w:rsid w:val="009035EE"/>
    <w:rsid w:val="00914FE6"/>
    <w:rsid w:val="009202FB"/>
    <w:rsid w:val="00921ACC"/>
    <w:rsid w:val="00931131"/>
    <w:rsid w:val="0093136A"/>
    <w:rsid w:val="00932344"/>
    <w:rsid w:val="00933648"/>
    <w:rsid w:val="0093553B"/>
    <w:rsid w:val="009375C4"/>
    <w:rsid w:val="00937861"/>
    <w:rsid w:val="009462DF"/>
    <w:rsid w:val="009514C4"/>
    <w:rsid w:val="00960F2B"/>
    <w:rsid w:val="00963B03"/>
    <w:rsid w:val="009649CF"/>
    <w:rsid w:val="00974589"/>
    <w:rsid w:val="0098615E"/>
    <w:rsid w:val="00997806"/>
    <w:rsid w:val="009A2E39"/>
    <w:rsid w:val="009A4AC4"/>
    <w:rsid w:val="009A5059"/>
    <w:rsid w:val="009B0B4B"/>
    <w:rsid w:val="009B2CB0"/>
    <w:rsid w:val="009C29A9"/>
    <w:rsid w:val="009D2382"/>
    <w:rsid w:val="009D25D6"/>
    <w:rsid w:val="009D3FA8"/>
    <w:rsid w:val="009D4347"/>
    <w:rsid w:val="009D484E"/>
    <w:rsid w:val="009D488B"/>
    <w:rsid w:val="009D60AD"/>
    <w:rsid w:val="009D676C"/>
    <w:rsid w:val="009D7D83"/>
    <w:rsid w:val="009E0B00"/>
    <w:rsid w:val="009F14F6"/>
    <w:rsid w:val="009F19A1"/>
    <w:rsid w:val="009F3F22"/>
    <w:rsid w:val="009F575D"/>
    <w:rsid w:val="00A00E84"/>
    <w:rsid w:val="00A03273"/>
    <w:rsid w:val="00A0427F"/>
    <w:rsid w:val="00A1185A"/>
    <w:rsid w:val="00A12EB8"/>
    <w:rsid w:val="00A12F5F"/>
    <w:rsid w:val="00A13433"/>
    <w:rsid w:val="00A13C71"/>
    <w:rsid w:val="00A14CF4"/>
    <w:rsid w:val="00A24616"/>
    <w:rsid w:val="00A24F83"/>
    <w:rsid w:val="00A3059E"/>
    <w:rsid w:val="00A30EB3"/>
    <w:rsid w:val="00A33B89"/>
    <w:rsid w:val="00A37D4F"/>
    <w:rsid w:val="00A407DA"/>
    <w:rsid w:val="00A42EBF"/>
    <w:rsid w:val="00A44244"/>
    <w:rsid w:val="00A44D8A"/>
    <w:rsid w:val="00A45ECE"/>
    <w:rsid w:val="00A47838"/>
    <w:rsid w:val="00A50132"/>
    <w:rsid w:val="00A53A4D"/>
    <w:rsid w:val="00A5726D"/>
    <w:rsid w:val="00A57E81"/>
    <w:rsid w:val="00A625A2"/>
    <w:rsid w:val="00A663BA"/>
    <w:rsid w:val="00A66943"/>
    <w:rsid w:val="00A67303"/>
    <w:rsid w:val="00A705DF"/>
    <w:rsid w:val="00A706CB"/>
    <w:rsid w:val="00A71ED8"/>
    <w:rsid w:val="00A7362E"/>
    <w:rsid w:val="00A73CD9"/>
    <w:rsid w:val="00A776E8"/>
    <w:rsid w:val="00A80E6D"/>
    <w:rsid w:val="00A834BE"/>
    <w:rsid w:val="00A85532"/>
    <w:rsid w:val="00A93426"/>
    <w:rsid w:val="00A94BF6"/>
    <w:rsid w:val="00AA0062"/>
    <w:rsid w:val="00AA4256"/>
    <w:rsid w:val="00AA44AF"/>
    <w:rsid w:val="00AB2884"/>
    <w:rsid w:val="00AB6B6E"/>
    <w:rsid w:val="00AB704B"/>
    <w:rsid w:val="00AC0E2B"/>
    <w:rsid w:val="00AC3C50"/>
    <w:rsid w:val="00AC6379"/>
    <w:rsid w:val="00AC6DDF"/>
    <w:rsid w:val="00AD42B6"/>
    <w:rsid w:val="00AD468F"/>
    <w:rsid w:val="00AD4CB8"/>
    <w:rsid w:val="00AD72DB"/>
    <w:rsid w:val="00AE28D8"/>
    <w:rsid w:val="00AE7174"/>
    <w:rsid w:val="00AE7CF9"/>
    <w:rsid w:val="00AF19FA"/>
    <w:rsid w:val="00AF503E"/>
    <w:rsid w:val="00B0031E"/>
    <w:rsid w:val="00B02236"/>
    <w:rsid w:val="00B04613"/>
    <w:rsid w:val="00B04EF0"/>
    <w:rsid w:val="00B05469"/>
    <w:rsid w:val="00B07F8C"/>
    <w:rsid w:val="00B103BB"/>
    <w:rsid w:val="00B1306A"/>
    <w:rsid w:val="00B14B48"/>
    <w:rsid w:val="00B14BDD"/>
    <w:rsid w:val="00B173E6"/>
    <w:rsid w:val="00B2159B"/>
    <w:rsid w:val="00B270D7"/>
    <w:rsid w:val="00B27124"/>
    <w:rsid w:val="00B34EBE"/>
    <w:rsid w:val="00B46E1C"/>
    <w:rsid w:val="00B50D58"/>
    <w:rsid w:val="00B562D0"/>
    <w:rsid w:val="00B57BFB"/>
    <w:rsid w:val="00B60FD5"/>
    <w:rsid w:val="00B62988"/>
    <w:rsid w:val="00B71F4B"/>
    <w:rsid w:val="00B72D84"/>
    <w:rsid w:val="00B72D9A"/>
    <w:rsid w:val="00B73E8F"/>
    <w:rsid w:val="00B77EEC"/>
    <w:rsid w:val="00B8406F"/>
    <w:rsid w:val="00B85608"/>
    <w:rsid w:val="00B85B4D"/>
    <w:rsid w:val="00B90186"/>
    <w:rsid w:val="00B959A8"/>
    <w:rsid w:val="00B96BAD"/>
    <w:rsid w:val="00BA118F"/>
    <w:rsid w:val="00BA1577"/>
    <w:rsid w:val="00BA33EF"/>
    <w:rsid w:val="00BA51BF"/>
    <w:rsid w:val="00BA641A"/>
    <w:rsid w:val="00BB2BEA"/>
    <w:rsid w:val="00BB32DC"/>
    <w:rsid w:val="00BB6323"/>
    <w:rsid w:val="00BC01BD"/>
    <w:rsid w:val="00BC0A00"/>
    <w:rsid w:val="00BC0C3B"/>
    <w:rsid w:val="00BC5E3D"/>
    <w:rsid w:val="00BC7169"/>
    <w:rsid w:val="00BC718C"/>
    <w:rsid w:val="00BD6A46"/>
    <w:rsid w:val="00BE0747"/>
    <w:rsid w:val="00BE0BBB"/>
    <w:rsid w:val="00BF0BDA"/>
    <w:rsid w:val="00BF0C6C"/>
    <w:rsid w:val="00BF76CF"/>
    <w:rsid w:val="00C0113F"/>
    <w:rsid w:val="00C01CEE"/>
    <w:rsid w:val="00C022AC"/>
    <w:rsid w:val="00C0387E"/>
    <w:rsid w:val="00C066D6"/>
    <w:rsid w:val="00C10CB1"/>
    <w:rsid w:val="00C119D9"/>
    <w:rsid w:val="00C16C45"/>
    <w:rsid w:val="00C17ECD"/>
    <w:rsid w:val="00C25510"/>
    <w:rsid w:val="00C26363"/>
    <w:rsid w:val="00C3056C"/>
    <w:rsid w:val="00C306E4"/>
    <w:rsid w:val="00C313B5"/>
    <w:rsid w:val="00C34487"/>
    <w:rsid w:val="00C45101"/>
    <w:rsid w:val="00C46A3A"/>
    <w:rsid w:val="00C5678D"/>
    <w:rsid w:val="00C56A53"/>
    <w:rsid w:val="00C60658"/>
    <w:rsid w:val="00C606B2"/>
    <w:rsid w:val="00C61633"/>
    <w:rsid w:val="00C65738"/>
    <w:rsid w:val="00C65A3E"/>
    <w:rsid w:val="00C71788"/>
    <w:rsid w:val="00C71A78"/>
    <w:rsid w:val="00C72112"/>
    <w:rsid w:val="00C736C2"/>
    <w:rsid w:val="00C738CC"/>
    <w:rsid w:val="00C749C1"/>
    <w:rsid w:val="00C80D4E"/>
    <w:rsid w:val="00C82F48"/>
    <w:rsid w:val="00C8325C"/>
    <w:rsid w:val="00C84E89"/>
    <w:rsid w:val="00C85195"/>
    <w:rsid w:val="00C85708"/>
    <w:rsid w:val="00C86DF1"/>
    <w:rsid w:val="00C9007F"/>
    <w:rsid w:val="00C93F85"/>
    <w:rsid w:val="00C94106"/>
    <w:rsid w:val="00CA14AB"/>
    <w:rsid w:val="00CA3BAB"/>
    <w:rsid w:val="00CA540C"/>
    <w:rsid w:val="00CA706F"/>
    <w:rsid w:val="00CB4EDE"/>
    <w:rsid w:val="00CC037E"/>
    <w:rsid w:val="00CC039C"/>
    <w:rsid w:val="00CC5CD8"/>
    <w:rsid w:val="00CC7170"/>
    <w:rsid w:val="00CD0A49"/>
    <w:rsid w:val="00CD2D3A"/>
    <w:rsid w:val="00CD3B78"/>
    <w:rsid w:val="00CD41D8"/>
    <w:rsid w:val="00CD508B"/>
    <w:rsid w:val="00CD72C0"/>
    <w:rsid w:val="00CE1B28"/>
    <w:rsid w:val="00CE7CEA"/>
    <w:rsid w:val="00CF23AC"/>
    <w:rsid w:val="00CF2DEF"/>
    <w:rsid w:val="00CF61FA"/>
    <w:rsid w:val="00D00BBC"/>
    <w:rsid w:val="00D0153C"/>
    <w:rsid w:val="00D05A33"/>
    <w:rsid w:val="00D078E5"/>
    <w:rsid w:val="00D11168"/>
    <w:rsid w:val="00D11548"/>
    <w:rsid w:val="00D127EA"/>
    <w:rsid w:val="00D16601"/>
    <w:rsid w:val="00D175E7"/>
    <w:rsid w:val="00D32C6B"/>
    <w:rsid w:val="00D40298"/>
    <w:rsid w:val="00D41AFF"/>
    <w:rsid w:val="00D4574D"/>
    <w:rsid w:val="00D52F71"/>
    <w:rsid w:val="00D56F44"/>
    <w:rsid w:val="00D600A6"/>
    <w:rsid w:val="00D6475C"/>
    <w:rsid w:val="00D64796"/>
    <w:rsid w:val="00D64D7B"/>
    <w:rsid w:val="00D65E3A"/>
    <w:rsid w:val="00D8029C"/>
    <w:rsid w:val="00D802F2"/>
    <w:rsid w:val="00D852C4"/>
    <w:rsid w:val="00D85497"/>
    <w:rsid w:val="00D86D57"/>
    <w:rsid w:val="00D923A0"/>
    <w:rsid w:val="00D963BB"/>
    <w:rsid w:val="00D97AA3"/>
    <w:rsid w:val="00DA0679"/>
    <w:rsid w:val="00DA12F7"/>
    <w:rsid w:val="00DA320D"/>
    <w:rsid w:val="00DA73EB"/>
    <w:rsid w:val="00DB2D0A"/>
    <w:rsid w:val="00DB3DD2"/>
    <w:rsid w:val="00DB5463"/>
    <w:rsid w:val="00DC0769"/>
    <w:rsid w:val="00DC52AE"/>
    <w:rsid w:val="00DC75F9"/>
    <w:rsid w:val="00DC7B63"/>
    <w:rsid w:val="00DD1E51"/>
    <w:rsid w:val="00DD23B2"/>
    <w:rsid w:val="00DD7A29"/>
    <w:rsid w:val="00DE084F"/>
    <w:rsid w:val="00DE0FA8"/>
    <w:rsid w:val="00DE16DC"/>
    <w:rsid w:val="00DE3779"/>
    <w:rsid w:val="00E00CFF"/>
    <w:rsid w:val="00E029A3"/>
    <w:rsid w:val="00E04846"/>
    <w:rsid w:val="00E11552"/>
    <w:rsid w:val="00E1453B"/>
    <w:rsid w:val="00E14EE0"/>
    <w:rsid w:val="00E150A8"/>
    <w:rsid w:val="00E15CCA"/>
    <w:rsid w:val="00E16F48"/>
    <w:rsid w:val="00E26784"/>
    <w:rsid w:val="00E27CB0"/>
    <w:rsid w:val="00E338F7"/>
    <w:rsid w:val="00E43417"/>
    <w:rsid w:val="00E452EA"/>
    <w:rsid w:val="00E45E63"/>
    <w:rsid w:val="00E46F6C"/>
    <w:rsid w:val="00E47723"/>
    <w:rsid w:val="00E5124F"/>
    <w:rsid w:val="00E518AF"/>
    <w:rsid w:val="00E51F15"/>
    <w:rsid w:val="00E5352D"/>
    <w:rsid w:val="00E62055"/>
    <w:rsid w:val="00E64DAE"/>
    <w:rsid w:val="00E65AC9"/>
    <w:rsid w:val="00E67748"/>
    <w:rsid w:val="00E72EE5"/>
    <w:rsid w:val="00E74EDA"/>
    <w:rsid w:val="00E77402"/>
    <w:rsid w:val="00EA50BC"/>
    <w:rsid w:val="00EA6A08"/>
    <w:rsid w:val="00EC0A80"/>
    <w:rsid w:val="00EC1F08"/>
    <w:rsid w:val="00EC7226"/>
    <w:rsid w:val="00ED3366"/>
    <w:rsid w:val="00ED3CAF"/>
    <w:rsid w:val="00ED77E3"/>
    <w:rsid w:val="00ED7AD1"/>
    <w:rsid w:val="00EE068F"/>
    <w:rsid w:val="00EE158B"/>
    <w:rsid w:val="00EE383C"/>
    <w:rsid w:val="00EE42AA"/>
    <w:rsid w:val="00EF3369"/>
    <w:rsid w:val="00EF4794"/>
    <w:rsid w:val="00F03E05"/>
    <w:rsid w:val="00F136F5"/>
    <w:rsid w:val="00F13E23"/>
    <w:rsid w:val="00F15372"/>
    <w:rsid w:val="00F16A99"/>
    <w:rsid w:val="00F2000E"/>
    <w:rsid w:val="00F2079F"/>
    <w:rsid w:val="00F22957"/>
    <w:rsid w:val="00F22BC1"/>
    <w:rsid w:val="00F325DD"/>
    <w:rsid w:val="00F3756E"/>
    <w:rsid w:val="00F37B64"/>
    <w:rsid w:val="00F44AC7"/>
    <w:rsid w:val="00F47D23"/>
    <w:rsid w:val="00F50BA1"/>
    <w:rsid w:val="00F50DFD"/>
    <w:rsid w:val="00F53A7C"/>
    <w:rsid w:val="00F56A7C"/>
    <w:rsid w:val="00F6078B"/>
    <w:rsid w:val="00F62820"/>
    <w:rsid w:val="00F65EF1"/>
    <w:rsid w:val="00F70510"/>
    <w:rsid w:val="00F73CB4"/>
    <w:rsid w:val="00F8162A"/>
    <w:rsid w:val="00F81E5A"/>
    <w:rsid w:val="00F83140"/>
    <w:rsid w:val="00F87780"/>
    <w:rsid w:val="00F91668"/>
    <w:rsid w:val="00F9324C"/>
    <w:rsid w:val="00F94293"/>
    <w:rsid w:val="00F942F1"/>
    <w:rsid w:val="00F973B8"/>
    <w:rsid w:val="00FA0A2E"/>
    <w:rsid w:val="00FA301A"/>
    <w:rsid w:val="00FA7071"/>
    <w:rsid w:val="00FB4DFC"/>
    <w:rsid w:val="00FB598E"/>
    <w:rsid w:val="00FC13BD"/>
    <w:rsid w:val="00FC1BC1"/>
    <w:rsid w:val="00FC50D8"/>
    <w:rsid w:val="00FC55F7"/>
    <w:rsid w:val="00FC619A"/>
    <w:rsid w:val="00FD3ADA"/>
    <w:rsid w:val="00FD65C1"/>
    <w:rsid w:val="00FE160D"/>
    <w:rsid w:val="00FE2685"/>
    <w:rsid w:val="00FE43C0"/>
    <w:rsid w:val="00FE4A15"/>
    <w:rsid w:val="00FE6A32"/>
    <w:rsid w:val="00FF6A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5610"/>
  <w15:docId w15:val="{D4D780D7-462F-48EF-A2C9-3CBF171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23607">
      <w:bodyDiv w:val="1"/>
      <w:marLeft w:val="0"/>
      <w:marRight w:val="0"/>
      <w:marTop w:val="0"/>
      <w:marBottom w:val="0"/>
      <w:divBdr>
        <w:top w:val="none" w:sz="0" w:space="0" w:color="auto"/>
        <w:left w:val="none" w:sz="0" w:space="0" w:color="auto"/>
        <w:bottom w:val="none" w:sz="0" w:space="0" w:color="auto"/>
        <w:right w:val="none" w:sz="0" w:space="0" w:color="auto"/>
      </w:divBdr>
    </w:div>
    <w:div w:id="18701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4192F" w:rsidRDefault="00A4192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4192F" w:rsidRDefault="00A4192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4192F" w:rsidRDefault="00A4192F"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4192F" w:rsidRDefault="00A4192F"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4192F" w:rsidRDefault="00A4192F"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4192F" w:rsidRDefault="00A4192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4192F" w:rsidRDefault="00A4192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4192F" w:rsidRDefault="00A4192F" w:rsidP="00AF0AC5">
          <w:pPr>
            <w:pStyle w:val="B49FA1BBEF644AB6B201ADBCD49F2011"/>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4192F" w:rsidRDefault="00A4192F" w:rsidP="00AF0AC5">
          <w:pPr>
            <w:pStyle w:val="7C2AE2A0EA814529846EC226145BF664"/>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4192F" w:rsidRDefault="00A4192F"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192F"/>
    <w:rsid w:val="00012CBD"/>
    <w:rsid w:val="000B62AB"/>
    <w:rsid w:val="00101C5B"/>
    <w:rsid w:val="00301CE8"/>
    <w:rsid w:val="0034770F"/>
    <w:rsid w:val="003736E0"/>
    <w:rsid w:val="00396C5C"/>
    <w:rsid w:val="003D2BA9"/>
    <w:rsid w:val="004926C4"/>
    <w:rsid w:val="00497E1A"/>
    <w:rsid w:val="00511132"/>
    <w:rsid w:val="005B6240"/>
    <w:rsid w:val="006302B0"/>
    <w:rsid w:val="006C5979"/>
    <w:rsid w:val="00745FC8"/>
    <w:rsid w:val="007E570F"/>
    <w:rsid w:val="0092624D"/>
    <w:rsid w:val="009F3F22"/>
    <w:rsid w:val="00A4192F"/>
    <w:rsid w:val="00A85532"/>
    <w:rsid w:val="00AA4256"/>
    <w:rsid w:val="00B62988"/>
    <w:rsid w:val="00C07022"/>
    <w:rsid w:val="00C95558"/>
    <w:rsid w:val="00CC64A2"/>
    <w:rsid w:val="00D86E6C"/>
    <w:rsid w:val="00DC74B7"/>
    <w:rsid w:val="00DE16DC"/>
    <w:rsid w:val="00E5124F"/>
    <w:rsid w:val="00E62055"/>
    <w:rsid w:val="00EE16D5"/>
    <w:rsid w:val="00FA7071"/>
    <w:rsid w:val="00FD65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7C2AE2A0EA814529846EC226145BF664">
    <w:name w:val="7C2AE2A0EA814529846EC226145BF664"/>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7c18abcd-ee32-4cef-9298-d35c5b1dfb34"/>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9F9D78F-761D-4597-ABE8-9819DBE8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8abcd-ee32-4cef-9298-d35c5b1df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6402</Words>
  <Characters>36497</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2025-08-12T01:01:00Z</dcterms:created>
  <dcterms:modified xsi:type="dcterms:W3CDTF">2025-08-12T01:01:00Z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