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BB1" w14:textId="0BE49C4B" w:rsidR="006A32D5" w:rsidRDefault="001E0A4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3D2719A" wp14:editId="34C5308F">
                <wp:simplePos x="0" y="0"/>
                <wp:positionH relativeFrom="column">
                  <wp:posOffset>-895350</wp:posOffset>
                </wp:positionH>
                <wp:positionV relativeFrom="paragraph">
                  <wp:posOffset>722630</wp:posOffset>
                </wp:positionV>
                <wp:extent cx="5686425" cy="1727200"/>
                <wp:effectExtent l="0" t="0" r="0" b="0"/>
                <wp:wrapSquare wrapText="bothSides"/>
                <wp:docPr id="1979642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61007" w14:textId="77777777" w:rsidR="006A32D5" w:rsidRDefault="006A32D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041C200" w14:textId="77777777" w:rsidR="006A32D5" w:rsidRPr="001E694D" w:rsidRDefault="006A32D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5BC2B3A" w14:textId="77777777" w:rsidR="006A32D5" w:rsidRPr="001E694D" w:rsidRDefault="006A32D5" w:rsidP="009504D0">
                            <w:pPr>
                              <w:pStyle w:val="ContactNumber"/>
                              <w:spacing w:after="600"/>
                              <w:rPr>
                                <w:rFonts w:ascii="Open Sans" w:hAnsi="Open Sans" w:cs="Open Sans"/>
                              </w:rPr>
                            </w:pPr>
                            <w:r w:rsidRPr="001E694D">
                              <w:rPr>
                                <w:rFonts w:ascii="Open Sans" w:hAnsi="Open Sans" w:cs="Open Sans"/>
                              </w:rPr>
                              <w:t>Agedcarequality.gov.au</w:t>
                            </w:r>
                          </w:p>
                          <w:p w14:paraId="4ED336DF" w14:textId="77777777" w:rsidR="006A32D5" w:rsidRDefault="006A32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D2719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5261007" w14:textId="77777777" w:rsidR="006A32D5" w:rsidRDefault="006A32D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041C200" w14:textId="77777777" w:rsidR="006A32D5" w:rsidRPr="001E694D" w:rsidRDefault="006A32D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5BC2B3A" w14:textId="77777777" w:rsidR="006A32D5" w:rsidRPr="001E694D" w:rsidRDefault="006A32D5" w:rsidP="009504D0">
                      <w:pPr>
                        <w:pStyle w:val="ContactNumber"/>
                        <w:spacing w:after="600"/>
                        <w:rPr>
                          <w:rFonts w:ascii="Open Sans" w:hAnsi="Open Sans" w:cs="Open Sans"/>
                        </w:rPr>
                      </w:pPr>
                      <w:r w:rsidRPr="001E694D">
                        <w:rPr>
                          <w:rFonts w:ascii="Open Sans" w:hAnsi="Open Sans" w:cs="Open Sans"/>
                        </w:rPr>
                        <w:t>Agedcarequality.gov.au</w:t>
                      </w:r>
                    </w:p>
                    <w:p w14:paraId="4ED336DF" w14:textId="77777777" w:rsidR="006A32D5" w:rsidRDefault="006A32D5"/>
                  </w:txbxContent>
                </v:textbox>
                <w10:wrap type="square"/>
              </v:shape>
            </w:pict>
          </mc:Fallback>
        </mc:AlternateContent>
      </w:r>
      <w:r w:rsidR="006A32D5">
        <w:rPr>
          <w:noProof/>
        </w:rPr>
        <w:drawing>
          <wp:anchor distT="360045" distB="180340" distL="114300" distR="114300" simplePos="0" relativeHeight="251659264" behindDoc="1" locked="0" layoutInCell="1" allowOverlap="1" wp14:anchorId="0B5CCF7B" wp14:editId="02904D7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D1A49B4" w14:textId="77777777" w:rsidR="006A32D5" w:rsidRPr="001E694D" w:rsidRDefault="006A32D5" w:rsidP="001E694D">
      <w:pPr>
        <w:tabs>
          <w:tab w:val="left" w:pos="4569"/>
        </w:tabs>
        <w:rPr>
          <w:rFonts w:ascii="Open Sans" w:hAnsi="Open Sans" w:cs="Open Sans"/>
          <w:color w:val="FFFFFF" w:themeColor="background1"/>
          <w:sz w:val="66"/>
          <w:szCs w:val="66"/>
        </w:rPr>
      </w:pPr>
    </w:p>
    <w:p w14:paraId="448A305E" w14:textId="77777777" w:rsidR="006A32D5" w:rsidRDefault="006A32D5" w:rsidP="00372ED2">
      <w:pPr>
        <w:spacing w:after="0"/>
        <w:rPr>
          <w:rFonts w:ascii="Open Sans" w:hAnsi="Open Sans" w:cs="Open Sans"/>
          <w:b/>
          <w:bCs/>
          <w:color w:val="FFFFFF" w:themeColor="background1"/>
          <w:sz w:val="66"/>
          <w:szCs w:val="66"/>
        </w:rPr>
      </w:pPr>
    </w:p>
    <w:p w14:paraId="046E65E9" w14:textId="77777777" w:rsidR="006A32D5" w:rsidRDefault="006A32D5" w:rsidP="00372ED2">
      <w:pPr>
        <w:spacing w:after="0"/>
        <w:rPr>
          <w:rFonts w:ascii="Open Sans" w:hAnsi="Open Sans" w:cs="Open Sans"/>
          <w:b/>
          <w:bCs/>
          <w:color w:val="FFFFFF" w:themeColor="background1"/>
          <w:sz w:val="66"/>
          <w:szCs w:val="66"/>
        </w:rPr>
      </w:pPr>
    </w:p>
    <w:p w14:paraId="1A48545E" w14:textId="77777777" w:rsidR="006A32D5" w:rsidRPr="00412FC5" w:rsidRDefault="006A32D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106772" w14:paraId="68D1ED66" w14:textId="77777777" w:rsidTr="00106772">
        <w:tc>
          <w:tcPr>
            <w:cnfStyle w:val="001000000000" w:firstRow="0" w:lastRow="0" w:firstColumn="1" w:lastColumn="0" w:oddVBand="0" w:evenVBand="0" w:oddHBand="0" w:evenHBand="0" w:firstRowFirstColumn="0" w:firstRowLastColumn="0" w:lastRowFirstColumn="0" w:lastRowLastColumn="0"/>
            <w:tcW w:w="3227" w:type="dxa"/>
          </w:tcPr>
          <w:p w14:paraId="63D960E1" w14:textId="77777777" w:rsidR="006A32D5" w:rsidRPr="001E694D" w:rsidRDefault="006A32D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5668390" w14:textId="77777777" w:rsidR="006A32D5" w:rsidRPr="001E694D" w:rsidRDefault="006A32D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Bethanie Waters</w:t>
            </w:r>
          </w:p>
        </w:tc>
      </w:tr>
      <w:tr w:rsidR="00106772" w14:paraId="73F37D15" w14:textId="77777777" w:rsidTr="001067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88D43D6" w14:textId="77777777" w:rsidR="006A32D5" w:rsidRPr="001E694D" w:rsidRDefault="006A32D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E704428" w14:textId="77777777" w:rsidR="006A32D5" w:rsidRPr="001E694D" w:rsidRDefault="006A32D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7276</w:t>
            </w:r>
          </w:p>
        </w:tc>
      </w:tr>
      <w:tr w:rsidR="00106772" w14:paraId="651C07D5" w14:textId="77777777" w:rsidTr="0010677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F128491" w14:textId="77777777" w:rsidR="006A32D5" w:rsidRPr="001E694D" w:rsidRDefault="006A32D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47484EB" w14:textId="77777777" w:rsidR="006A32D5" w:rsidRPr="001E694D" w:rsidRDefault="006A32D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18 Olivenza</w:t>
            </w:r>
            <w:r w:rsidRPr="001E694D">
              <w:rPr>
                <w:rFonts w:ascii="Open Sans" w:eastAsia="Times New Roman" w:hAnsi="Open Sans" w:cs="Open Sans"/>
                <w:lang w:eastAsia="en-AU"/>
              </w:rPr>
              <w:t xml:space="preserve"> Crescent, PORT KENNEDY, Western Australia, 6172</w:t>
            </w:r>
          </w:p>
        </w:tc>
      </w:tr>
      <w:tr w:rsidR="00106772" w14:paraId="7ABC7CC0" w14:textId="77777777" w:rsidTr="001067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F6555C2" w14:textId="77777777" w:rsidR="006A32D5" w:rsidRPr="001E694D" w:rsidRDefault="006A32D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D97FC71" w14:textId="77777777" w:rsidR="006A32D5" w:rsidRPr="001E694D" w:rsidRDefault="006A32D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106772" w14:paraId="4EF8F9B0" w14:textId="77777777" w:rsidTr="0010677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0ABBC6" w14:textId="77777777" w:rsidR="006A32D5" w:rsidRPr="001E694D" w:rsidRDefault="006A32D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2D275AB" w14:textId="77777777" w:rsidR="006A32D5" w:rsidRPr="001E694D" w:rsidRDefault="006A32D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5 February 2025 to 6 February 2025</w:t>
            </w:r>
          </w:p>
        </w:tc>
      </w:tr>
      <w:tr w:rsidR="00106772" w14:paraId="0DCAFEF6" w14:textId="77777777" w:rsidTr="001067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08FA33D" w14:textId="77777777" w:rsidR="006A32D5" w:rsidRPr="001E694D" w:rsidRDefault="006A32D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418147820"/>
            <w:placeholder>
              <w:docPart w:val="DefaultPlaceholder_-1854013437"/>
            </w:placeholder>
            <w:date w:fullDate="2025-04-08T00:00:00Z">
              <w:dateFormat w:val="d MMMM yyyy"/>
              <w:lid w:val="en-AU"/>
              <w:storeMappedDataAs w:val="dateTime"/>
              <w:calendar w:val="gregorian"/>
            </w:date>
          </w:sdtPr>
          <w:sdtEndPr/>
          <w:sdtContent>
            <w:tc>
              <w:tcPr>
                <w:tcW w:w="7114" w:type="dxa"/>
                <w:shd w:val="clear" w:color="auto" w:fill="FFFFFF" w:themeFill="background1"/>
              </w:tcPr>
              <w:p w14:paraId="61762DE1" w14:textId="08A7547E" w:rsidR="006A32D5" w:rsidRPr="001E694D" w:rsidRDefault="006F1D8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8 April 2025</w:t>
                </w:r>
              </w:p>
            </w:tc>
          </w:sdtContent>
        </w:sdt>
      </w:tr>
      <w:tr w:rsidR="00106772" w14:paraId="0EC431E5" w14:textId="77777777" w:rsidTr="0010677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FA3DE43" w14:textId="77777777" w:rsidR="006A32D5" w:rsidRPr="001E694D" w:rsidRDefault="006A32D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C928157" w14:textId="77777777" w:rsidR="006A32D5" w:rsidRPr="001E694D" w:rsidRDefault="006A32D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1009 The Bethanie Group Incorporated </w:t>
            </w:r>
          </w:p>
          <w:p w14:paraId="6B78A7A4" w14:textId="77777777" w:rsidR="006A32D5" w:rsidRPr="001E694D" w:rsidRDefault="006A32D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5719 Bethanie Waters</w:t>
            </w:r>
          </w:p>
        </w:tc>
      </w:tr>
    </w:tbl>
    <w:bookmarkEnd w:id="0"/>
    <w:p w14:paraId="17BAE6A6" w14:textId="77777777" w:rsidR="006A32D5" w:rsidRPr="001E694D" w:rsidRDefault="006A32D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82F3A94" w14:textId="77777777" w:rsidR="006A32D5" w:rsidRPr="003E162B" w:rsidRDefault="006A32D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6E73C85" w14:textId="4FB5F05F" w:rsidR="006A32D5" w:rsidRPr="001E694D" w:rsidRDefault="006A32D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Bethanie Waters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Ki</w:t>
      </w:r>
      <w:r w:rsidR="00EA2A55">
        <w:rPr>
          <w:rFonts w:ascii="Open Sans" w:hAnsi="Open Sans" w:cs="Open Sans"/>
        </w:rPr>
        <w:t>mberley Reed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009A4CA" w14:textId="77777777" w:rsidR="006A32D5" w:rsidRPr="001E694D" w:rsidRDefault="006A32D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D03B77D" w14:textId="77777777" w:rsidR="006A32D5" w:rsidRPr="001E694D" w:rsidRDefault="006A32D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2A33C03" w14:textId="77777777" w:rsidR="006A32D5" w:rsidRPr="003E162B" w:rsidRDefault="006A32D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B41ED79" w14:textId="77777777" w:rsidR="006A32D5" w:rsidRPr="001E694D" w:rsidRDefault="006A32D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B3FFF24" w14:textId="661D5A34" w:rsidR="006A32D5" w:rsidRPr="00EA2A55" w:rsidRDefault="006A32D5" w:rsidP="00712752">
      <w:pPr>
        <w:pStyle w:val="ListParagraph"/>
        <w:numPr>
          <w:ilvl w:val="0"/>
          <w:numId w:val="2"/>
        </w:numPr>
        <w:spacing w:line="240" w:lineRule="atLeast"/>
        <w:ind w:left="714" w:hanging="357"/>
        <w:contextualSpacing w:val="0"/>
        <w:rPr>
          <w:rFonts w:ascii="Open Sans" w:hAnsi="Open Sans" w:cs="Open Sans"/>
          <w:color w:val="auto"/>
        </w:rPr>
      </w:pPr>
      <w:r w:rsidRPr="00EA2A55">
        <w:rPr>
          <w:rFonts w:ascii="Open Sans" w:hAnsi="Open Sans" w:cs="Open Sans"/>
          <w:color w:val="auto"/>
        </w:rPr>
        <w:t xml:space="preserve">the </w:t>
      </w:r>
      <w:r w:rsidR="00EA2A55" w:rsidRPr="00EA2A55">
        <w:rPr>
          <w:rFonts w:ascii="Open Sans" w:hAnsi="Open Sans" w:cs="Open Sans"/>
          <w:color w:val="auto"/>
        </w:rPr>
        <w:t>A</w:t>
      </w:r>
      <w:r w:rsidRPr="00EA2A55">
        <w:rPr>
          <w:rFonts w:ascii="Open Sans" w:hAnsi="Open Sans" w:cs="Open Sans"/>
          <w:color w:val="auto"/>
        </w:rPr>
        <w:t xml:space="preserve">ssessment </w:t>
      </w:r>
      <w:r w:rsidR="00EA2A55" w:rsidRPr="00EA2A55">
        <w:rPr>
          <w:rFonts w:ascii="Open Sans" w:hAnsi="Open Sans" w:cs="Open Sans"/>
          <w:color w:val="auto"/>
        </w:rPr>
        <w:t>T</w:t>
      </w:r>
      <w:r w:rsidRPr="00EA2A55">
        <w:rPr>
          <w:rFonts w:ascii="Open Sans" w:hAnsi="Open Sans" w:cs="Open Sans"/>
          <w:color w:val="auto"/>
        </w:rPr>
        <w:t>eam’s report for the Assessment contact (performance assessment) – site report was informed by a site assessment, observations at the service, review of documents and interviews with staff, older people/representatives and others</w:t>
      </w:r>
    </w:p>
    <w:p w14:paraId="712BED27" w14:textId="31A1615F" w:rsidR="006A32D5" w:rsidRPr="00EA2A55" w:rsidRDefault="006A32D5" w:rsidP="00712752">
      <w:pPr>
        <w:pStyle w:val="ListParagraph"/>
        <w:numPr>
          <w:ilvl w:val="0"/>
          <w:numId w:val="2"/>
        </w:numPr>
        <w:spacing w:line="240" w:lineRule="atLeast"/>
        <w:ind w:left="714" w:hanging="357"/>
        <w:contextualSpacing w:val="0"/>
        <w:rPr>
          <w:rFonts w:ascii="Open Sans" w:hAnsi="Open Sans" w:cs="Open Sans"/>
          <w:color w:val="auto"/>
        </w:rPr>
      </w:pPr>
      <w:r w:rsidRPr="00EA2A55">
        <w:rPr>
          <w:rFonts w:ascii="Open Sans" w:hAnsi="Open Sans" w:cs="Open Sans"/>
          <w:color w:val="auto"/>
        </w:rPr>
        <w:t xml:space="preserve">the provider’s response to the </w:t>
      </w:r>
      <w:r w:rsidR="00EA2A55" w:rsidRPr="00EA2A55">
        <w:rPr>
          <w:rFonts w:ascii="Open Sans" w:hAnsi="Open Sans" w:cs="Open Sans"/>
          <w:color w:val="auto"/>
        </w:rPr>
        <w:t>A</w:t>
      </w:r>
      <w:r w:rsidRPr="00EA2A55">
        <w:rPr>
          <w:rFonts w:ascii="Open Sans" w:hAnsi="Open Sans" w:cs="Open Sans"/>
          <w:color w:val="auto"/>
        </w:rPr>
        <w:t xml:space="preserve">ssessment </w:t>
      </w:r>
      <w:r w:rsidR="00EA2A55" w:rsidRPr="00EA2A55">
        <w:rPr>
          <w:rFonts w:ascii="Open Sans" w:hAnsi="Open Sans" w:cs="Open Sans"/>
          <w:color w:val="auto"/>
        </w:rPr>
        <w:t>T</w:t>
      </w:r>
      <w:r w:rsidRPr="00EA2A55">
        <w:rPr>
          <w:rFonts w:ascii="Open Sans" w:hAnsi="Open Sans" w:cs="Open Sans"/>
          <w:color w:val="auto"/>
        </w:rPr>
        <w:t xml:space="preserve">eam’s report received </w:t>
      </w:r>
      <w:r w:rsidR="00EA2A55" w:rsidRPr="00EA2A55">
        <w:rPr>
          <w:rFonts w:ascii="Open Sans" w:hAnsi="Open Sans" w:cs="Open Sans"/>
          <w:color w:val="auto"/>
        </w:rPr>
        <w:t>07 March 2025</w:t>
      </w:r>
    </w:p>
    <w:p w14:paraId="3D35F2A5" w14:textId="58DF5F00" w:rsidR="00EA2A55" w:rsidRPr="00EA2A55" w:rsidRDefault="00EA2A55" w:rsidP="00EA2A55">
      <w:pPr>
        <w:pStyle w:val="ListParagraph"/>
        <w:numPr>
          <w:ilvl w:val="0"/>
          <w:numId w:val="2"/>
        </w:numPr>
        <w:spacing w:line="240" w:lineRule="atLeast"/>
        <w:ind w:left="714" w:hanging="357"/>
        <w:contextualSpacing w:val="0"/>
        <w:rPr>
          <w:rFonts w:ascii="Open Sans" w:hAnsi="Open Sans" w:cs="Open Sans"/>
          <w:color w:val="auto"/>
        </w:rPr>
      </w:pPr>
      <w:r w:rsidRPr="00EA2A55">
        <w:rPr>
          <w:rFonts w:ascii="Open Sans" w:hAnsi="Open Sans" w:cs="Open Sans"/>
          <w:color w:val="auto"/>
        </w:rPr>
        <w:t xml:space="preserve">other information and intelligence held by the Commission in relation to the service. </w:t>
      </w:r>
    </w:p>
    <w:p w14:paraId="7BF03B9A" w14:textId="2E598567" w:rsidR="006A32D5" w:rsidRPr="00EA2A55" w:rsidRDefault="006A32D5" w:rsidP="000C5D91">
      <w:pPr>
        <w:pStyle w:val="ListParagraph"/>
        <w:numPr>
          <w:ilvl w:val="0"/>
          <w:numId w:val="2"/>
        </w:numPr>
        <w:spacing w:line="22" w:lineRule="atLeast"/>
        <w:ind w:left="714" w:hanging="357"/>
        <w:contextualSpacing w:val="0"/>
        <w:rPr>
          <w:rFonts w:ascii="Open Sans" w:hAnsi="Open Sans" w:cs="Open Sans"/>
          <w:color w:val="auto"/>
        </w:rPr>
      </w:pPr>
      <w:r w:rsidRPr="00EA2A55">
        <w:rPr>
          <w:rFonts w:ascii="Open Sans" w:hAnsi="Open Sans" w:cs="Open Sans"/>
          <w:color w:val="auto"/>
        </w:rPr>
        <w:br w:type="page"/>
      </w:r>
    </w:p>
    <w:p w14:paraId="4A2B7DE7" w14:textId="77777777" w:rsidR="006A32D5" w:rsidRPr="003E162B" w:rsidRDefault="006A32D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06772" w:rsidRPr="00782614" w14:paraId="6F51ED4D" w14:textId="77777777" w:rsidTr="0010677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B02298" w14:textId="77777777" w:rsidR="006A32D5" w:rsidRPr="001E694D" w:rsidRDefault="006A32D5"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EA2A55">
              <w:rPr>
                <w:rFonts w:ascii="Open Sans" w:hAnsi="Open Sans" w:cs="Open Sans"/>
                <w:b w:val="0"/>
                <w:bCs/>
              </w:rPr>
              <w:t>Ongoing assessment and planning with consumers</w:t>
            </w:r>
          </w:p>
        </w:tc>
        <w:tc>
          <w:tcPr>
            <w:tcW w:w="1060" w:type="pct"/>
            <w:shd w:val="clear" w:color="auto" w:fill="auto"/>
          </w:tcPr>
          <w:p w14:paraId="022C0F41" w14:textId="3A537E74" w:rsidR="006A32D5" w:rsidRPr="00782614" w:rsidRDefault="0052497E"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782614">
              <w:rPr>
                <w:rFonts w:ascii="Open Sans" w:hAnsi="Open Sans" w:cs="Open Sans"/>
                <w:bCs/>
              </w:rPr>
              <w:t>Not appli</w:t>
            </w:r>
            <w:r w:rsidR="00782614" w:rsidRPr="00782614">
              <w:rPr>
                <w:rFonts w:ascii="Open Sans" w:hAnsi="Open Sans" w:cs="Open Sans"/>
                <w:bCs/>
              </w:rPr>
              <w:t>cable as not all Requirements were assessed</w:t>
            </w:r>
          </w:p>
        </w:tc>
      </w:tr>
      <w:tr w:rsidR="00106772" w:rsidRPr="00782614" w14:paraId="290AA94A" w14:textId="77777777" w:rsidTr="0010677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509A820" w14:textId="77777777" w:rsidR="006A32D5" w:rsidRPr="001E694D" w:rsidRDefault="006A32D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E83957D" w14:textId="64BFFDA1" w:rsidR="006A32D5" w:rsidRPr="00782614" w:rsidRDefault="00994EC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9994197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82614" w:rsidRPr="00782614">
                  <w:rPr>
                    <w:rFonts w:ascii="Open Sans" w:hAnsi="Open Sans" w:cs="Open Sans"/>
                    <w:b/>
                    <w:bCs/>
                  </w:rPr>
                  <w:t>Not Compliant</w:t>
                </w:r>
              </w:sdtContent>
            </w:sdt>
          </w:p>
        </w:tc>
      </w:tr>
      <w:tr w:rsidR="00106772" w:rsidRPr="00782614" w14:paraId="0AD28758" w14:textId="77777777" w:rsidTr="0010677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0C0469A" w14:textId="77777777" w:rsidR="006A32D5" w:rsidRPr="001E694D" w:rsidRDefault="006A32D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B613246" w14:textId="1127D3CF" w:rsidR="006A32D5" w:rsidRPr="00782614" w:rsidRDefault="00994EC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3192402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82614" w:rsidRPr="00782614">
                  <w:rPr>
                    <w:rFonts w:ascii="Open Sans" w:hAnsi="Open Sans" w:cs="Open Sans"/>
                    <w:b/>
                    <w:bCs/>
                  </w:rPr>
                  <w:t>Not Compliant</w:t>
                </w:r>
              </w:sdtContent>
            </w:sdt>
          </w:p>
        </w:tc>
      </w:tr>
    </w:tbl>
    <w:p w14:paraId="499EE6CD" w14:textId="77777777" w:rsidR="006A32D5" w:rsidRPr="001E694D" w:rsidRDefault="006A32D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0092A46" w14:textId="77777777" w:rsidR="006A32D5" w:rsidRPr="003E162B" w:rsidRDefault="006A32D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59E2DFA" w14:textId="77777777" w:rsidR="006A32D5" w:rsidRPr="0052497E" w:rsidRDefault="006A32D5" w:rsidP="0036130C">
      <w:pPr>
        <w:pStyle w:val="NormalArial"/>
        <w:rPr>
          <w:rFonts w:ascii="Open Sans" w:hAnsi="Open Sans" w:cs="Open Sans"/>
        </w:rPr>
      </w:pPr>
      <w:r w:rsidRPr="0052497E">
        <w:rPr>
          <w:rFonts w:ascii="Open Sans" w:hAnsi="Open Sans" w:cs="Open Sans"/>
        </w:rPr>
        <w:t xml:space="preserve">Areas have been identified in which </w:t>
      </w:r>
      <w:r w:rsidRPr="0052497E">
        <w:rPr>
          <w:rFonts w:ascii="Open Sans" w:hAnsi="Open Sans" w:cs="Open Sans"/>
          <w:b/>
        </w:rPr>
        <w:t>improvements must be made to ensure compliance with the Quality Standards</w:t>
      </w:r>
      <w:r w:rsidRPr="0052497E">
        <w:rPr>
          <w:rFonts w:ascii="Open Sans" w:hAnsi="Open Sans" w:cs="Open Sans"/>
        </w:rPr>
        <w:t>. This is based on non-compliance with the Quality Standards as described in this performance report.</w:t>
      </w:r>
    </w:p>
    <w:p w14:paraId="3056C037" w14:textId="178A6965" w:rsidR="006A32D5" w:rsidRPr="00E1392F" w:rsidRDefault="00994ECB" w:rsidP="00712752">
      <w:pPr>
        <w:pStyle w:val="ListBullet"/>
        <w:spacing w:before="0" w:after="120" w:line="22" w:lineRule="atLeast"/>
        <w:ind w:left="425" w:hanging="425"/>
        <w:rPr>
          <w:rFonts w:ascii="Open Sans" w:hAnsi="Open Sans" w:cs="Open Sans"/>
        </w:rPr>
      </w:pPr>
      <w:sdt>
        <w:sdtPr>
          <w:rPr>
            <w:rFonts w:ascii="Open Sans" w:hAnsi="Open Sans" w:cs="Open Sans"/>
          </w:rPr>
          <w:alias w:val="Insert comments here"/>
          <w:tag w:val="Insert comments here"/>
          <w:id w:val="-347226007"/>
          <w:placeholder>
            <w:docPart w:val="31A6E85FD01B4416BCA5D6257A7AFB1E"/>
          </w:placeholder>
        </w:sdtPr>
        <w:sdtEndPr/>
        <w:sdtContent>
          <w:r w:rsidR="00782614">
            <w:rPr>
              <w:rFonts w:ascii="Open Sans" w:hAnsi="Open Sans" w:cs="Open Sans"/>
            </w:rPr>
            <w:t xml:space="preserve">The </w:t>
          </w:r>
          <w:r w:rsidR="007B7166">
            <w:rPr>
              <w:rFonts w:ascii="Open Sans" w:hAnsi="Open Sans" w:cs="Open Sans"/>
            </w:rPr>
            <w:t xml:space="preserve">service must demonstrate the high impact risks to consumers including changed behaviours, wound care </w:t>
          </w:r>
          <w:r w:rsidR="00E1392F">
            <w:rPr>
              <w:rFonts w:ascii="Open Sans" w:hAnsi="Open Sans" w:cs="Open Sans"/>
            </w:rPr>
            <w:t>and skin integrity are effectively managed.</w:t>
          </w:r>
        </w:sdtContent>
      </w:sdt>
      <w:r w:rsidR="006A32D5" w:rsidRPr="0052497E">
        <w:rPr>
          <w:rFonts w:ascii="Open Sans" w:hAnsi="Open Sans" w:cs="Open Sans"/>
          <w:color w:val="0000FF"/>
        </w:rPr>
        <w:t xml:space="preserve"> </w:t>
      </w:r>
    </w:p>
    <w:p w14:paraId="6E648E77" w14:textId="62077167" w:rsidR="00E1392F" w:rsidRPr="0052497E" w:rsidRDefault="00E1392F" w:rsidP="00712752">
      <w:pPr>
        <w:pStyle w:val="ListBullet"/>
        <w:spacing w:before="0" w:after="120" w:line="22" w:lineRule="atLeast"/>
        <w:ind w:left="425" w:hanging="425"/>
        <w:rPr>
          <w:rFonts w:ascii="Open Sans" w:hAnsi="Open Sans" w:cs="Open Sans"/>
        </w:rPr>
      </w:pPr>
      <w:r>
        <w:rPr>
          <w:rFonts w:ascii="Open Sans" w:hAnsi="Open Sans" w:cs="Open Sans"/>
        </w:rPr>
        <w:t>The organisation must demon</w:t>
      </w:r>
      <w:r w:rsidR="00617EC0">
        <w:rPr>
          <w:rFonts w:ascii="Open Sans" w:hAnsi="Open Sans" w:cs="Open Sans"/>
        </w:rPr>
        <w:t>strate effective risk management systems and practices</w:t>
      </w:r>
      <w:r w:rsidR="00386C00">
        <w:rPr>
          <w:rFonts w:ascii="Open Sans" w:hAnsi="Open Sans" w:cs="Open Sans"/>
        </w:rPr>
        <w:t xml:space="preserve"> including incident management</w:t>
      </w:r>
      <w:r w:rsidR="006F1896">
        <w:rPr>
          <w:rFonts w:ascii="Open Sans" w:hAnsi="Open Sans" w:cs="Open Sans"/>
        </w:rPr>
        <w:t xml:space="preserve">, </w:t>
      </w:r>
      <w:r w:rsidR="00554846">
        <w:rPr>
          <w:rFonts w:ascii="Open Sans" w:hAnsi="Open Sans" w:cs="Open Sans"/>
        </w:rPr>
        <w:t xml:space="preserve">the management of high impact risks and identifying </w:t>
      </w:r>
      <w:r w:rsidR="003F797F">
        <w:rPr>
          <w:rFonts w:ascii="Open Sans" w:hAnsi="Open Sans" w:cs="Open Sans"/>
        </w:rPr>
        <w:t xml:space="preserve">the abuse and neglect of consumers. </w:t>
      </w:r>
    </w:p>
    <w:p w14:paraId="500308A7" w14:textId="58E08623" w:rsidR="006A32D5" w:rsidRPr="001E694D" w:rsidRDefault="006A32D5" w:rsidP="0036130C">
      <w:pPr>
        <w:pStyle w:val="NormalArial"/>
        <w:rPr>
          <w:rFonts w:ascii="Open Sans" w:hAnsi="Open Sans" w:cs="Open Sans"/>
        </w:rPr>
      </w:pPr>
      <w:r w:rsidRPr="001E694D">
        <w:rPr>
          <w:rFonts w:ascii="Open Sans" w:hAnsi="Open Sans" w:cs="Open Sans"/>
        </w:rPr>
        <w:br w:type="page"/>
      </w:r>
    </w:p>
    <w:p w14:paraId="11AED5FF" w14:textId="77777777" w:rsidR="006A32D5" w:rsidRPr="001E694D" w:rsidRDefault="006A32D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106772" w14:paraId="13581167" w14:textId="77777777" w:rsidTr="00EA2A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7B545E84" w14:textId="77777777" w:rsidR="006A32D5" w:rsidRPr="001E694D" w:rsidRDefault="006A32D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6EBAE7B6" w14:textId="77777777" w:rsidR="006A32D5" w:rsidRPr="001E694D" w:rsidRDefault="006A32D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06772" w14:paraId="66127DA7" w14:textId="77777777" w:rsidTr="00EA2A55">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34A05FA1" w14:textId="77777777" w:rsidR="006A32D5" w:rsidRPr="001E694D" w:rsidRDefault="006A32D5" w:rsidP="002C5FA9">
            <w:pPr>
              <w:spacing w:line="22" w:lineRule="atLeast"/>
              <w:rPr>
                <w:rFonts w:ascii="Open Sans" w:hAnsi="Open Sans" w:cs="Open Sans"/>
              </w:rPr>
            </w:pPr>
            <w:bookmarkStart w:id="1" w:name="_Hlk192763472"/>
            <w:r w:rsidRPr="001E694D">
              <w:rPr>
                <w:rFonts w:ascii="Open Sans" w:hAnsi="Open Sans" w:cs="Open Sans"/>
              </w:rPr>
              <w:t>Requirement 2(3)(a)</w:t>
            </w:r>
            <w:bookmarkEnd w:id="1"/>
          </w:p>
        </w:tc>
        <w:tc>
          <w:tcPr>
            <w:tcW w:w="3181" w:type="pct"/>
            <w:shd w:val="clear" w:color="auto" w:fill="auto"/>
          </w:tcPr>
          <w:p w14:paraId="07817AB5" w14:textId="77777777" w:rsidR="006A32D5" w:rsidRPr="001E694D" w:rsidRDefault="006A3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12" w:type="pct"/>
            <w:shd w:val="clear" w:color="auto" w:fill="auto"/>
          </w:tcPr>
          <w:p w14:paraId="0D4D35B8" w14:textId="77777777" w:rsidR="006A32D5" w:rsidRPr="001E694D" w:rsidRDefault="00994E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248069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6A32D5" w:rsidRPr="001E694D">
                  <w:rPr>
                    <w:rFonts w:ascii="Open Sans" w:hAnsi="Open Sans" w:cs="Open Sans"/>
                  </w:rPr>
                  <w:t>Compliant</w:t>
                </w:r>
              </w:sdtContent>
            </w:sdt>
          </w:p>
        </w:tc>
      </w:tr>
      <w:tr w:rsidR="00106772" w14:paraId="067FC7C1" w14:textId="77777777" w:rsidTr="00EA2A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4817BCFD" w14:textId="77777777" w:rsidR="006A32D5" w:rsidRPr="001E694D" w:rsidRDefault="006A32D5" w:rsidP="002C5FA9">
            <w:pPr>
              <w:spacing w:line="22" w:lineRule="atLeast"/>
              <w:rPr>
                <w:rFonts w:ascii="Open Sans" w:hAnsi="Open Sans" w:cs="Open Sans"/>
              </w:rPr>
            </w:pPr>
            <w:r w:rsidRPr="001E694D">
              <w:rPr>
                <w:rFonts w:ascii="Open Sans" w:hAnsi="Open Sans" w:cs="Open Sans"/>
              </w:rPr>
              <w:t>Requirement 2(3)(c)</w:t>
            </w:r>
          </w:p>
        </w:tc>
        <w:tc>
          <w:tcPr>
            <w:tcW w:w="3181" w:type="pct"/>
            <w:shd w:val="clear" w:color="auto" w:fill="auto"/>
          </w:tcPr>
          <w:p w14:paraId="51BA0B54" w14:textId="77777777" w:rsidR="006A32D5" w:rsidRPr="001E694D" w:rsidRDefault="006A3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951720D" w14:textId="77777777" w:rsidR="006A32D5" w:rsidRPr="001E694D" w:rsidRDefault="006A32D5" w:rsidP="002C5FA9">
            <w:pPr>
              <w:pStyle w:val="ListParagraph"/>
              <w:numPr>
                <w:ilvl w:val="0"/>
                <w:numId w:val="4"/>
              </w:numPr>
              <w:tabs>
                <w:tab w:val="clear" w:pos="357"/>
              </w:tabs>
              <w:spacing w:before="60" w:after="60" w:line="0" w:lineRule="atLeast"/>
              <w:ind w:left="641" w:hanging="641"/>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4914312" w14:textId="77777777" w:rsidR="006A32D5" w:rsidRPr="001E694D" w:rsidRDefault="006A32D5" w:rsidP="002C5FA9">
            <w:pPr>
              <w:pStyle w:val="ListParagraph"/>
              <w:numPr>
                <w:ilvl w:val="0"/>
                <w:numId w:val="4"/>
              </w:numPr>
              <w:tabs>
                <w:tab w:val="clear" w:pos="357"/>
              </w:tabs>
              <w:spacing w:before="60" w:after="60" w:line="0" w:lineRule="atLeast"/>
              <w:ind w:left="641" w:hanging="641"/>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12" w:type="pct"/>
            <w:shd w:val="clear" w:color="auto" w:fill="auto"/>
          </w:tcPr>
          <w:p w14:paraId="03C70E64" w14:textId="77777777" w:rsidR="006A32D5" w:rsidRPr="001E694D" w:rsidRDefault="00994E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226254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6A32D5" w:rsidRPr="001E694D">
                  <w:rPr>
                    <w:rFonts w:ascii="Open Sans" w:hAnsi="Open Sans" w:cs="Open Sans"/>
                  </w:rPr>
                  <w:t>Compliant</w:t>
                </w:r>
              </w:sdtContent>
            </w:sdt>
          </w:p>
        </w:tc>
      </w:tr>
    </w:tbl>
    <w:p w14:paraId="16013392" w14:textId="77777777" w:rsidR="00317A82" w:rsidRDefault="00317A82" w:rsidP="0026519F">
      <w:pPr>
        <w:pStyle w:val="NormalArial"/>
        <w:rPr>
          <w:b/>
          <w:bCs/>
          <w:color w:val="7030A0"/>
        </w:rPr>
      </w:pPr>
      <w:bookmarkStart w:id="2" w:name="_Hlk192775843"/>
    </w:p>
    <w:p w14:paraId="52B5C0CB" w14:textId="7DE4A292" w:rsidR="00317A82" w:rsidRPr="001F03A1" w:rsidRDefault="00317A82" w:rsidP="0026519F">
      <w:pPr>
        <w:pStyle w:val="NormalArial"/>
        <w:rPr>
          <w:rFonts w:ascii="Open Sans" w:hAnsi="Open Sans" w:cs="Open Sans"/>
          <w:b/>
          <w:bCs/>
          <w:color w:val="7030A0"/>
        </w:rPr>
      </w:pPr>
      <w:r w:rsidRPr="001F03A1">
        <w:rPr>
          <w:rFonts w:ascii="Open Sans" w:hAnsi="Open Sans" w:cs="Open Sans"/>
          <w:b/>
          <w:bCs/>
          <w:color w:val="7030A0"/>
        </w:rPr>
        <w:t>Findings</w:t>
      </w:r>
    </w:p>
    <w:p w14:paraId="0494A941" w14:textId="3E539ADE" w:rsidR="00EA2A55" w:rsidRPr="001F03A1" w:rsidRDefault="00EA2A55" w:rsidP="0026519F">
      <w:pPr>
        <w:pStyle w:val="NormalArial"/>
        <w:rPr>
          <w:rFonts w:ascii="Open Sans" w:hAnsi="Open Sans" w:cs="Open Sans"/>
          <w:b/>
          <w:bCs/>
          <w:color w:val="auto"/>
        </w:rPr>
      </w:pPr>
      <w:r w:rsidRPr="001F03A1">
        <w:rPr>
          <w:rFonts w:ascii="Open Sans" w:hAnsi="Open Sans" w:cs="Open Sans"/>
          <w:b/>
          <w:bCs/>
          <w:color w:val="auto"/>
        </w:rPr>
        <w:t>Requirement 2(3)(a)</w:t>
      </w:r>
    </w:p>
    <w:p w14:paraId="60430D3F" w14:textId="0447B8EA" w:rsidR="00EA2A55" w:rsidRPr="001F03A1" w:rsidRDefault="00EA2A55" w:rsidP="0026519F">
      <w:pPr>
        <w:pStyle w:val="NormalArial"/>
        <w:rPr>
          <w:rFonts w:ascii="Open Sans" w:hAnsi="Open Sans" w:cs="Open Sans"/>
          <w:color w:val="auto"/>
        </w:rPr>
      </w:pPr>
      <w:r w:rsidRPr="001F03A1">
        <w:rPr>
          <w:rFonts w:ascii="Open Sans" w:hAnsi="Open Sans" w:cs="Open Sans"/>
          <w:color w:val="auto"/>
        </w:rPr>
        <w:t xml:space="preserve">The Assessment </w:t>
      </w:r>
      <w:r w:rsidR="0079508D" w:rsidRPr="001F03A1">
        <w:rPr>
          <w:rFonts w:ascii="Open Sans" w:hAnsi="Open Sans" w:cs="Open Sans"/>
          <w:color w:val="auto"/>
        </w:rPr>
        <w:t xml:space="preserve">contact report </w:t>
      </w:r>
      <w:r w:rsidR="00BB7BC4" w:rsidRPr="001F03A1">
        <w:rPr>
          <w:rFonts w:ascii="Open Sans" w:hAnsi="Open Sans" w:cs="Open Sans"/>
          <w:color w:val="auto"/>
        </w:rPr>
        <w:t xml:space="preserve">(report) </w:t>
      </w:r>
      <w:r w:rsidR="0079508D" w:rsidRPr="001F03A1">
        <w:rPr>
          <w:rFonts w:ascii="Open Sans" w:hAnsi="Open Sans" w:cs="Open Sans"/>
          <w:color w:val="auto"/>
        </w:rPr>
        <w:t xml:space="preserve">for the site assessment (5-6 February 2025) contained information assessment and planning were not undertaken for all consumers and risks were not identified to ensure safe and effective delivery of care and services. The report indicates consumers who have entered the service did not have behaviour assessments completed in line with the organisation’s procedure and behaviour support plans did not guide staff in relation to interventions to trial before the </w:t>
      </w:r>
      <w:r w:rsidR="00F807B6" w:rsidRPr="001F03A1">
        <w:rPr>
          <w:rFonts w:ascii="Open Sans" w:hAnsi="Open Sans" w:cs="Open Sans"/>
          <w:color w:val="auto"/>
        </w:rPr>
        <w:t xml:space="preserve">administration of as required medication. While staff could demonstrate behaviour interventions that were effective, these interventions were not captured in care planning. </w:t>
      </w:r>
    </w:p>
    <w:p w14:paraId="78EA8E84" w14:textId="0D3B9724" w:rsidR="00F807B6" w:rsidRPr="001F03A1" w:rsidRDefault="00F807B6" w:rsidP="0026519F">
      <w:pPr>
        <w:pStyle w:val="NormalArial"/>
        <w:rPr>
          <w:rFonts w:ascii="Open Sans" w:hAnsi="Open Sans" w:cs="Open Sans"/>
          <w:color w:val="auto"/>
        </w:rPr>
      </w:pPr>
      <w:r w:rsidRPr="001F03A1">
        <w:rPr>
          <w:rFonts w:ascii="Open Sans" w:hAnsi="Open Sans" w:cs="Open Sans"/>
          <w:color w:val="auto"/>
        </w:rPr>
        <w:t xml:space="preserve">The Approved provider in its written response (received 7 March 2025) refuted the information recorded above and provided additional supporting evidence in the response. </w:t>
      </w:r>
    </w:p>
    <w:p w14:paraId="2B4FE2D9" w14:textId="27FE9A6E" w:rsidR="00F807B6" w:rsidRPr="001F03A1" w:rsidRDefault="00F807B6" w:rsidP="0026519F">
      <w:pPr>
        <w:pStyle w:val="NormalArial"/>
        <w:rPr>
          <w:rFonts w:ascii="Open Sans" w:hAnsi="Open Sans" w:cs="Open Sans"/>
          <w:color w:val="auto"/>
        </w:rPr>
      </w:pPr>
      <w:r w:rsidRPr="001F03A1">
        <w:rPr>
          <w:rFonts w:ascii="Open Sans" w:hAnsi="Open Sans" w:cs="Open Sans"/>
          <w:color w:val="auto"/>
        </w:rPr>
        <w:t>For example:</w:t>
      </w:r>
    </w:p>
    <w:p w14:paraId="12CE2360" w14:textId="3D1A2F4C" w:rsidR="00F807B6" w:rsidRPr="001F03A1" w:rsidRDefault="00F807B6" w:rsidP="0026519F">
      <w:pPr>
        <w:pStyle w:val="NormalArial"/>
        <w:rPr>
          <w:rFonts w:ascii="Open Sans" w:hAnsi="Open Sans" w:cs="Open Sans"/>
          <w:color w:val="auto"/>
        </w:rPr>
      </w:pPr>
      <w:r w:rsidRPr="001F03A1">
        <w:rPr>
          <w:rFonts w:ascii="Open Sans" w:hAnsi="Open Sans" w:cs="Open Sans"/>
          <w:color w:val="auto"/>
        </w:rPr>
        <w:t>In relation to behaviour assessments not completed in line with organisational guidelines, the report states staff conf</w:t>
      </w:r>
      <w:r w:rsidR="005644C8" w:rsidRPr="001F03A1">
        <w:rPr>
          <w:rFonts w:ascii="Open Sans" w:hAnsi="Open Sans" w:cs="Open Sans"/>
          <w:color w:val="auto"/>
        </w:rPr>
        <w:t>i</w:t>
      </w:r>
      <w:r w:rsidRPr="001F03A1">
        <w:rPr>
          <w:rFonts w:ascii="Open Sans" w:hAnsi="Open Sans" w:cs="Open Sans"/>
          <w:color w:val="auto"/>
        </w:rPr>
        <w:t xml:space="preserve">rmed behaviour assessments were completed in line with a checklist between days 8 to 14 of a consumer entering the service, however, the procedure states behaviour assessments are to occur on the first day the consumer enters the service. </w:t>
      </w:r>
      <w:r w:rsidR="00894B9A" w:rsidRPr="001F03A1">
        <w:rPr>
          <w:rFonts w:ascii="Open Sans" w:hAnsi="Open Sans" w:cs="Open Sans"/>
          <w:color w:val="auto"/>
        </w:rPr>
        <w:t xml:space="preserve">The Approved provider refutes </w:t>
      </w:r>
      <w:r w:rsidR="00894B9A" w:rsidRPr="001F03A1">
        <w:rPr>
          <w:rFonts w:ascii="Open Sans" w:hAnsi="Open Sans" w:cs="Open Sans"/>
          <w:color w:val="auto"/>
        </w:rPr>
        <w:lastRenderedPageBreak/>
        <w:t xml:space="preserve">this information and submitted the Behaviour management procedure which states on Day 8 of admission, a 7 day behaviour chart is commenced, followed by a behaviour assessment completed between days 15 to 21 of admission. The Behaviour management procedure was last updated in November 2024. </w:t>
      </w:r>
    </w:p>
    <w:p w14:paraId="7A081B7B" w14:textId="58BA958F" w:rsidR="00A7756C" w:rsidRPr="001F03A1" w:rsidRDefault="005644C8" w:rsidP="0026519F">
      <w:pPr>
        <w:pStyle w:val="NormalArial"/>
        <w:rPr>
          <w:rFonts w:ascii="Open Sans" w:hAnsi="Open Sans" w:cs="Open Sans"/>
          <w:color w:val="auto"/>
        </w:rPr>
      </w:pPr>
      <w:r w:rsidRPr="001F03A1">
        <w:rPr>
          <w:rFonts w:ascii="Open Sans" w:hAnsi="Open Sans" w:cs="Open Sans"/>
          <w:color w:val="auto"/>
        </w:rPr>
        <w:t xml:space="preserve">The report contained information </w:t>
      </w:r>
      <w:r w:rsidR="009A7209">
        <w:rPr>
          <w:rFonts w:ascii="Open Sans" w:hAnsi="Open Sans" w:cs="Open Sans"/>
          <w:color w:val="auto"/>
        </w:rPr>
        <w:t>that</w:t>
      </w:r>
      <w:r w:rsidRPr="001F03A1">
        <w:rPr>
          <w:rFonts w:ascii="Open Sans" w:hAnsi="Open Sans" w:cs="Open Sans"/>
          <w:color w:val="auto"/>
        </w:rPr>
        <w:t xml:space="preserve"> interim care plan</w:t>
      </w:r>
      <w:r w:rsidR="00BB7BC4" w:rsidRPr="001F03A1">
        <w:rPr>
          <w:rFonts w:ascii="Open Sans" w:hAnsi="Open Sans" w:cs="Open Sans"/>
          <w:color w:val="auto"/>
        </w:rPr>
        <w:t>s</w:t>
      </w:r>
      <w:r w:rsidRPr="001F03A1">
        <w:rPr>
          <w:rFonts w:ascii="Open Sans" w:hAnsi="Open Sans" w:cs="Open Sans"/>
          <w:color w:val="auto"/>
        </w:rPr>
        <w:t xml:space="preserve"> did not reflect consumers’ behaviours and related more to the consume</w:t>
      </w:r>
      <w:r w:rsidR="00BB7BC4" w:rsidRPr="001F03A1">
        <w:rPr>
          <w:rFonts w:ascii="Open Sans" w:hAnsi="Open Sans" w:cs="Open Sans"/>
          <w:color w:val="auto"/>
        </w:rPr>
        <w:t xml:space="preserve">r’s emotional state. For one named consumer, , </w:t>
      </w:r>
      <w:r w:rsidR="001841AC">
        <w:rPr>
          <w:rFonts w:ascii="Open Sans" w:hAnsi="Open Sans" w:cs="Open Sans"/>
          <w:color w:val="auto"/>
        </w:rPr>
        <w:t xml:space="preserve">information in the report indicated </w:t>
      </w:r>
      <w:r w:rsidR="00BB7BC4" w:rsidRPr="001F03A1">
        <w:rPr>
          <w:rFonts w:ascii="Open Sans" w:hAnsi="Open Sans" w:cs="Open Sans"/>
          <w:color w:val="auto"/>
        </w:rPr>
        <w:t xml:space="preserve">the clinical assessment checklist was not </w:t>
      </w:r>
      <w:r w:rsidR="00DD531E" w:rsidRPr="001F03A1">
        <w:rPr>
          <w:rFonts w:ascii="Open Sans" w:hAnsi="Open Sans" w:cs="Open Sans"/>
          <w:color w:val="auto"/>
        </w:rPr>
        <w:t>completed,</w:t>
      </w:r>
      <w:r w:rsidR="00BB7BC4" w:rsidRPr="001F03A1">
        <w:rPr>
          <w:rFonts w:ascii="Open Sans" w:hAnsi="Open Sans" w:cs="Open Sans"/>
          <w:color w:val="auto"/>
        </w:rPr>
        <w:t xml:space="preserve"> and a behaviour </w:t>
      </w:r>
      <w:r w:rsidR="00183FF0">
        <w:rPr>
          <w:rFonts w:ascii="Open Sans" w:hAnsi="Open Sans" w:cs="Open Sans"/>
          <w:color w:val="auto"/>
        </w:rPr>
        <w:t>form</w:t>
      </w:r>
      <w:r w:rsidR="00BB7BC4" w:rsidRPr="001F03A1">
        <w:rPr>
          <w:rFonts w:ascii="Open Sans" w:hAnsi="Open Sans" w:cs="Open Sans"/>
          <w:color w:val="auto"/>
        </w:rPr>
        <w:t xml:space="preserve"> was not </w:t>
      </w:r>
      <w:r w:rsidR="00183FF0">
        <w:rPr>
          <w:rFonts w:ascii="Open Sans" w:hAnsi="Open Sans" w:cs="Open Sans"/>
          <w:color w:val="auto"/>
        </w:rPr>
        <w:t>completed</w:t>
      </w:r>
      <w:r w:rsidR="00BB7BC4" w:rsidRPr="001F03A1">
        <w:rPr>
          <w:rFonts w:ascii="Open Sans" w:hAnsi="Open Sans" w:cs="Open Sans"/>
          <w:color w:val="auto"/>
        </w:rPr>
        <w:t xml:space="preserve">. </w:t>
      </w:r>
      <w:r w:rsidR="00DD531E" w:rsidRPr="001F03A1">
        <w:rPr>
          <w:rFonts w:ascii="Open Sans" w:hAnsi="Open Sans" w:cs="Open Sans"/>
          <w:color w:val="auto"/>
        </w:rPr>
        <w:t>Th</w:t>
      </w:r>
      <w:r w:rsidR="003D45AF">
        <w:rPr>
          <w:rFonts w:ascii="Open Sans" w:hAnsi="Open Sans" w:cs="Open Sans"/>
          <w:color w:val="auto"/>
        </w:rPr>
        <w:t>is</w:t>
      </w:r>
      <w:r w:rsidR="00DD531E" w:rsidRPr="001F03A1">
        <w:rPr>
          <w:rFonts w:ascii="Open Sans" w:hAnsi="Open Sans" w:cs="Open Sans"/>
          <w:color w:val="auto"/>
        </w:rPr>
        <w:t xml:space="preserve"> information was refuted in the </w:t>
      </w:r>
      <w:r w:rsidR="00600F5C" w:rsidRPr="001F03A1">
        <w:rPr>
          <w:rFonts w:ascii="Open Sans" w:hAnsi="Open Sans" w:cs="Open Sans"/>
          <w:color w:val="auto"/>
        </w:rPr>
        <w:t xml:space="preserve">Approved provider response which states the interim care </w:t>
      </w:r>
      <w:r w:rsidR="0010494C">
        <w:rPr>
          <w:rFonts w:ascii="Open Sans" w:hAnsi="Open Sans" w:cs="Open Sans"/>
          <w:color w:val="auto"/>
        </w:rPr>
        <w:t xml:space="preserve">plan template </w:t>
      </w:r>
      <w:r w:rsidR="00600F5C" w:rsidRPr="001F03A1">
        <w:rPr>
          <w:rFonts w:ascii="Open Sans" w:hAnsi="Open Sans" w:cs="Open Sans"/>
          <w:color w:val="auto"/>
        </w:rPr>
        <w:t xml:space="preserve">contains behaviours captured from preadmission documents </w:t>
      </w:r>
      <w:r w:rsidR="003143A8" w:rsidRPr="001F03A1">
        <w:rPr>
          <w:rFonts w:ascii="Open Sans" w:hAnsi="Open Sans" w:cs="Open Sans"/>
          <w:color w:val="auto"/>
        </w:rPr>
        <w:t>and includes observations noted on the day of entry, this may include the consumers</w:t>
      </w:r>
      <w:r w:rsidR="007B0730">
        <w:rPr>
          <w:rFonts w:ascii="Open Sans" w:hAnsi="Open Sans" w:cs="Open Sans"/>
          <w:color w:val="auto"/>
        </w:rPr>
        <w:t>’</w:t>
      </w:r>
      <w:r w:rsidR="003143A8" w:rsidRPr="001F03A1">
        <w:rPr>
          <w:rFonts w:ascii="Open Sans" w:hAnsi="Open Sans" w:cs="Open Sans"/>
          <w:color w:val="auto"/>
        </w:rPr>
        <w:t xml:space="preserve"> emotional state as necessary</w:t>
      </w:r>
      <w:r w:rsidR="003A0F58">
        <w:rPr>
          <w:rFonts w:ascii="Open Sans" w:hAnsi="Open Sans" w:cs="Open Sans"/>
          <w:color w:val="auto"/>
        </w:rPr>
        <w:t xml:space="preserve"> to support staff to provide support </w:t>
      </w:r>
      <w:r w:rsidR="00EF3240">
        <w:rPr>
          <w:rFonts w:ascii="Open Sans" w:hAnsi="Open Sans" w:cs="Open Sans"/>
          <w:color w:val="auto"/>
        </w:rPr>
        <w:t>during the settling in period</w:t>
      </w:r>
      <w:r w:rsidR="003143A8" w:rsidRPr="001F03A1">
        <w:rPr>
          <w:rFonts w:ascii="Open Sans" w:hAnsi="Open Sans" w:cs="Open Sans"/>
          <w:color w:val="auto"/>
        </w:rPr>
        <w:t xml:space="preserve">. The Approved provider also noted the interim care plan for the named consumer features elsewhere in the report </w:t>
      </w:r>
      <w:r w:rsidR="00A071F7">
        <w:rPr>
          <w:rFonts w:ascii="Open Sans" w:hAnsi="Open Sans" w:cs="Open Sans"/>
          <w:color w:val="auto"/>
        </w:rPr>
        <w:t>indicating</w:t>
      </w:r>
      <w:r w:rsidR="003143A8" w:rsidRPr="001F03A1">
        <w:rPr>
          <w:rFonts w:ascii="Open Sans" w:hAnsi="Open Sans" w:cs="Open Sans"/>
          <w:color w:val="auto"/>
        </w:rPr>
        <w:t xml:space="preserve"> that </w:t>
      </w:r>
      <w:r w:rsidR="00D777B5">
        <w:rPr>
          <w:rFonts w:ascii="Open Sans" w:hAnsi="Open Sans" w:cs="Open Sans"/>
          <w:color w:val="auto"/>
        </w:rPr>
        <w:t>strategies to manage the consumer</w:t>
      </w:r>
      <w:r w:rsidR="007B0730">
        <w:rPr>
          <w:rFonts w:ascii="Open Sans" w:hAnsi="Open Sans" w:cs="Open Sans"/>
          <w:color w:val="auto"/>
        </w:rPr>
        <w:t xml:space="preserve">’s behaviour </w:t>
      </w:r>
      <w:r w:rsidR="003143A8" w:rsidRPr="001F03A1">
        <w:rPr>
          <w:rFonts w:ascii="Open Sans" w:hAnsi="Open Sans" w:cs="Open Sans"/>
          <w:color w:val="auto"/>
        </w:rPr>
        <w:t>were included for the consumer</w:t>
      </w:r>
      <w:r w:rsidR="00A7756C" w:rsidRPr="001F03A1">
        <w:rPr>
          <w:rFonts w:ascii="Open Sans" w:hAnsi="Open Sans" w:cs="Open Sans"/>
          <w:color w:val="auto"/>
        </w:rPr>
        <w:t xml:space="preserve"> on the interim care plan. </w:t>
      </w:r>
    </w:p>
    <w:p w14:paraId="30AA1DCC" w14:textId="64AA2C04" w:rsidR="00A903BB" w:rsidRPr="001F03A1" w:rsidRDefault="00A7756C" w:rsidP="0026519F">
      <w:pPr>
        <w:pStyle w:val="NormalArial"/>
        <w:rPr>
          <w:rFonts w:ascii="Open Sans" w:hAnsi="Open Sans" w:cs="Open Sans"/>
          <w:color w:val="auto"/>
        </w:rPr>
      </w:pPr>
      <w:r w:rsidRPr="001F03A1">
        <w:rPr>
          <w:rFonts w:ascii="Open Sans" w:hAnsi="Open Sans" w:cs="Open Sans"/>
          <w:color w:val="auto"/>
        </w:rPr>
        <w:t xml:space="preserve">Two other consumers are named in the report in this Requirement, relating to the management of their </w:t>
      </w:r>
      <w:r w:rsidR="00A071F7">
        <w:rPr>
          <w:rFonts w:ascii="Open Sans" w:hAnsi="Open Sans" w:cs="Open Sans"/>
          <w:color w:val="auto"/>
        </w:rPr>
        <w:t xml:space="preserve">changed </w:t>
      </w:r>
      <w:r w:rsidR="009440B8" w:rsidRPr="001F03A1">
        <w:rPr>
          <w:rFonts w:ascii="Open Sans" w:hAnsi="Open Sans" w:cs="Open Sans"/>
          <w:color w:val="auto"/>
        </w:rPr>
        <w:t>behaviours. It is my decision this information is more relevant to be considered in Requirement 3(3)(b).</w:t>
      </w:r>
    </w:p>
    <w:p w14:paraId="3F040C66" w14:textId="3E407736" w:rsidR="005644C8" w:rsidRPr="001F03A1" w:rsidRDefault="00636146" w:rsidP="0026519F">
      <w:pPr>
        <w:pStyle w:val="NormalArial"/>
        <w:rPr>
          <w:rFonts w:ascii="Open Sans" w:hAnsi="Open Sans" w:cs="Open Sans"/>
          <w:color w:val="auto"/>
        </w:rPr>
      </w:pPr>
      <w:r w:rsidRPr="001F03A1">
        <w:rPr>
          <w:rFonts w:ascii="Open Sans" w:hAnsi="Open Sans" w:cs="Open Sans"/>
          <w:color w:val="auto"/>
        </w:rPr>
        <w:t xml:space="preserve">The report states skin assessments are to be completed within 8 hours of a consumer entering the service, with reviews to occur depending on the risk identified. Risk status and pressure injury prevention plans must be communicated during clinical handover and the service did not demonstrate this was occurring. </w:t>
      </w:r>
      <w:r w:rsidR="008F6CFA" w:rsidRPr="001F03A1">
        <w:rPr>
          <w:rFonts w:ascii="Open Sans" w:hAnsi="Open Sans" w:cs="Open Sans"/>
          <w:color w:val="auto"/>
        </w:rPr>
        <w:t xml:space="preserve">A named consumer was included in the report as evidence consumers with comorbidities which increase the risk of pressure </w:t>
      </w:r>
      <w:r w:rsidR="00CF2D17">
        <w:rPr>
          <w:rFonts w:ascii="Open Sans" w:hAnsi="Open Sans" w:cs="Open Sans"/>
          <w:color w:val="auto"/>
        </w:rPr>
        <w:t>injuries</w:t>
      </w:r>
      <w:r w:rsidR="008F6CFA" w:rsidRPr="001F03A1">
        <w:rPr>
          <w:rFonts w:ascii="Open Sans" w:hAnsi="Open Sans" w:cs="Open Sans"/>
          <w:color w:val="auto"/>
        </w:rPr>
        <w:t xml:space="preserve"> are not deemed high risk until a pressure injury is sustained. The Approved provider in its response </w:t>
      </w:r>
      <w:r w:rsidR="0092488E" w:rsidRPr="001F03A1">
        <w:rPr>
          <w:rFonts w:ascii="Open Sans" w:hAnsi="Open Sans" w:cs="Open Sans"/>
          <w:color w:val="auto"/>
        </w:rPr>
        <w:t>states following the identification of a pressure injury for the named consumer, their skin assessment was reflected as a very high risk of developing pressure injuries. The Approved provider noted in its response the skin integrity assessment is inclusive of other factors that may affect the consumer’</w:t>
      </w:r>
      <w:r w:rsidR="00CF2D17">
        <w:rPr>
          <w:rFonts w:ascii="Open Sans" w:hAnsi="Open Sans" w:cs="Open Sans"/>
          <w:color w:val="auto"/>
        </w:rPr>
        <w:t>s</w:t>
      </w:r>
      <w:r w:rsidR="0092488E" w:rsidRPr="001F03A1">
        <w:rPr>
          <w:rFonts w:ascii="Open Sans" w:hAnsi="Open Sans" w:cs="Open Sans"/>
          <w:color w:val="auto"/>
        </w:rPr>
        <w:t xml:space="preserve"> skin </w:t>
      </w:r>
      <w:r w:rsidR="00C2662D" w:rsidRPr="001F03A1">
        <w:rPr>
          <w:rFonts w:ascii="Open Sans" w:hAnsi="Open Sans" w:cs="Open Sans"/>
          <w:color w:val="auto"/>
        </w:rPr>
        <w:t>integrity,</w:t>
      </w:r>
      <w:r w:rsidR="0092488E" w:rsidRPr="001F03A1">
        <w:rPr>
          <w:rFonts w:ascii="Open Sans" w:hAnsi="Open Sans" w:cs="Open Sans"/>
          <w:color w:val="auto"/>
        </w:rPr>
        <w:t xml:space="preserve"> and the risk of developing pressure injures. I am unable to determine with the information to hand, that this example displays a deficit in assessment and planning. </w:t>
      </w:r>
    </w:p>
    <w:p w14:paraId="261F922B" w14:textId="58E6636D" w:rsidR="002448E5" w:rsidRPr="001F03A1" w:rsidRDefault="002448E5" w:rsidP="0026519F">
      <w:pPr>
        <w:pStyle w:val="NormalArial"/>
        <w:rPr>
          <w:rFonts w:ascii="Open Sans" w:hAnsi="Open Sans" w:cs="Open Sans"/>
          <w:color w:val="auto"/>
        </w:rPr>
      </w:pPr>
      <w:r w:rsidRPr="001F03A1">
        <w:rPr>
          <w:rFonts w:ascii="Open Sans" w:hAnsi="Open Sans" w:cs="Open Sans"/>
          <w:color w:val="auto"/>
        </w:rPr>
        <w:t xml:space="preserve">In coming to a decision relating to compliance for this Requirement, I have considered the report alongside evidence submitted in the Approved provider response, and it is my decision the service had effective processes to assess and plan consumer care, as evidenced by the Behaviour management procedure. I will consider the management of wounds and behaviours in my decision for Requirement 3(3)(b). Therefore, it is my decision this Requirement is Compliant. </w:t>
      </w:r>
    </w:p>
    <w:p w14:paraId="2CDD9DF9" w14:textId="77777777" w:rsidR="00D00BE0" w:rsidRDefault="00D00BE0" w:rsidP="0026519F">
      <w:pPr>
        <w:pStyle w:val="NormalArial"/>
        <w:rPr>
          <w:b/>
          <w:bCs/>
          <w:color w:val="auto"/>
        </w:rPr>
      </w:pPr>
    </w:p>
    <w:p w14:paraId="65ADDC5A" w14:textId="77777777" w:rsidR="00D00BE0" w:rsidRDefault="00D00BE0" w:rsidP="0026519F">
      <w:pPr>
        <w:pStyle w:val="NormalArial"/>
        <w:rPr>
          <w:b/>
          <w:bCs/>
          <w:color w:val="auto"/>
        </w:rPr>
      </w:pPr>
    </w:p>
    <w:p w14:paraId="5C49F3E9" w14:textId="4D0220B7" w:rsidR="00B55FD5" w:rsidRDefault="00B55FD5" w:rsidP="0026519F">
      <w:pPr>
        <w:pStyle w:val="NormalArial"/>
        <w:rPr>
          <w:b/>
          <w:bCs/>
          <w:color w:val="auto"/>
        </w:rPr>
      </w:pPr>
      <w:r w:rsidRPr="00B55FD5">
        <w:rPr>
          <w:b/>
          <w:bCs/>
          <w:color w:val="auto"/>
        </w:rPr>
        <w:t>Requirement 2(3)(c)</w:t>
      </w:r>
    </w:p>
    <w:p w14:paraId="58D1CBF5" w14:textId="4D2C9DB4" w:rsidR="005F1C50" w:rsidRDefault="005F1C50" w:rsidP="0026519F">
      <w:pPr>
        <w:pStyle w:val="NormalArial"/>
        <w:rPr>
          <w:rFonts w:ascii="Open Sans" w:hAnsi="Open Sans" w:cs="Open Sans"/>
          <w:color w:val="auto"/>
        </w:rPr>
      </w:pPr>
      <w:r w:rsidRPr="005F1C50">
        <w:rPr>
          <w:rFonts w:ascii="Open Sans" w:hAnsi="Open Sans" w:cs="Open Sans"/>
          <w:color w:val="auto"/>
        </w:rPr>
        <w:t xml:space="preserve">Assessment and planning </w:t>
      </w:r>
      <w:r w:rsidR="00CD6868">
        <w:rPr>
          <w:rFonts w:ascii="Open Sans" w:hAnsi="Open Sans" w:cs="Open Sans"/>
          <w:color w:val="auto"/>
        </w:rPr>
        <w:t>were</w:t>
      </w:r>
      <w:r w:rsidRPr="005F1C50">
        <w:rPr>
          <w:rFonts w:ascii="Open Sans" w:hAnsi="Open Sans" w:cs="Open Sans"/>
          <w:color w:val="auto"/>
        </w:rPr>
        <w:t xml:space="preserve"> completed by staff in partnership with consumers and representatives. Staff contact</w:t>
      </w:r>
      <w:r w:rsidR="00CD6868">
        <w:rPr>
          <w:rFonts w:ascii="Open Sans" w:hAnsi="Open Sans" w:cs="Open Sans"/>
          <w:color w:val="auto"/>
        </w:rPr>
        <w:t>ed</w:t>
      </w:r>
      <w:r w:rsidRPr="005F1C50">
        <w:rPr>
          <w:rFonts w:ascii="Open Sans" w:hAnsi="Open Sans" w:cs="Open Sans"/>
          <w:color w:val="auto"/>
        </w:rPr>
        <w:t xml:space="preserve"> representatives and invite</w:t>
      </w:r>
      <w:r w:rsidR="00DE6CA7">
        <w:rPr>
          <w:rFonts w:ascii="Open Sans" w:hAnsi="Open Sans" w:cs="Open Sans"/>
          <w:color w:val="auto"/>
        </w:rPr>
        <w:t>d</w:t>
      </w:r>
      <w:r w:rsidRPr="005F1C50">
        <w:rPr>
          <w:rFonts w:ascii="Open Sans" w:hAnsi="Open Sans" w:cs="Open Sans"/>
          <w:color w:val="auto"/>
        </w:rPr>
        <w:t xml:space="preserve"> them to care plan reviews and inform</w:t>
      </w:r>
      <w:r w:rsidR="004100B7">
        <w:rPr>
          <w:rFonts w:ascii="Open Sans" w:hAnsi="Open Sans" w:cs="Open Sans"/>
          <w:color w:val="auto"/>
        </w:rPr>
        <w:t>ed</w:t>
      </w:r>
      <w:r w:rsidRPr="005F1C50">
        <w:rPr>
          <w:rFonts w:ascii="Open Sans" w:hAnsi="Open Sans" w:cs="Open Sans"/>
          <w:color w:val="auto"/>
        </w:rPr>
        <w:t xml:space="preserve"> them of all reviews and changes to consumer assessments and care plans. Consumers </w:t>
      </w:r>
      <w:r w:rsidR="004100B7">
        <w:rPr>
          <w:rFonts w:ascii="Open Sans" w:hAnsi="Open Sans" w:cs="Open Sans"/>
          <w:color w:val="auto"/>
        </w:rPr>
        <w:t xml:space="preserve">were </w:t>
      </w:r>
      <w:r w:rsidRPr="005F1C50">
        <w:rPr>
          <w:rFonts w:ascii="Open Sans" w:hAnsi="Open Sans" w:cs="Open Sans"/>
          <w:color w:val="auto"/>
        </w:rPr>
        <w:t xml:space="preserve">provided information on entry regarding family involvement and who they would like to involve in the assessment and reassessment processes. </w:t>
      </w:r>
      <w:r w:rsidR="006E6CD1">
        <w:rPr>
          <w:rFonts w:ascii="Open Sans" w:hAnsi="Open Sans" w:cs="Open Sans"/>
          <w:color w:val="auto"/>
        </w:rPr>
        <w:t xml:space="preserve">Consumers and representatives confirmed </w:t>
      </w:r>
      <w:r w:rsidR="00112AF5">
        <w:rPr>
          <w:rFonts w:ascii="Open Sans" w:hAnsi="Open Sans" w:cs="Open Sans"/>
          <w:color w:val="auto"/>
        </w:rPr>
        <w:t xml:space="preserve">their involvement and the consultation process </w:t>
      </w:r>
      <w:r w:rsidR="00A37FFA">
        <w:rPr>
          <w:rFonts w:ascii="Open Sans" w:hAnsi="Open Sans" w:cs="Open Sans"/>
          <w:color w:val="auto"/>
        </w:rPr>
        <w:t>relating to assessments and changes to consumers’ care needs.</w:t>
      </w:r>
      <w:r w:rsidR="00783017">
        <w:rPr>
          <w:rFonts w:ascii="Open Sans" w:hAnsi="Open Sans" w:cs="Open Sans"/>
          <w:color w:val="auto"/>
        </w:rPr>
        <w:t xml:space="preserve"> </w:t>
      </w:r>
      <w:r w:rsidR="000050CC">
        <w:rPr>
          <w:rFonts w:ascii="Open Sans" w:hAnsi="Open Sans" w:cs="Open Sans"/>
          <w:color w:val="auto"/>
        </w:rPr>
        <w:t xml:space="preserve">Referrals were completed </w:t>
      </w:r>
      <w:r w:rsidR="00550E2E">
        <w:rPr>
          <w:rFonts w:ascii="Open Sans" w:hAnsi="Open Sans" w:cs="Open Sans"/>
          <w:color w:val="auto"/>
        </w:rPr>
        <w:t xml:space="preserve">to allied health professionals if they were required to be involved </w:t>
      </w:r>
      <w:r w:rsidR="009F5835">
        <w:rPr>
          <w:rFonts w:ascii="Open Sans" w:hAnsi="Open Sans" w:cs="Open Sans"/>
          <w:color w:val="auto"/>
        </w:rPr>
        <w:t xml:space="preserve">in the care of consumers. </w:t>
      </w:r>
      <w:r w:rsidRPr="005F1C50">
        <w:rPr>
          <w:rFonts w:ascii="Open Sans" w:hAnsi="Open Sans" w:cs="Open Sans"/>
          <w:color w:val="auto"/>
        </w:rPr>
        <w:t>The organisation ha</w:t>
      </w:r>
      <w:r w:rsidR="00114EF8">
        <w:rPr>
          <w:rFonts w:ascii="Open Sans" w:hAnsi="Open Sans" w:cs="Open Sans"/>
          <w:color w:val="auto"/>
        </w:rPr>
        <w:t>d</w:t>
      </w:r>
      <w:r w:rsidRPr="005F1C50">
        <w:rPr>
          <w:rFonts w:ascii="Open Sans" w:hAnsi="Open Sans" w:cs="Open Sans"/>
          <w:color w:val="auto"/>
        </w:rPr>
        <w:t xml:space="preserve"> policies to inform staff of the process of completing assessments in partnership with consumers and representatives.</w:t>
      </w:r>
    </w:p>
    <w:p w14:paraId="069D4907" w14:textId="5B8F8FD5" w:rsidR="00E13184" w:rsidRPr="005F1C50" w:rsidRDefault="00E13184" w:rsidP="0026519F">
      <w:pPr>
        <w:pStyle w:val="NormalArial"/>
        <w:rPr>
          <w:rFonts w:ascii="Open Sans" w:hAnsi="Open Sans" w:cs="Open Sans"/>
          <w:color w:val="auto"/>
        </w:rPr>
      </w:pPr>
      <w:r>
        <w:rPr>
          <w:rFonts w:ascii="Open Sans" w:hAnsi="Open Sans" w:cs="Open Sans"/>
          <w:color w:val="auto"/>
        </w:rPr>
        <w:t>Based on the above informat</w:t>
      </w:r>
      <w:r w:rsidR="00321386">
        <w:rPr>
          <w:rFonts w:ascii="Open Sans" w:hAnsi="Open Sans" w:cs="Open Sans"/>
          <w:color w:val="auto"/>
        </w:rPr>
        <w:t xml:space="preserve">ion, it is my decision this Requirement is Compliant. </w:t>
      </w:r>
    </w:p>
    <w:p w14:paraId="5BC3BF13" w14:textId="0F121180" w:rsidR="006A32D5" w:rsidRPr="0026519F" w:rsidRDefault="006A32D5" w:rsidP="0026519F">
      <w:pPr>
        <w:pStyle w:val="NormalArial"/>
      </w:pPr>
      <w:r w:rsidRPr="0026519F">
        <w:br w:type="page"/>
      </w:r>
    </w:p>
    <w:bookmarkEnd w:id="2"/>
    <w:p w14:paraId="7F86349C" w14:textId="77777777" w:rsidR="006A32D5" w:rsidRPr="001E694D" w:rsidRDefault="006A32D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106772" w14:paraId="3738EB98" w14:textId="77777777" w:rsidTr="00EA2A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5A9D3669" w14:textId="77777777" w:rsidR="006A32D5" w:rsidRPr="001E694D" w:rsidRDefault="006A32D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5C3D5028" w14:textId="77777777" w:rsidR="006A32D5" w:rsidRPr="001E694D" w:rsidRDefault="006A32D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06772" w14:paraId="6E5E8AAB" w14:textId="77777777" w:rsidTr="00EA2A5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278C50" w14:textId="77777777" w:rsidR="006A32D5" w:rsidRPr="001E694D" w:rsidRDefault="006A32D5"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293E9AA0" w14:textId="77777777" w:rsidR="006A32D5" w:rsidRPr="001E694D" w:rsidRDefault="006A3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61BEC37D" w14:textId="1B0C177B" w:rsidR="006A32D5" w:rsidRPr="001E694D" w:rsidRDefault="00994E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82821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03F61">
                  <w:rPr>
                    <w:rFonts w:ascii="Open Sans" w:hAnsi="Open Sans" w:cs="Open Sans"/>
                    <w:color w:val="auto"/>
                  </w:rPr>
                  <w:t>Not Compliant</w:t>
                </w:r>
              </w:sdtContent>
            </w:sdt>
          </w:p>
        </w:tc>
      </w:tr>
    </w:tbl>
    <w:p w14:paraId="56F41862" w14:textId="77777777" w:rsidR="006A32D5" w:rsidRDefault="006A32D5" w:rsidP="00D87E7C">
      <w:pPr>
        <w:pStyle w:val="Heading20"/>
        <w:rPr>
          <w:rFonts w:ascii="Open Sans" w:hAnsi="Open Sans" w:cs="Open Sans"/>
          <w:color w:val="781E77"/>
        </w:rPr>
      </w:pPr>
      <w:r w:rsidRPr="003E162B">
        <w:rPr>
          <w:rFonts w:ascii="Open Sans" w:hAnsi="Open Sans" w:cs="Open Sans"/>
          <w:color w:val="781E77"/>
        </w:rPr>
        <w:t>Findings</w:t>
      </w:r>
    </w:p>
    <w:p w14:paraId="5F54333E" w14:textId="5ECCB22A" w:rsidR="00DD76F7" w:rsidRPr="00107ECB" w:rsidRDefault="00E94486" w:rsidP="00D87E7C">
      <w:pPr>
        <w:pStyle w:val="Heading20"/>
        <w:rPr>
          <w:rFonts w:ascii="Open Sans" w:hAnsi="Open Sans" w:cs="Open Sans"/>
          <w:b w:val="0"/>
          <w:bCs w:val="0"/>
          <w:color w:val="auto"/>
        </w:rPr>
      </w:pPr>
      <w:r>
        <w:rPr>
          <w:rFonts w:ascii="Open Sans" w:hAnsi="Open Sans" w:cs="Open Sans"/>
          <w:b w:val="0"/>
          <w:bCs w:val="0"/>
          <w:color w:val="auto"/>
        </w:rPr>
        <w:t>H</w:t>
      </w:r>
      <w:r w:rsidR="00107ECB" w:rsidRPr="00107ECB">
        <w:rPr>
          <w:rFonts w:ascii="Open Sans" w:hAnsi="Open Sans" w:cs="Open Sans"/>
          <w:b w:val="0"/>
          <w:bCs w:val="0"/>
          <w:color w:val="auto"/>
        </w:rPr>
        <w:t xml:space="preserve">igh impact </w:t>
      </w:r>
      <w:r w:rsidR="00107ECB">
        <w:rPr>
          <w:rFonts w:ascii="Open Sans" w:hAnsi="Open Sans" w:cs="Open Sans"/>
          <w:b w:val="0"/>
          <w:bCs w:val="0"/>
          <w:color w:val="auto"/>
        </w:rPr>
        <w:t>risk</w:t>
      </w:r>
      <w:r w:rsidR="0006140E">
        <w:rPr>
          <w:rFonts w:ascii="Open Sans" w:hAnsi="Open Sans" w:cs="Open Sans"/>
          <w:b w:val="0"/>
          <w:bCs w:val="0"/>
          <w:color w:val="auto"/>
        </w:rPr>
        <w:t>s</w:t>
      </w:r>
      <w:r w:rsidR="00107ECB">
        <w:rPr>
          <w:rFonts w:ascii="Open Sans" w:hAnsi="Open Sans" w:cs="Open Sans"/>
          <w:b w:val="0"/>
          <w:bCs w:val="0"/>
          <w:color w:val="auto"/>
        </w:rPr>
        <w:t xml:space="preserve"> </w:t>
      </w:r>
      <w:r>
        <w:rPr>
          <w:rFonts w:ascii="Open Sans" w:hAnsi="Open Sans" w:cs="Open Sans"/>
          <w:b w:val="0"/>
          <w:bCs w:val="0"/>
          <w:color w:val="auto"/>
        </w:rPr>
        <w:t xml:space="preserve">to consumers </w:t>
      </w:r>
      <w:r w:rsidR="00BA784C">
        <w:rPr>
          <w:rFonts w:ascii="Open Sans" w:hAnsi="Open Sans" w:cs="Open Sans"/>
          <w:b w:val="0"/>
          <w:bCs w:val="0"/>
          <w:color w:val="auto"/>
        </w:rPr>
        <w:t xml:space="preserve">such as </w:t>
      </w:r>
      <w:r w:rsidR="00107ECB">
        <w:rPr>
          <w:rFonts w:ascii="Open Sans" w:hAnsi="Open Sans" w:cs="Open Sans"/>
          <w:b w:val="0"/>
          <w:bCs w:val="0"/>
          <w:color w:val="auto"/>
        </w:rPr>
        <w:t>pressure in</w:t>
      </w:r>
      <w:r w:rsidR="0006140E">
        <w:rPr>
          <w:rFonts w:ascii="Open Sans" w:hAnsi="Open Sans" w:cs="Open Sans"/>
          <w:b w:val="0"/>
          <w:bCs w:val="0"/>
          <w:color w:val="auto"/>
        </w:rPr>
        <w:t xml:space="preserve">juries, wound care and behaviour management were not effectively managed. </w:t>
      </w:r>
      <w:r w:rsidR="00522A42">
        <w:rPr>
          <w:rFonts w:ascii="Open Sans" w:hAnsi="Open Sans" w:cs="Open Sans"/>
          <w:b w:val="0"/>
          <w:bCs w:val="0"/>
          <w:color w:val="auto"/>
        </w:rPr>
        <w:t xml:space="preserve">A pressure injury was not identified prior to it being unstageable. </w:t>
      </w:r>
      <w:r w:rsidR="00A96E42">
        <w:rPr>
          <w:rFonts w:ascii="Open Sans" w:hAnsi="Open Sans" w:cs="Open Sans"/>
          <w:b w:val="0"/>
          <w:bCs w:val="0"/>
          <w:color w:val="auto"/>
        </w:rPr>
        <w:t xml:space="preserve">A consumer with a chronic complex wound did not have wound care provided as prescribed. </w:t>
      </w:r>
      <w:r w:rsidR="009219C1">
        <w:rPr>
          <w:rFonts w:ascii="Open Sans" w:hAnsi="Open Sans" w:cs="Open Sans"/>
          <w:b w:val="0"/>
          <w:bCs w:val="0"/>
          <w:color w:val="auto"/>
        </w:rPr>
        <w:t xml:space="preserve">Interventions to assist in the management of changed behaviours were not </w:t>
      </w:r>
      <w:r w:rsidR="00BA784C">
        <w:rPr>
          <w:rFonts w:ascii="Open Sans" w:hAnsi="Open Sans" w:cs="Open Sans"/>
          <w:b w:val="0"/>
          <w:bCs w:val="0"/>
          <w:color w:val="auto"/>
        </w:rPr>
        <w:t>evaluated</w:t>
      </w:r>
      <w:r w:rsidR="007D01E9">
        <w:rPr>
          <w:rFonts w:ascii="Open Sans" w:hAnsi="Open Sans" w:cs="Open Sans"/>
          <w:b w:val="0"/>
          <w:bCs w:val="0"/>
          <w:color w:val="auto"/>
        </w:rPr>
        <w:t xml:space="preserve"> for their effectiveness, triggers for changed behaviours </w:t>
      </w:r>
      <w:r w:rsidR="008C6653">
        <w:rPr>
          <w:rFonts w:ascii="Open Sans" w:hAnsi="Open Sans" w:cs="Open Sans"/>
          <w:b w:val="0"/>
          <w:bCs w:val="0"/>
          <w:color w:val="auto"/>
        </w:rPr>
        <w:t xml:space="preserve">were not recorded to assist in decreasing the </w:t>
      </w:r>
      <w:r w:rsidR="009972B9">
        <w:rPr>
          <w:rFonts w:ascii="Open Sans" w:hAnsi="Open Sans" w:cs="Open Sans"/>
          <w:b w:val="0"/>
          <w:bCs w:val="0"/>
          <w:color w:val="auto"/>
        </w:rPr>
        <w:t>recurrence</w:t>
      </w:r>
      <w:r w:rsidR="008C6653">
        <w:rPr>
          <w:rFonts w:ascii="Open Sans" w:hAnsi="Open Sans" w:cs="Open Sans"/>
          <w:b w:val="0"/>
          <w:bCs w:val="0"/>
          <w:color w:val="auto"/>
        </w:rPr>
        <w:t xml:space="preserve"> of the changed behaviours</w:t>
      </w:r>
      <w:r w:rsidR="004C1CE2">
        <w:rPr>
          <w:rFonts w:ascii="Open Sans" w:hAnsi="Open Sans" w:cs="Open Sans"/>
          <w:b w:val="0"/>
          <w:bCs w:val="0"/>
          <w:color w:val="auto"/>
        </w:rPr>
        <w:t xml:space="preserve">. </w:t>
      </w:r>
    </w:p>
    <w:p w14:paraId="453D10A0" w14:textId="5721A4DD" w:rsidR="005C304C" w:rsidRDefault="006A4954" w:rsidP="0036130C">
      <w:pPr>
        <w:pStyle w:val="NormalArial"/>
        <w:rPr>
          <w:rFonts w:ascii="Open Sans" w:hAnsi="Open Sans" w:cs="Open Sans"/>
        </w:rPr>
      </w:pPr>
      <w:r>
        <w:rPr>
          <w:rFonts w:ascii="Open Sans" w:hAnsi="Open Sans" w:cs="Open Sans"/>
        </w:rPr>
        <w:t xml:space="preserve">Wound </w:t>
      </w:r>
      <w:r w:rsidR="0012199E">
        <w:rPr>
          <w:rFonts w:ascii="Open Sans" w:hAnsi="Open Sans" w:cs="Open Sans"/>
        </w:rPr>
        <w:t xml:space="preserve">and skin </w:t>
      </w:r>
      <w:r>
        <w:rPr>
          <w:rFonts w:ascii="Open Sans" w:hAnsi="Open Sans" w:cs="Open Sans"/>
        </w:rPr>
        <w:t>care</w:t>
      </w:r>
      <w:r w:rsidR="0012199E">
        <w:rPr>
          <w:rFonts w:ascii="Open Sans" w:hAnsi="Open Sans" w:cs="Open Sans"/>
        </w:rPr>
        <w:t xml:space="preserve"> </w:t>
      </w:r>
      <w:r>
        <w:rPr>
          <w:rFonts w:ascii="Open Sans" w:hAnsi="Open Sans" w:cs="Open Sans"/>
        </w:rPr>
        <w:t xml:space="preserve">was not </w:t>
      </w:r>
      <w:r w:rsidR="0012199E">
        <w:rPr>
          <w:rFonts w:ascii="Open Sans" w:hAnsi="Open Sans" w:cs="Open Sans"/>
        </w:rPr>
        <w:t xml:space="preserve">effective for two named consumers. </w:t>
      </w:r>
      <w:r w:rsidR="0003128C">
        <w:rPr>
          <w:rFonts w:ascii="Open Sans" w:hAnsi="Open Sans" w:cs="Open Sans"/>
        </w:rPr>
        <w:t>For one named consumer a</w:t>
      </w:r>
      <w:r w:rsidR="00604FAF">
        <w:rPr>
          <w:rFonts w:ascii="Open Sans" w:hAnsi="Open Sans" w:cs="Open Sans"/>
        </w:rPr>
        <w:t xml:space="preserve"> p</w:t>
      </w:r>
      <w:r w:rsidR="0003128C">
        <w:rPr>
          <w:rFonts w:ascii="Open Sans" w:hAnsi="Open Sans" w:cs="Open Sans"/>
        </w:rPr>
        <w:t xml:space="preserve">ressure injury </w:t>
      </w:r>
      <w:r w:rsidR="00206C45">
        <w:rPr>
          <w:rFonts w:ascii="Open Sans" w:hAnsi="Open Sans" w:cs="Open Sans"/>
        </w:rPr>
        <w:t xml:space="preserve">to their heel </w:t>
      </w:r>
      <w:r w:rsidR="0003128C">
        <w:rPr>
          <w:rFonts w:ascii="Open Sans" w:hAnsi="Open Sans" w:cs="Open Sans"/>
        </w:rPr>
        <w:t xml:space="preserve">was </w:t>
      </w:r>
      <w:r w:rsidR="00F57E0C">
        <w:rPr>
          <w:rFonts w:ascii="Open Sans" w:hAnsi="Open Sans" w:cs="Open Sans"/>
        </w:rPr>
        <w:t xml:space="preserve">not </w:t>
      </w:r>
      <w:r w:rsidR="0003128C">
        <w:rPr>
          <w:rFonts w:ascii="Open Sans" w:hAnsi="Open Sans" w:cs="Open Sans"/>
        </w:rPr>
        <w:t xml:space="preserve">detected </w:t>
      </w:r>
      <w:r w:rsidR="00604FAF">
        <w:rPr>
          <w:rFonts w:ascii="Open Sans" w:hAnsi="Open Sans" w:cs="Open Sans"/>
        </w:rPr>
        <w:t>until it was unstageable, despite the consumer requi</w:t>
      </w:r>
      <w:r w:rsidR="00206C45">
        <w:rPr>
          <w:rFonts w:ascii="Open Sans" w:hAnsi="Open Sans" w:cs="Open Sans"/>
        </w:rPr>
        <w:t xml:space="preserve">ring full assistance with their hygiene cares. </w:t>
      </w:r>
      <w:r w:rsidR="00200702">
        <w:rPr>
          <w:rFonts w:ascii="Open Sans" w:hAnsi="Open Sans" w:cs="Open Sans"/>
        </w:rPr>
        <w:t xml:space="preserve">Progress note entries relating to </w:t>
      </w:r>
      <w:r w:rsidR="007A47BA">
        <w:rPr>
          <w:rFonts w:ascii="Open Sans" w:hAnsi="Open Sans" w:cs="Open Sans"/>
        </w:rPr>
        <w:t xml:space="preserve">pressure area and </w:t>
      </w:r>
      <w:r w:rsidR="00200702">
        <w:rPr>
          <w:rFonts w:ascii="Open Sans" w:hAnsi="Open Sans" w:cs="Open Sans"/>
        </w:rPr>
        <w:t xml:space="preserve">hygiene cares completed </w:t>
      </w:r>
      <w:r w:rsidR="004A0EBB">
        <w:rPr>
          <w:rFonts w:ascii="Open Sans" w:hAnsi="Open Sans" w:cs="Open Sans"/>
        </w:rPr>
        <w:t xml:space="preserve">prior </w:t>
      </w:r>
      <w:r w:rsidR="005C4F86">
        <w:rPr>
          <w:rFonts w:ascii="Open Sans" w:hAnsi="Open Sans" w:cs="Open Sans"/>
        </w:rPr>
        <w:t>to</w:t>
      </w:r>
      <w:r w:rsidR="00200702">
        <w:rPr>
          <w:rFonts w:ascii="Open Sans" w:hAnsi="Open Sans" w:cs="Open Sans"/>
        </w:rPr>
        <w:t xml:space="preserve"> the pressure injury </w:t>
      </w:r>
      <w:r w:rsidR="005C4F86">
        <w:rPr>
          <w:rFonts w:ascii="Open Sans" w:hAnsi="Open Sans" w:cs="Open Sans"/>
        </w:rPr>
        <w:t>being</w:t>
      </w:r>
      <w:r w:rsidR="00200702">
        <w:rPr>
          <w:rFonts w:ascii="Open Sans" w:hAnsi="Open Sans" w:cs="Open Sans"/>
        </w:rPr>
        <w:t xml:space="preserve"> detected did not </w:t>
      </w:r>
      <w:r w:rsidR="00373A68">
        <w:rPr>
          <w:rFonts w:ascii="Open Sans" w:hAnsi="Open Sans" w:cs="Open Sans"/>
        </w:rPr>
        <w:t>i</w:t>
      </w:r>
      <w:r w:rsidR="00EA2158">
        <w:rPr>
          <w:rFonts w:ascii="Open Sans" w:hAnsi="Open Sans" w:cs="Open Sans"/>
        </w:rPr>
        <w:t xml:space="preserve">dentify any </w:t>
      </w:r>
      <w:r w:rsidR="00C86EFE">
        <w:rPr>
          <w:rFonts w:ascii="Open Sans" w:hAnsi="Open Sans" w:cs="Open Sans"/>
        </w:rPr>
        <w:t xml:space="preserve">impairments to the consumer’s </w:t>
      </w:r>
      <w:r w:rsidR="00B80E1A">
        <w:rPr>
          <w:rFonts w:ascii="Open Sans" w:hAnsi="Open Sans" w:cs="Open Sans"/>
        </w:rPr>
        <w:t xml:space="preserve">skin. </w:t>
      </w:r>
      <w:r w:rsidR="009972B9">
        <w:rPr>
          <w:rFonts w:ascii="Open Sans" w:hAnsi="Open Sans" w:cs="Open Sans"/>
        </w:rPr>
        <w:t xml:space="preserve">Once identified </w:t>
      </w:r>
      <w:r w:rsidR="00260C89">
        <w:rPr>
          <w:rFonts w:ascii="Open Sans" w:hAnsi="Open Sans" w:cs="Open Sans"/>
        </w:rPr>
        <w:t xml:space="preserve">the consumer was referred to the medical officer and </w:t>
      </w:r>
      <w:r w:rsidR="00775ACA">
        <w:rPr>
          <w:rFonts w:ascii="Open Sans" w:hAnsi="Open Sans" w:cs="Open Sans"/>
        </w:rPr>
        <w:t>o</w:t>
      </w:r>
      <w:r w:rsidR="009831DE">
        <w:rPr>
          <w:rFonts w:ascii="Open Sans" w:hAnsi="Open Sans" w:cs="Open Sans"/>
        </w:rPr>
        <w:t>ccupational therapist</w:t>
      </w:r>
      <w:r w:rsidR="0093447F">
        <w:rPr>
          <w:rFonts w:ascii="Open Sans" w:hAnsi="Open Sans" w:cs="Open Sans"/>
        </w:rPr>
        <w:t xml:space="preserve">, </w:t>
      </w:r>
      <w:r w:rsidR="00775ACA">
        <w:rPr>
          <w:rFonts w:ascii="Open Sans" w:hAnsi="Open Sans" w:cs="Open Sans"/>
        </w:rPr>
        <w:t xml:space="preserve">however, </w:t>
      </w:r>
      <w:r w:rsidR="0093447F">
        <w:rPr>
          <w:rFonts w:ascii="Open Sans" w:hAnsi="Open Sans" w:cs="Open Sans"/>
        </w:rPr>
        <w:t>the cause of the del</w:t>
      </w:r>
      <w:r w:rsidR="002A23EF">
        <w:rPr>
          <w:rFonts w:ascii="Open Sans" w:hAnsi="Open Sans" w:cs="Open Sans"/>
        </w:rPr>
        <w:t>a</w:t>
      </w:r>
      <w:r w:rsidR="0093447F">
        <w:rPr>
          <w:rFonts w:ascii="Open Sans" w:hAnsi="Open Sans" w:cs="Open Sans"/>
        </w:rPr>
        <w:t>y in detecting the pressure injury is unknow</w:t>
      </w:r>
      <w:r w:rsidR="002A23EF">
        <w:rPr>
          <w:rFonts w:ascii="Open Sans" w:hAnsi="Open Sans" w:cs="Open Sans"/>
        </w:rPr>
        <w:t>n.</w:t>
      </w:r>
      <w:r w:rsidR="007A6723">
        <w:rPr>
          <w:rFonts w:ascii="Open Sans" w:hAnsi="Open Sans" w:cs="Open Sans"/>
        </w:rPr>
        <w:t xml:space="preserve"> The Approved </w:t>
      </w:r>
      <w:r w:rsidR="005078B0">
        <w:rPr>
          <w:rFonts w:ascii="Open Sans" w:hAnsi="Open Sans" w:cs="Open Sans"/>
        </w:rPr>
        <w:t xml:space="preserve">provider’s response to the report </w:t>
      </w:r>
      <w:r w:rsidR="00AB6195">
        <w:rPr>
          <w:rFonts w:ascii="Open Sans" w:hAnsi="Open Sans" w:cs="Open Sans"/>
        </w:rPr>
        <w:t>did not evide</w:t>
      </w:r>
      <w:r w:rsidR="00FF3C2C">
        <w:rPr>
          <w:rFonts w:ascii="Open Sans" w:hAnsi="Open Sans" w:cs="Open Sans"/>
        </w:rPr>
        <w:t xml:space="preserve">nce </w:t>
      </w:r>
      <w:r w:rsidR="00EA0BA3">
        <w:rPr>
          <w:rFonts w:ascii="Open Sans" w:hAnsi="Open Sans" w:cs="Open Sans"/>
        </w:rPr>
        <w:t xml:space="preserve">a cause </w:t>
      </w:r>
      <w:r w:rsidR="00822FDF">
        <w:rPr>
          <w:rFonts w:ascii="Open Sans" w:hAnsi="Open Sans" w:cs="Open Sans"/>
        </w:rPr>
        <w:t>for the delay in the pressure injury detection</w:t>
      </w:r>
      <w:r w:rsidR="004D51AE">
        <w:rPr>
          <w:rFonts w:ascii="Open Sans" w:hAnsi="Open Sans" w:cs="Open Sans"/>
        </w:rPr>
        <w:t xml:space="preserve">, but noted immediate action was taken </w:t>
      </w:r>
      <w:r w:rsidR="00912ED5">
        <w:rPr>
          <w:rFonts w:ascii="Open Sans" w:hAnsi="Open Sans" w:cs="Open Sans"/>
        </w:rPr>
        <w:t xml:space="preserve">once the pressure injury was reported. </w:t>
      </w:r>
      <w:r w:rsidR="00D94EE6">
        <w:rPr>
          <w:rFonts w:ascii="Open Sans" w:hAnsi="Open Sans" w:cs="Open Sans"/>
        </w:rPr>
        <w:t xml:space="preserve">Improvement actions were not included in the Approved provider’s response in relation to </w:t>
      </w:r>
      <w:r w:rsidR="00FC7DF8">
        <w:rPr>
          <w:rFonts w:ascii="Open Sans" w:hAnsi="Open Sans" w:cs="Open Sans"/>
        </w:rPr>
        <w:t>the early detection of pressure injuries.</w:t>
      </w:r>
    </w:p>
    <w:p w14:paraId="228AD8CA" w14:textId="7583A76E" w:rsidR="00025913" w:rsidRDefault="005C304C" w:rsidP="0036130C">
      <w:pPr>
        <w:pStyle w:val="NormalArial"/>
        <w:rPr>
          <w:rFonts w:ascii="Open Sans" w:hAnsi="Open Sans" w:cs="Open Sans"/>
        </w:rPr>
      </w:pPr>
      <w:r>
        <w:rPr>
          <w:rFonts w:ascii="Open Sans" w:hAnsi="Open Sans" w:cs="Open Sans"/>
        </w:rPr>
        <w:t>For a second named consumer with a chronic wound</w:t>
      </w:r>
      <w:r w:rsidR="00A839F7">
        <w:rPr>
          <w:rFonts w:ascii="Open Sans" w:hAnsi="Open Sans" w:cs="Open Sans"/>
        </w:rPr>
        <w:t>, wound charting did</w:t>
      </w:r>
      <w:r w:rsidR="00247A6F">
        <w:rPr>
          <w:rFonts w:ascii="Open Sans" w:hAnsi="Open Sans" w:cs="Open Sans"/>
        </w:rPr>
        <w:t xml:space="preserve"> </w:t>
      </w:r>
      <w:r w:rsidR="00A839F7">
        <w:rPr>
          <w:rFonts w:ascii="Open Sans" w:hAnsi="Open Sans" w:cs="Open Sans"/>
        </w:rPr>
        <w:t>not demo</w:t>
      </w:r>
      <w:r w:rsidR="00247A6F">
        <w:rPr>
          <w:rFonts w:ascii="Open Sans" w:hAnsi="Open Sans" w:cs="Open Sans"/>
        </w:rPr>
        <w:t>nstrate wo</w:t>
      </w:r>
      <w:r w:rsidR="00845350">
        <w:rPr>
          <w:rFonts w:ascii="Open Sans" w:hAnsi="Open Sans" w:cs="Open Sans"/>
        </w:rPr>
        <w:t xml:space="preserve">und care </w:t>
      </w:r>
      <w:r w:rsidR="003D16EB">
        <w:rPr>
          <w:rFonts w:ascii="Open Sans" w:hAnsi="Open Sans" w:cs="Open Sans"/>
        </w:rPr>
        <w:t xml:space="preserve">was attended to as prescribed. </w:t>
      </w:r>
      <w:r w:rsidR="005D1A39">
        <w:rPr>
          <w:rFonts w:ascii="Open Sans" w:hAnsi="Open Sans" w:cs="Open Sans"/>
        </w:rPr>
        <w:t xml:space="preserve">Records do not support second daily wound care was </w:t>
      </w:r>
      <w:r w:rsidR="00C85C37">
        <w:rPr>
          <w:rFonts w:ascii="Open Sans" w:hAnsi="Open Sans" w:cs="Open Sans"/>
        </w:rPr>
        <w:t xml:space="preserve">attended for a period of 8 </w:t>
      </w:r>
      <w:r w:rsidR="00183FF0">
        <w:rPr>
          <w:rFonts w:ascii="Open Sans" w:hAnsi="Open Sans" w:cs="Open Sans"/>
        </w:rPr>
        <w:t xml:space="preserve">during </w:t>
      </w:r>
      <w:r w:rsidR="00C85C37">
        <w:rPr>
          <w:rFonts w:ascii="Open Sans" w:hAnsi="Open Sans" w:cs="Open Sans"/>
        </w:rPr>
        <w:t xml:space="preserve">January 2025. </w:t>
      </w:r>
      <w:r w:rsidR="00B1325B">
        <w:rPr>
          <w:rFonts w:ascii="Open Sans" w:hAnsi="Open Sans" w:cs="Open Sans"/>
        </w:rPr>
        <w:t>The Approved provider’s response to f</w:t>
      </w:r>
      <w:r w:rsidR="00A77199">
        <w:rPr>
          <w:rFonts w:ascii="Open Sans" w:hAnsi="Open Sans" w:cs="Open Sans"/>
        </w:rPr>
        <w:t xml:space="preserve">eedback </w:t>
      </w:r>
      <w:r w:rsidR="00B1325B">
        <w:rPr>
          <w:rFonts w:ascii="Open Sans" w:hAnsi="Open Sans" w:cs="Open Sans"/>
        </w:rPr>
        <w:t>delivered</w:t>
      </w:r>
      <w:r w:rsidR="00A77199">
        <w:rPr>
          <w:rFonts w:ascii="Open Sans" w:hAnsi="Open Sans" w:cs="Open Sans"/>
        </w:rPr>
        <w:t xml:space="preserve"> during the Assessment contact visit </w:t>
      </w:r>
      <w:r w:rsidR="00E5512E">
        <w:rPr>
          <w:rFonts w:ascii="Open Sans" w:hAnsi="Open Sans" w:cs="Open Sans"/>
        </w:rPr>
        <w:t xml:space="preserve">was </w:t>
      </w:r>
      <w:r w:rsidR="00A77199">
        <w:rPr>
          <w:rFonts w:ascii="Open Sans" w:hAnsi="Open Sans" w:cs="Open Sans"/>
        </w:rPr>
        <w:t>that temporary staff</w:t>
      </w:r>
      <w:r w:rsidR="0073212F">
        <w:rPr>
          <w:rFonts w:ascii="Open Sans" w:hAnsi="Open Sans" w:cs="Open Sans"/>
        </w:rPr>
        <w:t xml:space="preserve"> were working during that period</w:t>
      </w:r>
      <w:r w:rsidR="006A0E82">
        <w:rPr>
          <w:rFonts w:ascii="Open Sans" w:hAnsi="Open Sans" w:cs="Open Sans"/>
        </w:rPr>
        <w:t>,</w:t>
      </w:r>
      <w:r w:rsidR="0073212F">
        <w:rPr>
          <w:rFonts w:ascii="Open Sans" w:hAnsi="Open Sans" w:cs="Open Sans"/>
        </w:rPr>
        <w:t xml:space="preserve"> and the wound was not attended. </w:t>
      </w:r>
      <w:r w:rsidR="00E3421C">
        <w:rPr>
          <w:rFonts w:ascii="Open Sans" w:hAnsi="Open Sans" w:cs="Open Sans"/>
        </w:rPr>
        <w:t xml:space="preserve">The report contained information there </w:t>
      </w:r>
      <w:r w:rsidR="00886825">
        <w:rPr>
          <w:rFonts w:ascii="Open Sans" w:hAnsi="Open Sans" w:cs="Open Sans"/>
        </w:rPr>
        <w:t>was a delay in the review of the named consumer’s wo</w:t>
      </w:r>
      <w:r w:rsidR="0053794C">
        <w:rPr>
          <w:rFonts w:ascii="Open Sans" w:hAnsi="Open Sans" w:cs="Open Sans"/>
        </w:rPr>
        <w:t>und following deterioration</w:t>
      </w:r>
      <w:r w:rsidR="006600FF">
        <w:rPr>
          <w:rFonts w:ascii="Open Sans" w:hAnsi="Open Sans" w:cs="Open Sans"/>
        </w:rPr>
        <w:t xml:space="preserve"> identified </w:t>
      </w:r>
      <w:r w:rsidR="00A5786E">
        <w:rPr>
          <w:rFonts w:ascii="Open Sans" w:hAnsi="Open Sans" w:cs="Open Sans"/>
        </w:rPr>
        <w:t>on 6 January 2025</w:t>
      </w:r>
      <w:r w:rsidR="002F70C5">
        <w:rPr>
          <w:rFonts w:ascii="Open Sans" w:hAnsi="Open Sans" w:cs="Open Sans"/>
        </w:rPr>
        <w:t>, until a Nurse practitioner reviewed the wound 14 January 2025</w:t>
      </w:r>
      <w:r w:rsidR="00D63A20">
        <w:rPr>
          <w:rFonts w:ascii="Open Sans" w:hAnsi="Open Sans" w:cs="Open Sans"/>
        </w:rPr>
        <w:t xml:space="preserve">. This information was refuted by the Approved provider’s response </w:t>
      </w:r>
      <w:r w:rsidR="0002561A">
        <w:rPr>
          <w:rFonts w:ascii="Open Sans" w:hAnsi="Open Sans" w:cs="Open Sans"/>
        </w:rPr>
        <w:t xml:space="preserve">and documentation was submitted to support the service had referred </w:t>
      </w:r>
      <w:r w:rsidR="00F2732D">
        <w:rPr>
          <w:rFonts w:ascii="Open Sans" w:hAnsi="Open Sans" w:cs="Open Sans"/>
        </w:rPr>
        <w:t>the consumer for a wound review when deterioration was noted</w:t>
      </w:r>
      <w:r w:rsidR="007464FA">
        <w:rPr>
          <w:rFonts w:ascii="Open Sans" w:hAnsi="Open Sans" w:cs="Open Sans"/>
        </w:rPr>
        <w:t xml:space="preserve"> </w:t>
      </w:r>
      <w:r w:rsidR="00DF07EC">
        <w:rPr>
          <w:rFonts w:ascii="Open Sans" w:hAnsi="Open Sans" w:cs="Open Sans"/>
        </w:rPr>
        <w:t>on 31 December 2024</w:t>
      </w:r>
      <w:r w:rsidR="00B92065">
        <w:rPr>
          <w:rFonts w:ascii="Open Sans" w:hAnsi="Open Sans" w:cs="Open Sans"/>
        </w:rPr>
        <w:t xml:space="preserve">, and the wound </w:t>
      </w:r>
      <w:r w:rsidR="00D61D6C">
        <w:rPr>
          <w:rFonts w:ascii="Open Sans" w:hAnsi="Open Sans" w:cs="Open Sans"/>
        </w:rPr>
        <w:t xml:space="preserve">photographs </w:t>
      </w:r>
      <w:r w:rsidR="00B92065">
        <w:rPr>
          <w:rFonts w:ascii="Open Sans" w:hAnsi="Open Sans" w:cs="Open Sans"/>
        </w:rPr>
        <w:t>w</w:t>
      </w:r>
      <w:r w:rsidR="006A0E82">
        <w:rPr>
          <w:rFonts w:ascii="Open Sans" w:hAnsi="Open Sans" w:cs="Open Sans"/>
        </w:rPr>
        <w:t>ere</w:t>
      </w:r>
      <w:r w:rsidR="00B92065">
        <w:rPr>
          <w:rFonts w:ascii="Open Sans" w:hAnsi="Open Sans" w:cs="Open Sans"/>
        </w:rPr>
        <w:t xml:space="preserve"> reviewed </w:t>
      </w:r>
      <w:r w:rsidR="00EA2D00">
        <w:rPr>
          <w:rFonts w:ascii="Open Sans" w:hAnsi="Open Sans" w:cs="Open Sans"/>
        </w:rPr>
        <w:t xml:space="preserve">by the Nurse practitioner 3 January 2025. </w:t>
      </w:r>
      <w:r w:rsidR="008B72DF">
        <w:rPr>
          <w:rFonts w:ascii="Open Sans" w:hAnsi="Open Sans" w:cs="Open Sans"/>
        </w:rPr>
        <w:t xml:space="preserve">The Approved provider in its response stated </w:t>
      </w:r>
      <w:bookmarkStart w:id="3" w:name="_Hlk192854810"/>
      <w:r w:rsidR="008B72DF">
        <w:rPr>
          <w:rFonts w:ascii="Open Sans" w:hAnsi="Open Sans" w:cs="Open Sans"/>
        </w:rPr>
        <w:t xml:space="preserve">the service is working on reducing </w:t>
      </w:r>
      <w:r w:rsidR="00E4391F">
        <w:rPr>
          <w:rFonts w:ascii="Open Sans" w:hAnsi="Open Sans" w:cs="Open Sans"/>
        </w:rPr>
        <w:t xml:space="preserve">reliance on temporary staff and have implemented a system whereby </w:t>
      </w:r>
      <w:r w:rsidR="00E4391F">
        <w:rPr>
          <w:rFonts w:ascii="Open Sans" w:hAnsi="Open Sans" w:cs="Open Sans"/>
        </w:rPr>
        <w:lastRenderedPageBreak/>
        <w:t xml:space="preserve">the clinical nurse </w:t>
      </w:r>
      <w:r w:rsidR="003E6A01">
        <w:rPr>
          <w:rFonts w:ascii="Open Sans" w:hAnsi="Open Sans" w:cs="Open Sans"/>
        </w:rPr>
        <w:t xml:space="preserve">checks wound management activities. </w:t>
      </w:r>
      <w:r w:rsidR="003D209E">
        <w:rPr>
          <w:rFonts w:ascii="Open Sans" w:hAnsi="Open Sans" w:cs="Open Sans"/>
        </w:rPr>
        <w:t>Regular training sessions</w:t>
      </w:r>
      <w:r w:rsidR="0095181E">
        <w:rPr>
          <w:rFonts w:ascii="Open Sans" w:hAnsi="Open Sans" w:cs="Open Sans"/>
        </w:rPr>
        <w:t xml:space="preserve"> has been scheduled for all staff in relation to the importance of </w:t>
      </w:r>
      <w:r w:rsidR="00AE0873">
        <w:rPr>
          <w:rFonts w:ascii="Open Sans" w:hAnsi="Open Sans" w:cs="Open Sans"/>
        </w:rPr>
        <w:t xml:space="preserve">adhering to wound protocols. The Approved provider </w:t>
      </w:r>
      <w:r w:rsidR="0074522B">
        <w:rPr>
          <w:rFonts w:ascii="Open Sans" w:hAnsi="Open Sans" w:cs="Open Sans"/>
        </w:rPr>
        <w:t xml:space="preserve">response noted a quality assurance team will conduct audits to monitor compliance with wound management </w:t>
      </w:r>
      <w:r w:rsidR="00C3618D">
        <w:rPr>
          <w:rFonts w:ascii="Open Sans" w:hAnsi="Open Sans" w:cs="Open Sans"/>
        </w:rPr>
        <w:t xml:space="preserve">standards. Examples of reports completed by the clinical nurse </w:t>
      </w:r>
      <w:r w:rsidR="0006474B">
        <w:rPr>
          <w:rFonts w:ascii="Open Sans" w:hAnsi="Open Sans" w:cs="Open Sans"/>
        </w:rPr>
        <w:t>or dates for training or audits were not provided in the Approved provider response.</w:t>
      </w:r>
    </w:p>
    <w:bookmarkEnd w:id="3"/>
    <w:p w14:paraId="57000956" w14:textId="77777777" w:rsidR="000A056E" w:rsidRDefault="002B50E5" w:rsidP="0036130C">
      <w:pPr>
        <w:pStyle w:val="NormalArial"/>
        <w:rPr>
          <w:rFonts w:ascii="Open Sans" w:hAnsi="Open Sans" w:cs="Open Sans"/>
        </w:rPr>
      </w:pPr>
      <w:r>
        <w:rPr>
          <w:rFonts w:ascii="Open Sans" w:hAnsi="Open Sans" w:cs="Open Sans"/>
        </w:rPr>
        <w:t xml:space="preserve">While the wounds identified above are either improving </w:t>
      </w:r>
      <w:r w:rsidR="00142CA4">
        <w:rPr>
          <w:rFonts w:ascii="Open Sans" w:hAnsi="Open Sans" w:cs="Open Sans"/>
        </w:rPr>
        <w:t xml:space="preserve">or noted to be chronic and unlikely to heal, </w:t>
      </w:r>
      <w:r w:rsidR="00E47D55">
        <w:rPr>
          <w:rFonts w:ascii="Open Sans" w:hAnsi="Open Sans" w:cs="Open Sans"/>
        </w:rPr>
        <w:t xml:space="preserve">care practices do not support the identification of the pressure injury </w:t>
      </w:r>
      <w:r w:rsidR="00E966CC">
        <w:rPr>
          <w:rFonts w:ascii="Open Sans" w:hAnsi="Open Sans" w:cs="Open Sans"/>
        </w:rPr>
        <w:t xml:space="preserve">or </w:t>
      </w:r>
      <w:r w:rsidR="00C70EAA">
        <w:rPr>
          <w:rFonts w:ascii="Open Sans" w:hAnsi="Open Sans" w:cs="Open Sans"/>
        </w:rPr>
        <w:t>wound care was attended to as prescribed</w:t>
      </w:r>
      <w:r w:rsidR="00713589">
        <w:rPr>
          <w:rFonts w:ascii="Open Sans" w:hAnsi="Open Sans" w:cs="Open Sans"/>
        </w:rPr>
        <w:t>, and this does not support the high impact risk related to skin and pressure care</w:t>
      </w:r>
      <w:r w:rsidR="000A056E">
        <w:rPr>
          <w:rFonts w:ascii="Open Sans" w:hAnsi="Open Sans" w:cs="Open Sans"/>
        </w:rPr>
        <w:t xml:space="preserve">. </w:t>
      </w:r>
    </w:p>
    <w:p w14:paraId="3068306B" w14:textId="75BB4CDC" w:rsidR="00B538FF" w:rsidRDefault="00333672" w:rsidP="0036130C">
      <w:pPr>
        <w:pStyle w:val="NormalArial"/>
        <w:rPr>
          <w:rFonts w:ascii="Open Sans" w:hAnsi="Open Sans" w:cs="Open Sans"/>
        </w:rPr>
      </w:pPr>
      <w:r>
        <w:rPr>
          <w:rFonts w:ascii="Open Sans" w:hAnsi="Open Sans" w:cs="Open Sans"/>
        </w:rPr>
        <w:t xml:space="preserve">Behaviour </w:t>
      </w:r>
      <w:r w:rsidR="006A7653">
        <w:rPr>
          <w:rFonts w:ascii="Open Sans" w:hAnsi="Open Sans" w:cs="Open Sans"/>
        </w:rPr>
        <w:t xml:space="preserve">management </w:t>
      </w:r>
      <w:r>
        <w:rPr>
          <w:rFonts w:ascii="Open Sans" w:hAnsi="Open Sans" w:cs="Open Sans"/>
        </w:rPr>
        <w:t xml:space="preserve">charting was used to capture </w:t>
      </w:r>
      <w:r w:rsidR="00304B38">
        <w:rPr>
          <w:rFonts w:ascii="Open Sans" w:hAnsi="Open Sans" w:cs="Open Sans"/>
        </w:rPr>
        <w:t>changed behaviours for consumers</w:t>
      </w:r>
      <w:r w:rsidR="00556F78">
        <w:rPr>
          <w:rFonts w:ascii="Open Sans" w:hAnsi="Open Sans" w:cs="Open Sans"/>
        </w:rPr>
        <w:t xml:space="preserve">, however, interventions trialled were not </w:t>
      </w:r>
      <w:r w:rsidR="00694389">
        <w:rPr>
          <w:rFonts w:ascii="Open Sans" w:hAnsi="Open Sans" w:cs="Open Sans"/>
        </w:rPr>
        <w:t xml:space="preserve">consistently </w:t>
      </w:r>
      <w:r w:rsidR="000D582A">
        <w:rPr>
          <w:rFonts w:ascii="Open Sans" w:hAnsi="Open Sans" w:cs="Open Sans"/>
        </w:rPr>
        <w:t>recorded</w:t>
      </w:r>
      <w:r w:rsidR="007F1157">
        <w:rPr>
          <w:rFonts w:ascii="Open Sans" w:hAnsi="Open Sans" w:cs="Open Sans"/>
        </w:rPr>
        <w:t xml:space="preserve"> or </w:t>
      </w:r>
      <w:r w:rsidR="0062240B">
        <w:rPr>
          <w:rFonts w:ascii="Open Sans" w:hAnsi="Open Sans" w:cs="Open Sans"/>
        </w:rPr>
        <w:t>evaluated</w:t>
      </w:r>
      <w:r w:rsidR="00556F78">
        <w:rPr>
          <w:rFonts w:ascii="Open Sans" w:hAnsi="Open Sans" w:cs="Open Sans"/>
        </w:rPr>
        <w:t xml:space="preserve"> to determine if they were effective</w:t>
      </w:r>
      <w:r w:rsidR="006A7653">
        <w:rPr>
          <w:rFonts w:ascii="Open Sans" w:hAnsi="Open Sans" w:cs="Open Sans"/>
        </w:rPr>
        <w:t>, and triggers were</w:t>
      </w:r>
      <w:r w:rsidR="004D518F">
        <w:rPr>
          <w:rFonts w:ascii="Open Sans" w:hAnsi="Open Sans" w:cs="Open Sans"/>
        </w:rPr>
        <w:t xml:space="preserve"> not</w:t>
      </w:r>
      <w:r w:rsidR="006A7653">
        <w:rPr>
          <w:rFonts w:ascii="Open Sans" w:hAnsi="Open Sans" w:cs="Open Sans"/>
        </w:rPr>
        <w:t xml:space="preserve"> </w:t>
      </w:r>
      <w:r w:rsidR="007F1157">
        <w:rPr>
          <w:rFonts w:ascii="Open Sans" w:hAnsi="Open Sans" w:cs="Open Sans"/>
        </w:rPr>
        <w:t xml:space="preserve">always </w:t>
      </w:r>
      <w:r w:rsidR="00B420E7">
        <w:rPr>
          <w:rFonts w:ascii="Open Sans" w:hAnsi="Open Sans" w:cs="Open Sans"/>
        </w:rPr>
        <w:t xml:space="preserve">captured to decrease the risk of the changed behaviour </w:t>
      </w:r>
      <w:r w:rsidR="004D518F">
        <w:rPr>
          <w:rFonts w:ascii="Open Sans" w:hAnsi="Open Sans" w:cs="Open Sans"/>
        </w:rPr>
        <w:t>recurring</w:t>
      </w:r>
      <w:r w:rsidR="00B420E7">
        <w:rPr>
          <w:rFonts w:ascii="Open Sans" w:hAnsi="Open Sans" w:cs="Open Sans"/>
        </w:rPr>
        <w:t xml:space="preserve">. </w:t>
      </w:r>
      <w:r w:rsidR="00CA5395">
        <w:rPr>
          <w:rFonts w:ascii="Open Sans" w:hAnsi="Open Sans" w:cs="Open Sans"/>
        </w:rPr>
        <w:t xml:space="preserve">For </w:t>
      </w:r>
      <w:r w:rsidR="008065A0">
        <w:rPr>
          <w:rFonts w:ascii="Open Sans" w:hAnsi="Open Sans" w:cs="Open Sans"/>
        </w:rPr>
        <w:t xml:space="preserve">four </w:t>
      </w:r>
      <w:r w:rsidR="00CA5395">
        <w:rPr>
          <w:rFonts w:ascii="Open Sans" w:hAnsi="Open Sans" w:cs="Open Sans"/>
        </w:rPr>
        <w:t>named consumers with changed behaviour</w:t>
      </w:r>
      <w:r w:rsidR="003A68EC">
        <w:rPr>
          <w:rFonts w:ascii="Open Sans" w:hAnsi="Open Sans" w:cs="Open Sans"/>
        </w:rPr>
        <w:t>s multiple instances of behaviours were recorded</w:t>
      </w:r>
      <w:r w:rsidR="00F3725A">
        <w:rPr>
          <w:rFonts w:ascii="Open Sans" w:hAnsi="Open Sans" w:cs="Open Sans"/>
        </w:rPr>
        <w:t xml:space="preserve">, however, </w:t>
      </w:r>
      <w:r w:rsidR="001660DD">
        <w:rPr>
          <w:rFonts w:ascii="Open Sans" w:hAnsi="Open Sans" w:cs="Open Sans"/>
        </w:rPr>
        <w:t xml:space="preserve">interventions used to manage the instances of behaviour were </w:t>
      </w:r>
      <w:r w:rsidR="008065A0">
        <w:rPr>
          <w:rFonts w:ascii="Open Sans" w:hAnsi="Open Sans" w:cs="Open Sans"/>
        </w:rPr>
        <w:t>inconsistently</w:t>
      </w:r>
      <w:r w:rsidR="001660DD">
        <w:rPr>
          <w:rFonts w:ascii="Open Sans" w:hAnsi="Open Sans" w:cs="Open Sans"/>
        </w:rPr>
        <w:t xml:space="preserve"> </w:t>
      </w:r>
      <w:r w:rsidR="008065A0">
        <w:rPr>
          <w:rFonts w:ascii="Open Sans" w:hAnsi="Open Sans" w:cs="Open Sans"/>
        </w:rPr>
        <w:t xml:space="preserve">recorded, </w:t>
      </w:r>
      <w:r w:rsidR="001C59F6">
        <w:rPr>
          <w:rFonts w:ascii="Open Sans" w:hAnsi="Open Sans" w:cs="Open Sans"/>
        </w:rPr>
        <w:t>evaluated</w:t>
      </w:r>
      <w:r w:rsidR="00C6751B">
        <w:rPr>
          <w:rFonts w:ascii="Open Sans" w:hAnsi="Open Sans" w:cs="Open Sans"/>
        </w:rPr>
        <w:t xml:space="preserve"> for effectiveness, </w:t>
      </w:r>
      <w:r w:rsidR="008065A0">
        <w:rPr>
          <w:rFonts w:ascii="Open Sans" w:hAnsi="Open Sans" w:cs="Open Sans"/>
        </w:rPr>
        <w:t xml:space="preserve">and the changed behaviours continued to occur. </w:t>
      </w:r>
    </w:p>
    <w:p w14:paraId="533BE87E" w14:textId="3FC589B7" w:rsidR="00243BA2" w:rsidRDefault="00243BA2" w:rsidP="0036130C">
      <w:pPr>
        <w:pStyle w:val="NormalArial"/>
        <w:rPr>
          <w:rFonts w:ascii="Open Sans" w:hAnsi="Open Sans" w:cs="Open Sans"/>
        </w:rPr>
      </w:pPr>
      <w:r>
        <w:rPr>
          <w:rFonts w:ascii="Open Sans" w:hAnsi="Open Sans" w:cs="Open Sans"/>
        </w:rPr>
        <w:t xml:space="preserve">The report included information (recorded in Requirement 2(3)(a) </w:t>
      </w:r>
      <w:r w:rsidR="002E23EF">
        <w:rPr>
          <w:rFonts w:ascii="Open Sans" w:hAnsi="Open Sans" w:cs="Open Sans"/>
        </w:rPr>
        <w:t>which I have</w:t>
      </w:r>
      <w:r>
        <w:rPr>
          <w:rFonts w:ascii="Open Sans" w:hAnsi="Open Sans" w:cs="Open Sans"/>
        </w:rPr>
        <w:t xml:space="preserve"> considered in Requirement 3(3)(b)</w:t>
      </w:r>
      <w:r w:rsidR="000B6280">
        <w:rPr>
          <w:rFonts w:ascii="Open Sans" w:hAnsi="Open Sans" w:cs="Open Sans"/>
        </w:rPr>
        <w:t xml:space="preserve">, </w:t>
      </w:r>
      <w:r w:rsidR="00501EE3">
        <w:rPr>
          <w:rFonts w:ascii="Open Sans" w:hAnsi="Open Sans" w:cs="Open Sans"/>
        </w:rPr>
        <w:t>care plans for two named consumers with changed behaviours did not contain</w:t>
      </w:r>
      <w:r w:rsidR="00BE23D4">
        <w:rPr>
          <w:rFonts w:ascii="Open Sans" w:hAnsi="Open Sans" w:cs="Open Sans"/>
        </w:rPr>
        <w:t xml:space="preserve"> interventions for staff to implement, to assist in the management </w:t>
      </w:r>
      <w:r w:rsidR="000F4519">
        <w:rPr>
          <w:rFonts w:ascii="Open Sans" w:hAnsi="Open Sans" w:cs="Open Sans"/>
        </w:rPr>
        <w:t>of their changed behaviours.</w:t>
      </w:r>
    </w:p>
    <w:p w14:paraId="44B28871" w14:textId="6C42537C" w:rsidR="0086198E" w:rsidRDefault="00B538FF" w:rsidP="0036130C">
      <w:pPr>
        <w:pStyle w:val="NormalArial"/>
        <w:rPr>
          <w:rFonts w:ascii="Open Sans" w:hAnsi="Open Sans" w:cs="Open Sans"/>
        </w:rPr>
      </w:pPr>
      <w:r>
        <w:rPr>
          <w:rFonts w:ascii="Open Sans" w:hAnsi="Open Sans" w:cs="Open Sans"/>
        </w:rPr>
        <w:t>The A</w:t>
      </w:r>
      <w:r w:rsidR="004B1830">
        <w:rPr>
          <w:rFonts w:ascii="Open Sans" w:hAnsi="Open Sans" w:cs="Open Sans"/>
        </w:rPr>
        <w:t>pproved provider in</w:t>
      </w:r>
      <w:r w:rsidR="007267C6">
        <w:rPr>
          <w:rFonts w:ascii="Open Sans" w:hAnsi="Open Sans" w:cs="Open Sans"/>
        </w:rPr>
        <w:t xml:space="preserve"> its response to the report refutes </w:t>
      </w:r>
      <w:r w:rsidR="00833F44">
        <w:rPr>
          <w:rFonts w:ascii="Open Sans" w:hAnsi="Open Sans" w:cs="Open Sans"/>
        </w:rPr>
        <w:t>that behaviour assessments do not include interventions for staff to tr</w:t>
      </w:r>
      <w:r w:rsidR="002D3AB0">
        <w:rPr>
          <w:rFonts w:ascii="Open Sans" w:hAnsi="Open Sans" w:cs="Open Sans"/>
        </w:rPr>
        <w:t>ial</w:t>
      </w:r>
      <w:r w:rsidR="00833F44">
        <w:rPr>
          <w:rFonts w:ascii="Open Sans" w:hAnsi="Open Sans" w:cs="Open Sans"/>
        </w:rPr>
        <w:t xml:space="preserve"> </w:t>
      </w:r>
      <w:r w:rsidR="00665724">
        <w:rPr>
          <w:rFonts w:ascii="Open Sans" w:hAnsi="Open Sans" w:cs="Open Sans"/>
        </w:rPr>
        <w:t xml:space="preserve">to manage ongoing changed behaviours and </w:t>
      </w:r>
      <w:r w:rsidR="004173CA">
        <w:rPr>
          <w:rFonts w:ascii="Open Sans" w:hAnsi="Open Sans" w:cs="Open Sans"/>
        </w:rPr>
        <w:t xml:space="preserve">submitted behaviour </w:t>
      </w:r>
      <w:r w:rsidR="00241D2A">
        <w:rPr>
          <w:rFonts w:ascii="Open Sans" w:hAnsi="Open Sans" w:cs="Open Sans"/>
        </w:rPr>
        <w:t xml:space="preserve">assessments for </w:t>
      </w:r>
      <w:r w:rsidR="000F4519">
        <w:rPr>
          <w:rFonts w:ascii="Open Sans" w:hAnsi="Open Sans" w:cs="Open Sans"/>
        </w:rPr>
        <w:t xml:space="preserve">the </w:t>
      </w:r>
      <w:r w:rsidR="00241D2A">
        <w:rPr>
          <w:rFonts w:ascii="Open Sans" w:hAnsi="Open Sans" w:cs="Open Sans"/>
        </w:rPr>
        <w:t xml:space="preserve">two named consumers </w:t>
      </w:r>
      <w:r w:rsidR="00C431E4">
        <w:rPr>
          <w:rFonts w:ascii="Open Sans" w:hAnsi="Open Sans" w:cs="Open Sans"/>
        </w:rPr>
        <w:t xml:space="preserve">which evidenced </w:t>
      </w:r>
      <w:r w:rsidR="000D20F0">
        <w:rPr>
          <w:rFonts w:ascii="Open Sans" w:hAnsi="Open Sans" w:cs="Open Sans"/>
        </w:rPr>
        <w:t xml:space="preserve">individualised </w:t>
      </w:r>
      <w:r w:rsidR="00323678">
        <w:rPr>
          <w:rFonts w:ascii="Open Sans" w:hAnsi="Open Sans" w:cs="Open Sans"/>
        </w:rPr>
        <w:t xml:space="preserve">triggers and interventions </w:t>
      </w:r>
      <w:r w:rsidR="0046060A">
        <w:rPr>
          <w:rFonts w:ascii="Open Sans" w:hAnsi="Open Sans" w:cs="Open Sans"/>
        </w:rPr>
        <w:t>to manage changed behaviours</w:t>
      </w:r>
      <w:r w:rsidR="000F4519">
        <w:rPr>
          <w:rFonts w:ascii="Open Sans" w:hAnsi="Open Sans" w:cs="Open Sans"/>
        </w:rPr>
        <w:t xml:space="preserve"> were </w:t>
      </w:r>
      <w:r w:rsidR="000E536F">
        <w:rPr>
          <w:rFonts w:ascii="Open Sans" w:hAnsi="Open Sans" w:cs="Open Sans"/>
        </w:rPr>
        <w:t>recorded</w:t>
      </w:r>
      <w:r w:rsidR="0046060A">
        <w:rPr>
          <w:rFonts w:ascii="Open Sans" w:hAnsi="Open Sans" w:cs="Open Sans"/>
        </w:rPr>
        <w:t xml:space="preserve">. </w:t>
      </w:r>
    </w:p>
    <w:p w14:paraId="6327E074" w14:textId="7A37D0BC" w:rsidR="00FB2A37" w:rsidRDefault="0086198E" w:rsidP="0036130C">
      <w:pPr>
        <w:pStyle w:val="NormalArial"/>
        <w:rPr>
          <w:rFonts w:ascii="Open Sans" w:hAnsi="Open Sans" w:cs="Open Sans"/>
        </w:rPr>
      </w:pPr>
      <w:r>
        <w:rPr>
          <w:rFonts w:ascii="Open Sans" w:hAnsi="Open Sans" w:cs="Open Sans"/>
        </w:rPr>
        <w:t>For one of the named consumers with changed behaviour</w:t>
      </w:r>
      <w:r w:rsidR="00B61CAA">
        <w:rPr>
          <w:rFonts w:ascii="Open Sans" w:hAnsi="Open Sans" w:cs="Open Sans"/>
        </w:rPr>
        <w:t>, the report evidence</w:t>
      </w:r>
      <w:r w:rsidR="0011378F">
        <w:rPr>
          <w:rFonts w:ascii="Open Sans" w:hAnsi="Open Sans" w:cs="Open Sans"/>
        </w:rPr>
        <w:t xml:space="preserve">d </w:t>
      </w:r>
      <w:r w:rsidR="00C665E6">
        <w:rPr>
          <w:rFonts w:ascii="Open Sans" w:hAnsi="Open Sans" w:cs="Open Sans"/>
        </w:rPr>
        <w:t>11 occasions when as required medication was administered as an intervention to manage</w:t>
      </w:r>
      <w:r w:rsidR="00E3753B">
        <w:rPr>
          <w:rFonts w:ascii="Open Sans" w:hAnsi="Open Sans" w:cs="Open Sans"/>
        </w:rPr>
        <w:t xml:space="preserve"> the changed behaviour</w:t>
      </w:r>
      <w:r w:rsidR="00E322CF">
        <w:rPr>
          <w:rFonts w:ascii="Open Sans" w:hAnsi="Open Sans" w:cs="Open Sans"/>
        </w:rPr>
        <w:t xml:space="preserve">, and </w:t>
      </w:r>
      <w:r w:rsidR="007A46FD">
        <w:rPr>
          <w:rFonts w:ascii="Open Sans" w:hAnsi="Open Sans" w:cs="Open Sans"/>
        </w:rPr>
        <w:t xml:space="preserve">analgesia and </w:t>
      </w:r>
      <w:r w:rsidR="00FF6C56">
        <w:rPr>
          <w:rFonts w:ascii="Open Sans" w:hAnsi="Open Sans" w:cs="Open Sans"/>
        </w:rPr>
        <w:t xml:space="preserve">psychotropic medication </w:t>
      </w:r>
      <w:r w:rsidR="002D3AB0">
        <w:rPr>
          <w:rFonts w:ascii="Open Sans" w:hAnsi="Open Sans" w:cs="Open Sans"/>
        </w:rPr>
        <w:t>were both</w:t>
      </w:r>
      <w:r w:rsidR="00FF6C56">
        <w:rPr>
          <w:rFonts w:ascii="Open Sans" w:hAnsi="Open Sans" w:cs="Open Sans"/>
        </w:rPr>
        <w:t xml:space="preserve"> administered </w:t>
      </w:r>
      <w:r w:rsidR="009B48B0">
        <w:rPr>
          <w:rFonts w:ascii="Open Sans" w:hAnsi="Open Sans" w:cs="Open Sans"/>
        </w:rPr>
        <w:t>within a short period of time</w:t>
      </w:r>
      <w:r w:rsidR="009F2448">
        <w:rPr>
          <w:rFonts w:ascii="Open Sans" w:hAnsi="Open Sans" w:cs="Open Sans"/>
        </w:rPr>
        <w:t>, impacting the ability to assess the effectiveness of each type of medication</w:t>
      </w:r>
      <w:r w:rsidR="00F435C0">
        <w:rPr>
          <w:rFonts w:ascii="Open Sans" w:hAnsi="Open Sans" w:cs="Open Sans"/>
        </w:rPr>
        <w:t xml:space="preserve">. </w:t>
      </w:r>
      <w:r w:rsidR="003431FC">
        <w:rPr>
          <w:rFonts w:ascii="Open Sans" w:hAnsi="Open Sans" w:cs="Open Sans"/>
        </w:rPr>
        <w:t xml:space="preserve">While pain charting evidenced very high levels of pain for the named consumer, </w:t>
      </w:r>
      <w:r w:rsidR="00BE7480">
        <w:rPr>
          <w:rFonts w:ascii="Open Sans" w:hAnsi="Open Sans" w:cs="Open Sans"/>
        </w:rPr>
        <w:t>analgesia was not administered on two occasions in a timely manner</w:t>
      </w:r>
      <w:r w:rsidR="000B2CAD">
        <w:rPr>
          <w:rFonts w:ascii="Open Sans" w:hAnsi="Open Sans" w:cs="Open Sans"/>
        </w:rPr>
        <w:t xml:space="preserve">. </w:t>
      </w:r>
    </w:p>
    <w:p w14:paraId="7AE8A81E" w14:textId="79088E56" w:rsidR="0088244B" w:rsidRDefault="00FB2A37" w:rsidP="0036130C">
      <w:pPr>
        <w:pStyle w:val="NormalArial"/>
        <w:rPr>
          <w:rFonts w:ascii="Open Sans" w:hAnsi="Open Sans" w:cs="Open Sans"/>
        </w:rPr>
      </w:pPr>
      <w:r>
        <w:rPr>
          <w:rFonts w:ascii="Open Sans" w:hAnsi="Open Sans" w:cs="Open Sans"/>
        </w:rPr>
        <w:t xml:space="preserve">The Approved provider in its response has refuted </w:t>
      </w:r>
      <w:r w:rsidR="00C4769F">
        <w:rPr>
          <w:rFonts w:ascii="Open Sans" w:hAnsi="Open Sans" w:cs="Open Sans"/>
        </w:rPr>
        <w:t>analgesia and psychotropic medication w</w:t>
      </w:r>
      <w:r w:rsidR="0007317F">
        <w:rPr>
          <w:rFonts w:ascii="Open Sans" w:hAnsi="Open Sans" w:cs="Open Sans"/>
        </w:rPr>
        <w:t>ere</w:t>
      </w:r>
      <w:r w:rsidR="00C4769F">
        <w:rPr>
          <w:rFonts w:ascii="Open Sans" w:hAnsi="Open Sans" w:cs="Open Sans"/>
        </w:rPr>
        <w:t xml:space="preserve"> given </w:t>
      </w:r>
      <w:r w:rsidR="0025463B">
        <w:rPr>
          <w:rFonts w:ascii="Open Sans" w:hAnsi="Open Sans" w:cs="Open Sans"/>
        </w:rPr>
        <w:t>close together</w:t>
      </w:r>
      <w:r w:rsidR="00C4769F">
        <w:rPr>
          <w:rFonts w:ascii="Open Sans" w:hAnsi="Open Sans" w:cs="Open Sans"/>
        </w:rPr>
        <w:t xml:space="preserve"> and provided evidence of progress notes which indicated analgesia was administered first and when not effective, </w:t>
      </w:r>
      <w:r w:rsidR="00407BFB">
        <w:rPr>
          <w:rFonts w:ascii="Open Sans" w:hAnsi="Open Sans" w:cs="Open Sans"/>
        </w:rPr>
        <w:t xml:space="preserve">the psychotropic medication was administered. </w:t>
      </w:r>
      <w:r w:rsidR="001C1A06">
        <w:rPr>
          <w:rFonts w:ascii="Open Sans" w:hAnsi="Open Sans" w:cs="Open Sans"/>
        </w:rPr>
        <w:t xml:space="preserve">In relation to the two occasions when analgesia </w:t>
      </w:r>
      <w:r w:rsidR="00574FEA">
        <w:rPr>
          <w:rFonts w:ascii="Open Sans" w:hAnsi="Open Sans" w:cs="Open Sans"/>
        </w:rPr>
        <w:t xml:space="preserve">was reportedly delayed, </w:t>
      </w:r>
      <w:r w:rsidR="003012EC">
        <w:rPr>
          <w:rFonts w:ascii="Open Sans" w:hAnsi="Open Sans" w:cs="Open Sans"/>
        </w:rPr>
        <w:t xml:space="preserve">the Approved provider submitted </w:t>
      </w:r>
      <w:r w:rsidR="003012EC">
        <w:rPr>
          <w:rFonts w:ascii="Open Sans" w:hAnsi="Open Sans" w:cs="Open Sans"/>
        </w:rPr>
        <w:lastRenderedPageBreak/>
        <w:t>extracts from the controlled drug register which evidenced analgesia was provided in a t</w:t>
      </w:r>
      <w:r w:rsidR="006F35EB">
        <w:rPr>
          <w:rFonts w:ascii="Open Sans" w:hAnsi="Open Sans" w:cs="Open Sans"/>
        </w:rPr>
        <w:t xml:space="preserve">imely manner on both occasions. </w:t>
      </w:r>
    </w:p>
    <w:p w14:paraId="7214CCB5" w14:textId="4E6BBCDD" w:rsidR="006A32D5" w:rsidRPr="001E694D" w:rsidRDefault="006944E3" w:rsidP="0036130C">
      <w:pPr>
        <w:pStyle w:val="NormalArial"/>
        <w:rPr>
          <w:rFonts w:ascii="Open Sans" w:hAnsi="Open Sans" w:cs="Open Sans"/>
        </w:rPr>
      </w:pPr>
      <w:r w:rsidRPr="006944E3">
        <w:rPr>
          <w:rFonts w:ascii="Open Sans" w:hAnsi="Open Sans" w:cs="Open Sans"/>
        </w:rPr>
        <w:t xml:space="preserve">In coming to a decision relating to compliance for this Requirement, I have considered the report alongside evidence submitted in the Approved provider response, and it is my decision the service </w:t>
      </w:r>
      <w:r w:rsidR="003F4E9C">
        <w:rPr>
          <w:rFonts w:ascii="Open Sans" w:hAnsi="Open Sans" w:cs="Open Sans"/>
        </w:rPr>
        <w:t>di</w:t>
      </w:r>
      <w:r w:rsidR="00235A00">
        <w:rPr>
          <w:rFonts w:ascii="Open Sans" w:hAnsi="Open Sans" w:cs="Open Sans"/>
        </w:rPr>
        <w:t xml:space="preserve">d not effectively manage the high impact risks </w:t>
      </w:r>
      <w:r w:rsidR="00A22320">
        <w:rPr>
          <w:rFonts w:ascii="Open Sans" w:hAnsi="Open Sans" w:cs="Open Sans"/>
        </w:rPr>
        <w:t xml:space="preserve">to consumers </w:t>
      </w:r>
      <w:r w:rsidR="00235A00">
        <w:rPr>
          <w:rFonts w:ascii="Open Sans" w:hAnsi="Open Sans" w:cs="Open Sans"/>
        </w:rPr>
        <w:t xml:space="preserve">of </w:t>
      </w:r>
      <w:r w:rsidR="00203F61">
        <w:rPr>
          <w:rFonts w:ascii="Open Sans" w:hAnsi="Open Sans" w:cs="Open Sans"/>
        </w:rPr>
        <w:t>pressure injury</w:t>
      </w:r>
      <w:r w:rsidR="00F90A5B">
        <w:rPr>
          <w:rFonts w:ascii="Open Sans" w:hAnsi="Open Sans" w:cs="Open Sans"/>
        </w:rPr>
        <w:t xml:space="preserve">, wound care or </w:t>
      </w:r>
      <w:r w:rsidR="00A22320">
        <w:rPr>
          <w:rFonts w:ascii="Open Sans" w:hAnsi="Open Sans" w:cs="Open Sans"/>
        </w:rPr>
        <w:t xml:space="preserve">changed </w:t>
      </w:r>
      <w:r w:rsidR="00F90A5B">
        <w:rPr>
          <w:rFonts w:ascii="Open Sans" w:hAnsi="Open Sans" w:cs="Open Sans"/>
        </w:rPr>
        <w:t>behaviour</w:t>
      </w:r>
      <w:r w:rsidR="00A22320">
        <w:rPr>
          <w:rFonts w:ascii="Open Sans" w:hAnsi="Open Sans" w:cs="Open Sans"/>
        </w:rPr>
        <w:t>s</w:t>
      </w:r>
      <w:r w:rsidR="00F90A5B">
        <w:rPr>
          <w:rFonts w:ascii="Open Sans" w:hAnsi="Open Sans" w:cs="Open Sans"/>
        </w:rPr>
        <w:t xml:space="preserve">. </w:t>
      </w:r>
      <w:r w:rsidR="00C6751B">
        <w:rPr>
          <w:rFonts w:ascii="Open Sans" w:hAnsi="Open Sans" w:cs="Open Sans"/>
        </w:rPr>
        <w:t>Therefore, it is my decision this Requirement is Not Compliant</w:t>
      </w:r>
      <w:r w:rsidR="00D00BE0">
        <w:rPr>
          <w:rFonts w:ascii="Open Sans" w:hAnsi="Open Sans" w:cs="Open Sans"/>
        </w:rPr>
        <w:t>.</w:t>
      </w:r>
      <w:r w:rsidR="006A32D5" w:rsidRPr="001E694D">
        <w:rPr>
          <w:rFonts w:ascii="Open Sans" w:hAnsi="Open Sans" w:cs="Open Sans"/>
        </w:rPr>
        <w:br w:type="page"/>
      </w:r>
    </w:p>
    <w:p w14:paraId="2DE0E599" w14:textId="77777777" w:rsidR="006A32D5" w:rsidRPr="001E694D" w:rsidRDefault="006A32D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804"/>
        <w:gridCol w:w="1841"/>
      </w:tblGrid>
      <w:tr w:rsidR="00106772" w14:paraId="5DFF25FE" w14:textId="77777777" w:rsidTr="00D00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27D4EE9B" w14:textId="77777777" w:rsidR="006A32D5" w:rsidRPr="001E694D" w:rsidRDefault="006A32D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1" w:type="dxa"/>
            <w:shd w:val="clear" w:color="auto" w:fill="781E77"/>
          </w:tcPr>
          <w:p w14:paraId="2ED289D9" w14:textId="77777777" w:rsidR="006A32D5" w:rsidRPr="001E694D" w:rsidRDefault="006A32D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06772" w14:paraId="6F225BDE" w14:textId="77777777" w:rsidTr="00D00BE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F3771EF" w14:textId="77777777" w:rsidR="006A32D5" w:rsidRPr="001E694D" w:rsidRDefault="006A32D5"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1D1ABF9C" w14:textId="77777777" w:rsidR="006A32D5" w:rsidRPr="001E694D" w:rsidRDefault="006A3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63578B9" w14:textId="77777777" w:rsidR="006A32D5" w:rsidRPr="001E694D" w:rsidRDefault="006A32D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C651BC2" w14:textId="77777777" w:rsidR="006A32D5" w:rsidRPr="001E694D" w:rsidRDefault="006A32D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DE6D769" w14:textId="77777777" w:rsidR="006A32D5" w:rsidRPr="001E694D" w:rsidRDefault="006A32D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BE2D3C1" w14:textId="77777777" w:rsidR="006A32D5" w:rsidRPr="001E694D" w:rsidRDefault="006A32D5"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1" w:type="dxa"/>
            <w:shd w:val="clear" w:color="auto" w:fill="auto"/>
          </w:tcPr>
          <w:p w14:paraId="67E24949" w14:textId="39FD37A2" w:rsidR="006A32D5" w:rsidRPr="001E694D" w:rsidRDefault="00994EC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967609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B2C53">
                  <w:rPr>
                    <w:rFonts w:ascii="Open Sans" w:hAnsi="Open Sans" w:cs="Open Sans"/>
                    <w:color w:val="auto"/>
                  </w:rPr>
                  <w:t>Not Compliant</w:t>
                </w:r>
              </w:sdtContent>
            </w:sdt>
          </w:p>
        </w:tc>
      </w:tr>
    </w:tbl>
    <w:p w14:paraId="6041D58B" w14:textId="77777777" w:rsidR="006A32D5" w:rsidRDefault="006A32D5" w:rsidP="007A2323">
      <w:pPr>
        <w:pStyle w:val="NormalArial"/>
        <w:rPr>
          <w:rFonts w:ascii="Open Sans" w:hAnsi="Open Sans" w:cs="Open Sans"/>
          <w:b/>
          <w:bCs/>
          <w:color w:val="781E77"/>
        </w:rPr>
      </w:pPr>
      <w:r w:rsidRPr="007A2323">
        <w:rPr>
          <w:rFonts w:ascii="Open Sans" w:hAnsi="Open Sans" w:cs="Open Sans"/>
          <w:b/>
          <w:bCs/>
          <w:color w:val="781E77"/>
        </w:rPr>
        <w:t>Findings</w:t>
      </w:r>
    </w:p>
    <w:p w14:paraId="10C56B7C" w14:textId="1809CBCD" w:rsidR="00AD71A3" w:rsidRDefault="00AD71A3" w:rsidP="007A2323">
      <w:pPr>
        <w:pStyle w:val="NormalArial"/>
        <w:rPr>
          <w:rFonts w:ascii="Open Sans" w:hAnsi="Open Sans" w:cs="Open Sans"/>
          <w:color w:val="auto"/>
        </w:rPr>
      </w:pPr>
      <w:r w:rsidRPr="00893A85">
        <w:rPr>
          <w:rFonts w:ascii="Open Sans" w:hAnsi="Open Sans" w:cs="Open Sans"/>
          <w:color w:val="auto"/>
        </w:rPr>
        <w:t xml:space="preserve">Effective management systems were not in place </w:t>
      </w:r>
      <w:r w:rsidR="00893A85">
        <w:rPr>
          <w:rFonts w:ascii="Open Sans" w:hAnsi="Open Sans" w:cs="Open Sans"/>
          <w:color w:val="auto"/>
        </w:rPr>
        <w:t>to manage and prevent inciden</w:t>
      </w:r>
      <w:r w:rsidR="00D170D1">
        <w:rPr>
          <w:rFonts w:ascii="Open Sans" w:hAnsi="Open Sans" w:cs="Open Sans"/>
          <w:color w:val="auto"/>
        </w:rPr>
        <w:t xml:space="preserve">ts from recurring, to identify </w:t>
      </w:r>
      <w:r w:rsidR="00475D66">
        <w:rPr>
          <w:rFonts w:ascii="Open Sans" w:hAnsi="Open Sans" w:cs="Open Sans"/>
          <w:color w:val="auto"/>
        </w:rPr>
        <w:t>the abuse and neglect of consumer</w:t>
      </w:r>
      <w:r w:rsidR="00E45FC8">
        <w:rPr>
          <w:rFonts w:ascii="Open Sans" w:hAnsi="Open Sans" w:cs="Open Sans"/>
          <w:color w:val="auto"/>
        </w:rPr>
        <w:t>s</w:t>
      </w:r>
      <w:r w:rsidR="00475D66">
        <w:rPr>
          <w:rFonts w:ascii="Open Sans" w:hAnsi="Open Sans" w:cs="Open Sans"/>
          <w:color w:val="auto"/>
        </w:rPr>
        <w:t xml:space="preserve"> or to manage the high impact risks</w:t>
      </w:r>
      <w:r w:rsidR="00843E01">
        <w:rPr>
          <w:rFonts w:ascii="Open Sans" w:hAnsi="Open Sans" w:cs="Open Sans"/>
          <w:color w:val="auto"/>
        </w:rPr>
        <w:t xml:space="preserve"> of changed behaviours, wound care and pressure injuries. </w:t>
      </w:r>
      <w:r w:rsidR="006435F7">
        <w:rPr>
          <w:rFonts w:ascii="Open Sans" w:hAnsi="Open Sans" w:cs="Open Sans"/>
          <w:color w:val="auto"/>
        </w:rPr>
        <w:t xml:space="preserve">While high risk consumers were identified, management </w:t>
      </w:r>
      <w:r w:rsidR="00374582">
        <w:rPr>
          <w:rFonts w:ascii="Open Sans" w:hAnsi="Open Sans" w:cs="Open Sans"/>
          <w:color w:val="auto"/>
        </w:rPr>
        <w:t xml:space="preserve">did not ensure the risks associated with the care of these consumers was managed. </w:t>
      </w:r>
    </w:p>
    <w:p w14:paraId="67954DA6" w14:textId="1B7CF335" w:rsidR="00EF21B3" w:rsidRDefault="00516BC0" w:rsidP="007A2323">
      <w:pPr>
        <w:pStyle w:val="NormalArial"/>
        <w:rPr>
          <w:rFonts w:ascii="Open Sans" w:hAnsi="Open Sans" w:cs="Open Sans"/>
          <w:color w:val="auto"/>
        </w:rPr>
      </w:pPr>
      <w:r>
        <w:rPr>
          <w:rFonts w:ascii="Open Sans" w:hAnsi="Open Sans" w:cs="Open Sans"/>
          <w:color w:val="auto"/>
        </w:rPr>
        <w:t xml:space="preserve">While incident reports are usually </w:t>
      </w:r>
      <w:r w:rsidR="00E45FC8">
        <w:rPr>
          <w:rFonts w:ascii="Open Sans" w:hAnsi="Open Sans" w:cs="Open Sans"/>
          <w:color w:val="auto"/>
        </w:rPr>
        <w:t>completed</w:t>
      </w:r>
      <w:r>
        <w:rPr>
          <w:rFonts w:ascii="Open Sans" w:hAnsi="Open Sans" w:cs="Open Sans"/>
          <w:color w:val="auto"/>
        </w:rPr>
        <w:t xml:space="preserve"> </w:t>
      </w:r>
      <w:r w:rsidR="00DB79F1">
        <w:rPr>
          <w:rFonts w:ascii="Open Sans" w:hAnsi="Open Sans" w:cs="Open Sans"/>
          <w:color w:val="auto"/>
        </w:rPr>
        <w:t>following incidents of changed behaviour for consumers</w:t>
      </w:r>
      <w:r w:rsidR="00DA3432">
        <w:rPr>
          <w:rFonts w:ascii="Open Sans" w:hAnsi="Open Sans" w:cs="Open Sans"/>
          <w:color w:val="auto"/>
        </w:rPr>
        <w:t xml:space="preserve">, incident investigations </w:t>
      </w:r>
      <w:r w:rsidR="00E2553D">
        <w:rPr>
          <w:rFonts w:ascii="Open Sans" w:hAnsi="Open Sans" w:cs="Open Sans"/>
          <w:color w:val="auto"/>
        </w:rPr>
        <w:t xml:space="preserve">did not </w:t>
      </w:r>
      <w:r w:rsidR="00DF2453">
        <w:rPr>
          <w:rFonts w:ascii="Open Sans" w:hAnsi="Open Sans" w:cs="Open Sans"/>
          <w:color w:val="auto"/>
        </w:rPr>
        <w:t xml:space="preserve">contain effective strategies to prevent </w:t>
      </w:r>
      <w:r w:rsidR="00DC00FE">
        <w:rPr>
          <w:rFonts w:ascii="Open Sans" w:hAnsi="Open Sans" w:cs="Open Sans"/>
          <w:color w:val="auto"/>
        </w:rPr>
        <w:t>recurrence as evidenced by the number of behavioural incidents between consumers</w:t>
      </w:r>
      <w:r w:rsidR="000D7606">
        <w:rPr>
          <w:rFonts w:ascii="Open Sans" w:hAnsi="Open Sans" w:cs="Open Sans"/>
          <w:color w:val="auto"/>
        </w:rPr>
        <w:t xml:space="preserve">. </w:t>
      </w:r>
      <w:r w:rsidR="005C5E07">
        <w:rPr>
          <w:rFonts w:ascii="Open Sans" w:hAnsi="Open Sans" w:cs="Open Sans"/>
          <w:color w:val="auto"/>
        </w:rPr>
        <w:t xml:space="preserve">The report included </w:t>
      </w:r>
      <w:r w:rsidR="00784E2B">
        <w:rPr>
          <w:rFonts w:ascii="Open Sans" w:hAnsi="Open Sans" w:cs="Open Sans"/>
          <w:color w:val="auto"/>
        </w:rPr>
        <w:t>3</w:t>
      </w:r>
      <w:r w:rsidR="005C5E07">
        <w:rPr>
          <w:rFonts w:ascii="Open Sans" w:hAnsi="Open Sans" w:cs="Open Sans"/>
          <w:color w:val="auto"/>
        </w:rPr>
        <w:t xml:space="preserve"> examples of incident recording whereby </w:t>
      </w:r>
      <w:r w:rsidR="00E50A46">
        <w:rPr>
          <w:rFonts w:ascii="Open Sans" w:hAnsi="Open Sans" w:cs="Open Sans"/>
          <w:color w:val="auto"/>
        </w:rPr>
        <w:t xml:space="preserve">a personalised approach was not recorded following a physical </w:t>
      </w:r>
      <w:r w:rsidR="00115898">
        <w:rPr>
          <w:rFonts w:ascii="Open Sans" w:hAnsi="Open Sans" w:cs="Open Sans"/>
          <w:color w:val="auto"/>
        </w:rPr>
        <w:t xml:space="preserve">assault between two consumers, </w:t>
      </w:r>
      <w:r w:rsidR="001673A6">
        <w:rPr>
          <w:rFonts w:ascii="Open Sans" w:hAnsi="Open Sans" w:cs="Open Sans"/>
          <w:color w:val="auto"/>
        </w:rPr>
        <w:t xml:space="preserve">an investigation did not occur following an episode of </w:t>
      </w:r>
      <w:r w:rsidR="00B85C3D">
        <w:rPr>
          <w:rFonts w:ascii="Open Sans" w:hAnsi="Open Sans" w:cs="Open Sans"/>
          <w:color w:val="auto"/>
        </w:rPr>
        <w:t xml:space="preserve">unreasonable force and an incident </w:t>
      </w:r>
      <w:r w:rsidR="006F11A7" w:rsidRPr="006F11A7">
        <w:rPr>
          <w:rFonts w:ascii="Open Sans" w:hAnsi="Open Sans" w:cs="Open Sans"/>
          <w:color w:val="auto"/>
        </w:rPr>
        <w:t>of psychological or emotional abuse</w:t>
      </w:r>
      <w:r w:rsidR="006F11A7">
        <w:rPr>
          <w:rFonts w:ascii="Open Sans" w:hAnsi="Open Sans" w:cs="Open Sans"/>
          <w:color w:val="auto"/>
        </w:rPr>
        <w:t xml:space="preserve"> </w:t>
      </w:r>
      <w:r w:rsidR="00B85C3D">
        <w:rPr>
          <w:rFonts w:ascii="Open Sans" w:hAnsi="Open Sans" w:cs="Open Sans"/>
          <w:color w:val="auto"/>
        </w:rPr>
        <w:t>was not escalated to the S</w:t>
      </w:r>
      <w:r w:rsidR="00E14C72">
        <w:rPr>
          <w:rFonts w:ascii="Open Sans" w:hAnsi="Open Sans" w:cs="Open Sans"/>
          <w:color w:val="auto"/>
        </w:rPr>
        <w:t>erious incident response scheme</w:t>
      </w:r>
      <w:r w:rsidR="006F11A7">
        <w:rPr>
          <w:rFonts w:ascii="Open Sans" w:hAnsi="Open Sans" w:cs="Open Sans"/>
          <w:color w:val="auto"/>
        </w:rPr>
        <w:t>.</w:t>
      </w:r>
      <w:r w:rsidR="0099282D">
        <w:rPr>
          <w:rFonts w:ascii="Open Sans" w:hAnsi="Open Sans" w:cs="Open Sans"/>
          <w:color w:val="auto"/>
        </w:rPr>
        <w:t xml:space="preserve"> </w:t>
      </w:r>
    </w:p>
    <w:p w14:paraId="27DD37B6" w14:textId="3752F391" w:rsidR="003B4A19" w:rsidRDefault="003B4A19" w:rsidP="007A2323">
      <w:pPr>
        <w:pStyle w:val="NormalArial"/>
        <w:rPr>
          <w:rFonts w:ascii="Open Sans" w:hAnsi="Open Sans" w:cs="Open Sans"/>
          <w:color w:val="auto"/>
        </w:rPr>
      </w:pPr>
      <w:r>
        <w:rPr>
          <w:rFonts w:ascii="Open Sans" w:hAnsi="Open Sans" w:cs="Open Sans"/>
          <w:color w:val="auto"/>
        </w:rPr>
        <w:t xml:space="preserve">The Approved provider in its response refutes that an investigation </w:t>
      </w:r>
      <w:r w:rsidR="000437DB">
        <w:rPr>
          <w:rFonts w:ascii="Open Sans" w:hAnsi="Open Sans" w:cs="Open Sans"/>
          <w:color w:val="auto"/>
        </w:rPr>
        <w:t xml:space="preserve">did not occur following the episode of </w:t>
      </w:r>
      <w:r w:rsidR="001314B8">
        <w:rPr>
          <w:rFonts w:ascii="Open Sans" w:hAnsi="Open Sans" w:cs="Open Sans"/>
          <w:color w:val="auto"/>
        </w:rPr>
        <w:t xml:space="preserve">unreasonable force and submitted a progress note </w:t>
      </w:r>
      <w:r w:rsidR="00D618A7">
        <w:rPr>
          <w:rFonts w:ascii="Open Sans" w:hAnsi="Open Sans" w:cs="Open Sans"/>
          <w:color w:val="auto"/>
        </w:rPr>
        <w:t xml:space="preserve">entry which evidenced </w:t>
      </w:r>
      <w:r w:rsidR="00A76F47">
        <w:rPr>
          <w:rFonts w:ascii="Open Sans" w:hAnsi="Open Sans" w:cs="Open Sans"/>
          <w:color w:val="auto"/>
        </w:rPr>
        <w:t>a clinical review of the consumer following the incident.</w:t>
      </w:r>
      <w:r w:rsidR="00866A39">
        <w:rPr>
          <w:rFonts w:ascii="Open Sans" w:hAnsi="Open Sans" w:cs="Open Sans"/>
          <w:color w:val="auto"/>
        </w:rPr>
        <w:t xml:space="preserve"> I am unable to determine if this in</w:t>
      </w:r>
      <w:r w:rsidR="00446830">
        <w:rPr>
          <w:rFonts w:ascii="Open Sans" w:hAnsi="Open Sans" w:cs="Open Sans"/>
          <w:color w:val="auto"/>
        </w:rPr>
        <w:t xml:space="preserve">vestigation </w:t>
      </w:r>
      <w:r w:rsidR="00866A39">
        <w:rPr>
          <w:rFonts w:ascii="Open Sans" w:hAnsi="Open Sans" w:cs="Open Sans"/>
          <w:color w:val="auto"/>
        </w:rPr>
        <w:t xml:space="preserve">was recorded </w:t>
      </w:r>
      <w:r w:rsidR="00446830">
        <w:rPr>
          <w:rFonts w:ascii="Open Sans" w:hAnsi="Open Sans" w:cs="Open Sans"/>
          <w:color w:val="auto"/>
        </w:rPr>
        <w:t>on the incident report.</w:t>
      </w:r>
      <w:r w:rsidR="007A1F8E">
        <w:rPr>
          <w:rFonts w:ascii="Open Sans" w:hAnsi="Open Sans" w:cs="Open Sans"/>
          <w:color w:val="auto"/>
        </w:rPr>
        <w:t xml:space="preserve"> </w:t>
      </w:r>
      <w:r w:rsidR="00207B71">
        <w:rPr>
          <w:rFonts w:ascii="Open Sans" w:hAnsi="Open Sans" w:cs="Open Sans"/>
          <w:color w:val="auto"/>
        </w:rPr>
        <w:t xml:space="preserve">The Approved provider in its response stated </w:t>
      </w:r>
      <w:r w:rsidR="009B2A9F">
        <w:rPr>
          <w:rFonts w:ascii="Open Sans" w:hAnsi="Open Sans" w:cs="Open Sans"/>
          <w:color w:val="auto"/>
        </w:rPr>
        <w:t xml:space="preserve">there are processes in place to escalate and report incidents to the Serious incident response scheme but </w:t>
      </w:r>
      <w:r w:rsidR="00B74C69">
        <w:rPr>
          <w:rFonts w:ascii="Open Sans" w:hAnsi="Open Sans" w:cs="Open Sans"/>
          <w:color w:val="auto"/>
        </w:rPr>
        <w:t xml:space="preserve">the response did </w:t>
      </w:r>
      <w:r w:rsidR="009B2A9F">
        <w:rPr>
          <w:rFonts w:ascii="Open Sans" w:hAnsi="Open Sans" w:cs="Open Sans"/>
          <w:color w:val="auto"/>
        </w:rPr>
        <w:t xml:space="preserve">not </w:t>
      </w:r>
      <w:r w:rsidR="000314FE">
        <w:rPr>
          <w:rFonts w:ascii="Open Sans" w:hAnsi="Open Sans" w:cs="Open Sans"/>
          <w:color w:val="auto"/>
        </w:rPr>
        <w:t xml:space="preserve">include an explanation </w:t>
      </w:r>
      <w:r w:rsidR="00845E01">
        <w:rPr>
          <w:rFonts w:ascii="Open Sans" w:hAnsi="Open Sans" w:cs="Open Sans"/>
          <w:color w:val="auto"/>
        </w:rPr>
        <w:t xml:space="preserve">why the incident noted above was not escalated to the scheme. </w:t>
      </w:r>
      <w:r w:rsidR="00C756C0">
        <w:rPr>
          <w:rFonts w:ascii="Open Sans" w:hAnsi="Open Sans" w:cs="Open Sans"/>
          <w:color w:val="auto"/>
        </w:rPr>
        <w:t xml:space="preserve"> </w:t>
      </w:r>
    </w:p>
    <w:p w14:paraId="241786D1" w14:textId="11CBCA73" w:rsidR="00E87A46" w:rsidRDefault="0024676A" w:rsidP="007A2323">
      <w:pPr>
        <w:pStyle w:val="NormalArial"/>
        <w:rPr>
          <w:rFonts w:ascii="Open Sans" w:hAnsi="Open Sans" w:cs="Open Sans"/>
          <w:color w:val="auto"/>
        </w:rPr>
      </w:pPr>
      <w:r>
        <w:rPr>
          <w:rFonts w:ascii="Open Sans" w:hAnsi="Open Sans" w:cs="Open Sans"/>
          <w:color w:val="auto"/>
        </w:rPr>
        <w:t>In relation to wound care and the delay of care for one consumer with a chronic complex wound</w:t>
      </w:r>
      <w:r w:rsidR="006F53D3">
        <w:rPr>
          <w:rFonts w:ascii="Open Sans" w:hAnsi="Open Sans" w:cs="Open Sans"/>
          <w:color w:val="auto"/>
        </w:rPr>
        <w:t xml:space="preserve">, the Approved provider in its response listed some </w:t>
      </w:r>
      <w:r w:rsidR="006F53D3">
        <w:rPr>
          <w:rFonts w:ascii="Open Sans" w:hAnsi="Open Sans" w:cs="Open Sans"/>
          <w:color w:val="auto"/>
        </w:rPr>
        <w:lastRenderedPageBreak/>
        <w:t>improvement actions including</w:t>
      </w:r>
      <w:r w:rsidR="006F53D3" w:rsidRPr="006F53D3">
        <w:t xml:space="preserve"> </w:t>
      </w:r>
      <w:r w:rsidR="007F2E26">
        <w:t xml:space="preserve">that </w:t>
      </w:r>
      <w:r w:rsidR="006F53D3" w:rsidRPr="006F53D3">
        <w:rPr>
          <w:rFonts w:ascii="Open Sans" w:hAnsi="Open Sans" w:cs="Open Sans"/>
          <w:color w:val="auto"/>
        </w:rPr>
        <w:t xml:space="preserve">the service is working on reducing reliance on temporary staff and have implemented a system whereby the </w:t>
      </w:r>
      <w:r w:rsidR="00325338">
        <w:rPr>
          <w:rFonts w:ascii="Open Sans" w:hAnsi="Open Sans" w:cs="Open Sans"/>
          <w:color w:val="auto"/>
        </w:rPr>
        <w:t>C</w:t>
      </w:r>
      <w:r w:rsidR="006F53D3" w:rsidRPr="006F53D3">
        <w:rPr>
          <w:rFonts w:ascii="Open Sans" w:hAnsi="Open Sans" w:cs="Open Sans"/>
          <w:color w:val="auto"/>
        </w:rPr>
        <w:t>linical nurse checks wound management activities. Regular training sessions ha</w:t>
      </w:r>
      <w:r w:rsidR="00325338">
        <w:rPr>
          <w:rFonts w:ascii="Open Sans" w:hAnsi="Open Sans" w:cs="Open Sans"/>
          <w:color w:val="auto"/>
        </w:rPr>
        <w:t xml:space="preserve">ve </w:t>
      </w:r>
      <w:r w:rsidR="006F53D3" w:rsidRPr="006F53D3">
        <w:rPr>
          <w:rFonts w:ascii="Open Sans" w:hAnsi="Open Sans" w:cs="Open Sans"/>
          <w:color w:val="auto"/>
        </w:rPr>
        <w:t>been scheduled for all staff in relation to the importance of adhering to wound protocols. The Approved provider response noted a quality assurance team will conduct audits to monitor compliance with wound management standards. Examples of reports completed by the clinical nurse or dates for training or audits were not provided in the Approved provider response.</w:t>
      </w:r>
    </w:p>
    <w:p w14:paraId="7DE5A686" w14:textId="1F336F63" w:rsidR="002A592F" w:rsidRDefault="00E33871" w:rsidP="007A2323">
      <w:pPr>
        <w:pStyle w:val="NormalArial"/>
        <w:rPr>
          <w:rFonts w:ascii="Open Sans" w:hAnsi="Open Sans" w:cs="Open Sans"/>
          <w:color w:val="auto"/>
        </w:rPr>
      </w:pPr>
      <w:r>
        <w:rPr>
          <w:rFonts w:ascii="Open Sans" w:hAnsi="Open Sans" w:cs="Open Sans"/>
          <w:color w:val="auto"/>
        </w:rPr>
        <w:t>In relation to the consumer w</w:t>
      </w:r>
      <w:r w:rsidR="004D75BC">
        <w:rPr>
          <w:rFonts w:ascii="Open Sans" w:hAnsi="Open Sans" w:cs="Open Sans"/>
          <w:color w:val="auto"/>
        </w:rPr>
        <w:t>h</w:t>
      </w:r>
      <w:r>
        <w:rPr>
          <w:rFonts w:ascii="Open Sans" w:hAnsi="Open Sans" w:cs="Open Sans"/>
          <w:color w:val="auto"/>
        </w:rPr>
        <w:t xml:space="preserve">o developed an unstageable pressure injury, </w:t>
      </w:r>
      <w:r w:rsidR="004D75BC">
        <w:rPr>
          <w:rFonts w:ascii="Open Sans" w:hAnsi="Open Sans" w:cs="Open Sans"/>
          <w:color w:val="auto"/>
        </w:rPr>
        <w:t>preventative actions</w:t>
      </w:r>
      <w:r w:rsidR="00753A29">
        <w:rPr>
          <w:rFonts w:ascii="Open Sans" w:hAnsi="Open Sans" w:cs="Open Sans"/>
          <w:color w:val="auto"/>
        </w:rPr>
        <w:t xml:space="preserve"> were not recorded as part of the response. </w:t>
      </w:r>
    </w:p>
    <w:p w14:paraId="4564D221" w14:textId="3D2C065B" w:rsidR="00D01C05" w:rsidRDefault="00575B52" w:rsidP="007A2323">
      <w:pPr>
        <w:pStyle w:val="NormalArial"/>
        <w:rPr>
          <w:rFonts w:ascii="Open Sans" w:hAnsi="Open Sans" w:cs="Open Sans"/>
          <w:color w:val="auto"/>
        </w:rPr>
      </w:pPr>
      <w:r>
        <w:rPr>
          <w:rFonts w:ascii="Open Sans" w:hAnsi="Open Sans" w:cs="Open Sans"/>
          <w:color w:val="auto"/>
        </w:rPr>
        <w:t xml:space="preserve">The Approved provider acknowledged the challenges and </w:t>
      </w:r>
      <w:r w:rsidR="00DC5889">
        <w:rPr>
          <w:rFonts w:ascii="Open Sans" w:hAnsi="Open Sans" w:cs="Open Sans"/>
          <w:color w:val="auto"/>
        </w:rPr>
        <w:t>improvements required</w:t>
      </w:r>
      <w:r w:rsidR="00986DB6">
        <w:rPr>
          <w:rFonts w:ascii="Open Sans" w:hAnsi="Open Sans" w:cs="Open Sans"/>
          <w:color w:val="auto"/>
        </w:rPr>
        <w:t xml:space="preserve"> in the memory</w:t>
      </w:r>
      <w:r w:rsidR="00F266E6">
        <w:rPr>
          <w:rFonts w:ascii="Open Sans" w:hAnsi="Open Sans" w:cs="Open Sans"/>
          <w:color w:val="auto"/>
        </w:rPr>
        <w:t xml:space="preserve"> support unit where </w:t>
      </w:r>
      <w:r w:rsidR="000C1F68">
        <w:rPr>
          <w:rFonts w:ascii="Open Sans" w:hAnsi="Open Sans" w:cs="Open Sans"/>
          <w:color w:val="auto"/>
        </w:rPr>
        <w:t>most</w:t>
      </w:r>
      <w:r w:rsidR="00746741">
        <w:rPr>
          <w:rFonts w:ascii="Open Sans" w:hAnsi="Open Sans" w:cs="Open Sans"/>
          <w:color w:val="auto"/>
        </w:rPr>
        <w:t xml:space="preserve"> incidents between consumer</w:t>
      </w:r>
      <w:r w:rsidR="0080732F">
        <w:rPr>
          <w:rFonts w:ascii="Open Sans" w:hAnsi="Open Sans" w:cs="Open Sans"/>
          <w:color w:val="auto"/>
        </w:rPr>
        <w:t>s occur</w:t>
      </w:r>
      <w:r w:rsidR="00162E0D">
        <w:rPr>
          <w:rFonts w:ascii="Open Sans" w:hAnsi="Open Sans" w:cs="Open Sans"/>
          <w:color w:val="auto"/>
        </w:rPr>
        <w:t>, improvements include a comprehensive</w:t>
      </w:r>
      <w:r w:rsidR="000C1F68">
        <w:rPr>
          <w:rFonts w:ascii="Open Sans" w:hAnsi="Open Sans" w:cs="Open Sans"/>
          <w:color w:val="auto"/>
        </w:rPr>
        <w:t xml:space="preserve"> redesign of the unit to enhance care for consumers. </w:t>
      </w:r>
    </w:p>
    <w:p w14:paraId="460A641A" w14:textId="7FAC5FD1" w:rsidR="008D30EA" w:rsidRPr="00893A85" w:rsidRDefault="008D30EA" w:rsidP="007A2323">
      <w:pPr>
        <w:pStyle w:val="NormalArial"/>
        <w:rPr>
          <w:rFonts w:ascii="Open Sans" w:hAnsi="Open Sans" w:cs="Open Sans"/>
          <w:color w:val="auto"/>
        </w:rPr>
      </w:pPr>
      <w:r>
        <w:rPr>
          <w:rFonts w:ascii="Open Sans" w:hAnsi="Open Sans" w:cs="Open Sans"/>
          <w:color w:val="auto"/>
        </w:rPr>
        <w:t xml:space="preserve">While I acknowledge </w:t>
      </w:r>
      <w:r w:rsidR="00484E9D">
        <w:rPr>
          <w:rFonts w:ascii="Open Sans" w:hAnsi="Open Sans" w:cs="Open Sans"/>
          <w:color w:val="auto"/>
        </w:rPr>
        <w:t xml:space="preserve">the improvement actions </w:t>
      </w:r>
      <w:r w:rsidR="006C3AB6">
        <w:rPr>
          <w:rFonts w:ascii="Open Sans" w:hAnsi="Open Sans" w:cs="Open Sans"/>
          <w:color w:val="auto"/>
        </w:rPr>
        <w:t xml:space="preserve">planned to address deficits </w:t>
      </w:r>
      <w:r w:rsidR="002C0790">
        <w:rPr>
          <w:rFonts w:ascii="Open Sans" w:hAnsi="Open Sans" w:cs="Open Sans"/>
          <w:color w:val="auto"/>
        </w:rPr>
        <w:t>may improve incident management and wound care</w:t>
      </w:r>
      <w:r w:rsidR="00C706F5">
        <w:rPr>
          <w:rFonts w:ascii="Open Sans" w:hAnsi="Open Sans" w:cs="Open Sans"/>
          <w:color w:val="auto"/>
        </w:rPr>
        <w:t>. These actions are yet to be implemented or tested for their effectiveness and sustainability</w:t>
      </w:r>
      <w:r w:rsidR="001C5C8A">
        <w:rPr>
          <w:rFonts w:ascii="Open Sans" w:hAnsi="Open Sans" w:cs="Open Sans"/>
          <w:color w:val="auto"/>
        </w:rPr>
        <w:t xml:space="preserve">. </w:t>
      </w:r>
      <w:r w:rsidR="00413432">
        <w:rPr>
          <w:rFonts w:ascii="Open Sans" w:hAnsi="Open Sans" w:cs="Open Sans"/>
          <w:color w:val="auto"/>
        </w:rPr>
        <w:t>Based on the above information, it is my decision effective management system</w:t>
      </w:r>
      <w:r w:rsidR="00613690">
        <w:rPr>
          <w:rFonts w:ascii="Open Sans" w:hAnsi="Open Sans" w:cs="Open Sans"/>
          <w:color w:val="auto"/>
        </w:rPr>
        <w:t>s</w:t>
      </w:r>
      <w:r w:rsidR="00413432">
        <w:rPr>
          <w:rFonts w:ascii="Open Sans" w:hAnsi="Open Sans" w:cs="Open Sans"/>
          <w:color w:val="auto"/>
        </w:rPr>
        <w:t xml:space="preserve"> were not in place at the service</w:t>
      </w:r>
      <w:r w:rsidR="00CB5F52">
        <w:rPr>
          <w:rFonts w:ascii="Open Sans" w:hAnsi="Open Sans" w:cs="Open Sans"/>
          <w:color w:val="auto"/>
        </w:rPr>
        <w:t xml:space="preserve"> and monitoring </w:t>
      </w:r>
      <w:r w:rsidR="00CE0843">
        <w:rPr>
          <w:rFonts w:ascii="Open Sans" w:hAnsi="Open Sans" w:cs="Open Sans"/>
          <w:color w:val="auto"/>
        </w:rPr>
        <w:t>processes at an organisational level</w:t>
      </w:r>
      <w:r w:rsidR="007F3F91">
        <w:rPr>
          <w:rFonts w:ascii="Open Sans" w:hAnsi="Open Sans" w:cs="Open Sans"/>
          <w:color w:val="auto"/>
        </w:rPr>
        <w:t xml:space="preserve"> did not identify </w:t>
      </w:r>
      <w:r w:rsidR="00E9715B">
        <w:rPr>
          <w:rFonts w:ascii="Open Sans" w:hAnsi="Open Sans" w:cs="Open Sans"/>
          <w:color w:val="auto"/>
        </w:rPr>
        <w:t xml:space="preserve">these deficits independently, </w:t>
      </w:r>
      <w:r w:rsidR="0008213D">
        <w:rPr>
          <w:rFonts w:ascii="Open Sans" w:hAnsi="Open Sans" w:cs="Open Sans"/>
          <w:color w:val="auto"/>
        </w:rPr>
        <w:t xml:space="preserve">and therefore, this Requirement is Not Compliant. </w:t>
      </w:r>
    </w:p>
    <w:sectPr w:rsidR="008D30EA" w:rsidRPr="00893A85"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0AB0C" w14:textId="77777777" w:rsidR="00917B55" w:rsidRDefault="00917B55">
      <w:pPr>
        <w:spacing w:after="0"/>
      </w:pPr>
      <w:r>
        <w:separator/>
      </w:r>
    </w:p>
  </w:endnote>
  <w:endnote w:type="continuationSeparator" w:id="0">
    <w:p w14:paraId="3F5750E2" w14:textId="77777777" w:rsidR="00917B55" w:rsidRDefault="00917B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FC2A" w14:textId="77777777" w:rsidR="006A32D5" w:rsidRPr="00DF37F2" w:rsidRDefault="006A32D5" w:rsidP="00DF37F2">
    <w:pPr>
      <w:pStyle w:val="FooterArial9"/>
      <w:rPr>
        <w:rStyle w:val="FooterBold"/>
        <w:rFonts w:ascii="Arial" w:hAnsi="Arial"/>
        <w:b w:val="0"/>
      </w:rPr>
    </w:pPr>
    <w:bookmarkStart w:id="4" w:name="_Hlk144301213"/>
    <w:r w:rsidRPr="00DF37F2">
      <w:rPr>
        <w:rStyle w:val="FooterBold"/>
        <w:rFonts w:ascii="Arial" w:hAnsi="Arial"/>
        <w:b w:val="0"/>
      </w:rPr>
      <w:t xml:space="preserve">Name of service: </w:t>
    </w:r>
    <w:r w:rsidRPr="00D3376F">
      <w:rPr>
        <w:rFonts w:cs="Times New Roman"/>
        <w:color w:val="auto"/>
        <w:szCs w:val="18"/>
      </w:rPr>
      <w:t>Bethanie Waters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52F9FDD" w14:textId="77777777" w:rsidR="006A32D5" w:rsidRPr="00DF37F2" w:rsidRDefault="006A32D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7276</w:t>
    </w:r>
    <w:bookmarkEnd w:id="4"/>
    <w:r w:rsidRPr="00DF37F2">
      <w:rPr>
        <w:rStyle w:val="FooterBold"/>
        <w:rFonts w:ascii="Arial" w:hAnsi="Arial"/>
        <w:b w:val="0"/>
      </w:rPr>
      <w:tab/>
      <w:t xml:space="preserve">OFFICIAL: Sensitive </w:t>
    </w:r>
  </w:p>
  <w:p w14:paraId="6F14BB7F" w14:textId="77777777" w:rsidR="006A32D5" w:rsidRPr="00DF37F2" w:rsidRDefault="006A32D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928F" w14:textId="77777777" w:rsidR="006A32D5" w:rsidRDefault="006A32D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417A" w14:textId="77777777" w:rsidR="00917B55" w:rsidRDefault="00917B55" w:rsidP="00D71F88">
      <w:pPr>
        <w:spacing w:after="0"/>
      </w:pPr>
      <w:r>
        <w:separator/>
      </w:r>
    </w:p>
  </w:footnote>
  <w:footnote w:type="continuationSeparator" w:id="0">
    <w:p w14:paraId="088D8F5F" w14:textId="77777777" w:rsidR="00917B55" w:rsidRDefault="00917B55" w:rsidP="00D71F88">
      <w:pPr>
        <w:spacing w:after="0"/>
      </w:pPr>
      <w:r>
        <w:continuationSeparator/>
      </w:r>
    </w:p>
  </w:footnote>
  <w:footnote w:id="1">
    <w:p w14:paraId="55A09EA0" w14:textId="6F50A991" w:rsidR="006A32D5" w:rsidRDefault="006A32D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EA2A55">
        <w:rPr>
          <w:rFonts w:ascii="Arial" w:hAnsi="Arial"/>
          <w:color w:val="auto"/>
          <w:sz w:val="20"/>
          <w:szCs w:val="20"/>
        </w:rPr>
        <w:t>section 68A</w:t>
      </w:r>
      <w:r w:rsidRPr="00EA2A55">
        <w:rPr>
          <w:rFonts w:ascii="Arial" w:hAnsi="Arial"/>
          <w:b/>
          <w:color w:val="auto"/>
          <w:sz w:val="20"/>
          <w:szCs w:val="20"/>
        </w:rPr>
        <w:t xml:space="preserve"> </w:t>
      </w:r>
      <w:r w:rsidRPr="00EA2A55">
        <w:rPr>
          <w:rFonts w:ascii="Arial" w:hAnsi="Arial"/>
          <w:color w:val="auto"/>
          <w:sz w:val="20"/>
          <w:szCs w:val="20"/>
        </w:rPr>
        <w:t>of the Aged Care</w:t>
      </w:r>
      <w:r w:rsidRPr="00443CA4">
        <w:rPr>
          <w:rFonts w:ascii="Arial" w:hAnsi="Arial"/>
          <w:sz w:val="20"/>
          <w:szCs w:val="20"/>
        </w:rPr>
        <w:t xml:space="preserve"> Quality and Safety Commission Rules 2018.</w:t>
      </w:r>
    </w:p>
    <w:p w14:paraId="0DF23E9D" w14:textId="77777777" w:rsidR="006A32D5" w:rsidRDefault="006A32D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056" w14:textId="77777777" w:rsidR="006A32D5" w:rsidRDefault="006A32D5">
    <w:pPr>
      <w:pStyle w:val="Header"/>
    </w:pPr>
    <w:r>
      <w:rPr>
        <w:noProof/>
        <w:color w:val="2B579A"/>
        <w:shd w:val="clear" w:color="auto" w:fill="E6E6E6"/>
        <w:lang w:val="en-US"/>
      </w:rPr>
      <w:drawing>
        <wp:anchor distT="0" distB="0" distL="114300" distR="114300" simplePos="0" relativeHeight="251658241" behindDoc="1" locked="0" layoutInCell="1" allowOverlap="1" wp14:anchorId="3A5D7472" wp14:editId="2E4900E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2A87" w14:textId="77777777" w:rsidR="006A32D5" w:rsidRDefault="006A32D5">
    <w:pPr>
      <w:pStyle w:val="Header"/>
    </w:pPr>
    <w:r>
      <w:rPr>
        <w:noProof/>
      </w:rPr>
      <w:drawing>
        <wp:anchor distT="0" distB="0" distL="114300" distR="114300" simplePos="0" relativeHeight="251658240" behindDoc="0" locked="0" layoutInCell="1" allowOverlap="1" wp14:anchorId="41B44CF9" wp14:editId="3CF9C8F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61A8424">
      <w:start w:val="1"/>
      <w:numFmt w:val="lowerRoman"/>
      <w:lvlText w:val="(%1)"/>
      <w:lvlJc w:val="left"/>
      <w:pPr>
        <w:ind w:left="1080" w:hanging="720"/>
      </w:pPr>
      <w:rPr>
        <w:rFonts w:hint="default"/>
      </w:rPr>
    </w:lvl>
    <w:lvl w:ilvl="1" w:tplc="CBFC12E6" w:tentative="1">
      <w:start w:val="1"/>
      <w:numFmt w:val="lowerLetter"/>
      <w:lvlText w:val="%2."/>
      <w:lvlJc w:val="left"/>
      <w:pPr>
        <w:ind w:left="1440" w:hanging="360"/>
      </w:pPr>
    </w:lvl>
    <w:lvl w:ilvl="2" w:tplc="8722AFEA" w:tentative="1">
      <w:start w:val="1"/>
      <w:numFmt w:val="lowerRoman"/>
      <w:lvlText w:val="%3."/>
      <w:lvlJc w:val="right"/>
      <w:pPr>
        <w:ind w:left="2160" w:hanging="180"/>
      </w:pPr>
    </w:lvl>
    <w:lvl w:ilvl="3" w:tplc="1312F552" w:tentative="1">
      <w:start w:val="1"/>
      <w:numFmt w:val="decimal"/>
      <w:lvlText w:val="%4."/>
      <w:lvlJc w:val="left"/>
      <w:pPr>
        <w:ind w:left="2880" w:hanging="360"/>
      </w:pPr>
    </w:lvl>
    <w:lvl w:ilvl="4" w:tplc="134A4E62" w:tentative="1">
      <w:start w:val="1"/>
      <w:numFmt w:val="lowerLetter"/>
      <w:lvlText w:val="%5."/>
      <w:lvlJc w:val="left"/>
      <w:pPr>
        <w:ind w:left="3600" w:hanging="360"/>
      </w:pPr>
    </w:lvl>
    <w:lvl w:ilvl="5" w:tplc="72CEDDAE" w:tentative="1">
      <w:start w:val="1"/>
      <w:numFmt w:val="lowerRoman"/>
      <w:lvlText w:val="%6."/>
      <w:lvlJc w:val="right"/>
      <w:pPr>
        <w:ind w:left="4320" w:hanging="180"/>
      </w:pPr>
    </w:lvl>
    <w:lvl w:ilvl="6" w:tplc="11C8769E" w:tentative="1">
      <w:start w:val="1"/>
      <w:numFmt w:val="decimal"/>
      <w:lvlText w:val="%7."/>
      <w:lvlJc w:val="left"/>
      <w:pPr>
        <w:ind w:left="5040" w:hanging="360"/>
      </w:pPr>
    </w:lvl>
    <w:lvl w:ilvl="7" w:tplc="11984456" w:tentative="1">
      <w:start w:val="1"/>
      <w:numFmt w:val="lowerLetter"/>
      <w:lvlText w:val="%8."/>
      <w:lvlJc w:val="left"/>
      <w:pPr>
        <w:ind w:left="5760" w:hanging="360"/>
      </w:pPr>
    </w:lvl>
    <w:lvl w:ilvl="8" w:tplc="2D20B27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7C852C6">
      <w:start w:val="1"/>
      <w:numFmt w:val="lowerRoman"/>
      <w:lvlText w:val="(%1)"/>
      <w:lvlJc w:val="left"/>
      <w:pPr>
        <w:ind w:left="1080" w:hanging="720"/>
      </w:pPr>
      <w:rPr>
        <w:rFonts w:hint="default"/>
      </w:rPr>
    </w:lvl>
    <w:lvl w:ilvl="1" w:tplc="D5E40950" w:tentative="1">
      <w:start w:val="1"/>
      <w:numFmt w:val="lowerLetter"/>
      <w:lvlText w:val="%2."/>
      <w:lvlJc w:val="left"/>
      <w:pPr>
        <w:ind w:left="1440" w:hanging="360"/>
      </w:pPr>
    </w:lvl>
    <w:lvl w:ilvl="2" w:tplc="C4CEB9B0" w:tentative="1">
      <w:start w:val="1"/>
      <w:numFmt w:val="lowerRoman"/>
      <w:lvlText w:val="%3."/>
      <w:lvlJc w:val="right"/>
      <w:pPr>
        <w:ind w:left="2160" w:hanging="180"/>
      </w:pPr>
    </w:lvl>
    <w:lvl w:ilvl="3" w:tplc="42E6CC42" w:tentative="1">
      <w:start w:val="1"/>
      <w:numFmt w:val="decimal"/>
      <w:lvlText w:val="%4."/>
      <w:lvlJc w:val="left"/>
      <w:pPr>
        <w:ind w:left="2880" w:hanging="360"/>
      </w:pPr>
    </w:lvl>
    <w:lvl w:ilvl="4" w:tplc="74EE40DA" w:tentative="1">
      <w:start w:val="1"/>
      <w:numFmt w:val="lowerLetter"/>
      <w:lvlText w:val="%5."/>
      <w:lvlJc w:val="left"/>
      <w:pPr>
        <w:ind w:left="3600" w:hanging="360"/>
      </w:pPr>
    </w:lvl>
    <w:lvl w:ilvl="5" w:tplc="513006C2" w:tentative="1">
      <w:start w:val="1"/>
      <w:numFmt w:val="lowerRoman"/>
      <w:lvlText w:val="%6."/>
      <w:lvlJc w:val="right"/>
      <w:pPr>
        <w:ind w:left="4320" w:hanging="180"/>
      </w:pPr>
    </w:lvl>
    <w:lvl w:ilvl="6" w:tplc="BA3AB418" w:tentative="1">
      <w:start w:val="1"/>
      <w:numFmt w:val="decimal"/>
      <w:lvlText w:val="%7."/>
      <w:lvlJc w:val="left"/>
      <w:pPr>
        <w:ind w:left="5040" w:hanging="360"/>
      </w:pPr>
    </w:lvl>
    <w:lvl w:ilvl="7" w:tplc="9DC04808" w:tentative="1">
      <w:start w:val="1"/>
      <w:numFmt w:val="lowerLetter"/>
      <w:lvlText w:val="%8."/>
      <w:lvlJc w:val="left"/>
      <w:pPr>
        <w:ind w:left="5760" w:hanging="360"/>
      </w:pPr>
    </w:lvl>
    <w:lvl w:ilvl="8" w:tplc="C32633F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FBA5F6C">
      <w:start w:val="1"/>
      <w:numFmt w:val="lowerRoman"/>
      <w:lvlText w:val="(%1)"/>
      <w:lvlJc w:val="left"/>
      <w:pPr>
        <w:ind w:left="1080" w:hanging="720"/>
      </w:pPr>
      <w:rPr>
        <w:rFonts w:hint="default"/>
      </w:rPr>
    </w:lvl>
    <w:lvl w:ilvl="1" w:tplc="251A9AAA" w:tentative="1">
      <w:start w:val="1"/>
      <w:numFmt w:val="lowerLetter"/>
      <w:lvlText w:val="%2."/>
      <w:lvlJc w:val="left"/>
      <w:pPr>
        <w:ind w:left="1440" w:hanging="360"/>
      </w:pPr>
    </w:lvl>
    <w:lvl w:ilvl="2" w:tplc="153629BE" w:tentative="1">
      <w:start w:val="1"/>
      <w:numFmt w:val="lowerRoman"/>
      <w:lvlText w:val="%3."/>
      <w:lvlJc w:val="right"/>
      <w:pPr>
        <w:ind w:left="2160" w:hanging="180"/>
      </w:pPr>
    </w:lvl>
    <w:lvl w:ilvl="3" w:tplc="CAEAEB22" w:tentative="1">
      <w:start w:val="1"/>
      <w:numFmt w:val="decimal"/>
      <w:lvlText w:val="%4."/>
      <w:lvlJc w:val="left"/>
      <w:pPr>
        <w:ind w:left="2880" w:hanging="360"/>
      </w:pPr>
    </w:lvl>
    <w:lvl w:ilvl="4" w:tplc="0B3C4572" w:tentative="1">
      <w:start w:val="1"/>
      <w:numFmt w:val="lowerLetter"/>
      <w:lvlText w:val="%5."/>
      <w:lvlJc w:val="left"/>
      <w:pPr>
        <w:ind w:left="3600" w:hanging="360"/>
      </w:pPr>
    </w:lvl>
    <w:lvl w:ilvl="5" w:tplc="8A66DFE2" w:tentative="1">
      <w:start w:val="1"/>
      <w:numFmt w:val="lowerRoman"/>
      <w:lvlText w:val="%6."/>
      <w:lvlJc w:val="right"/>
      <w:pPr>
        <w:ind w:left="4320" w:hanging="180"/>
      </w:pPr>
    </w:lvl>
    <w:lvl w:ilvl="6" w:tplc="A1C45D70" w:tentative="1">
      <w:start w:val="1"/>
      <w:numFmt w:val="decimal"/>
      <w:lvlText w:val="%7."/>
      <w:lvlJc w:val="left"/>
      <w:pPr>
        <w:ind w:left="5040" w:hanging="360"/>
      </w:pPr>
    </w:lvl>
    <w:lvl w:ilvl="7" w:tplc="04CEA344" w:tentative="1">
      <w:start w:val="1"/>
      <w:numFmt w:val="lowerLetter"/>
      <w:lvlText w:val="%8."/>
      <w:lvlJc w:val="left"/>
      <w:pPr>
        <w:ind w:left="5760" w:hanging="360"/>
      </w:pPr>
    </w:lvl>
    <w:lvl w:ilvl="8" w:tplc="1A3E3C3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6CA27A4">
      <w:start w:val="1"/>
      <w:numFmt w:val="bullet"/>
      <w:lvlText w:val=""/>
      <w:lvlJc w:val="left"/>
      <w:pPr>
        <w:ind w:left="720" w:hanging="360"/>
      </w:pPr>
      <w:rPr>
        <w:rFonts w:ascii="Symbol" w:hAnsi="Symbol" w:hint="default"/>
        <w:color w:val="auto"/>
        <w:sz w:val="24"/>
        <w:szCs w:val="24"/>
      </w:rPr>
    </w:lvl>
    <w:lvl w:ilvl="1" w:tplc="1C1E0014" w:tentative="1">
      <w:start w:val="1"/>
      <w:numFmt w:val="bullet"/>
      <w:lvlText w:val="o"/>
      <w:lvlJc w:val="left"/>
      <w:pPr>
        <w:ind w:left="1440" w:hanging="360"/>
      </w:pPr>
      <w:rPr>
        <w:rFonts w:ascii="Courier New" w:hAnsi="Courier New" w:cs="Courier New" w:hint="default"/>
      </w:rPr>
    </w:lvl>
    <w:lvl w:ilvl="2" w:tplc="62943472" w:tentative="1">
      <w:start w:val="1"/>
      <w:numFmt w:val="bullet"/>
      <w:lvlText w:val=""/>
      <w:lvlJc w:val="left"/>
      <w:pPr>
        <w:ind w:left="2160" w:hanging="360"/>
      </w:pPr>
      <w:rPr>
        <w:rFonts w:ascii="Wingdings" w:hAnsi="Wingdings" w:hint="default"/>
      </w:rPr>
    </w:lvl>
    <w:lvl w:ilvl="3" w:tplc="468AAFD0" w:tentative="1">
      <w:start w:val="1"/>
      <w:numFmt w:val="bullet"/>
      <w:lvlText w:val=""/>
      <w:lvlJc w:val="left"/>
      <w:pPr>
        <w:ind w:left="2880" w:hanging="360"/>
      </w:pPr>
      <w:rPr>
        <w:rFonts w:ascii="Symbol" w:hAnsi="Symbol" w:hint="default"/>
      </w:rPr>
    </w:lvl>
    <w:lvl w:ilvl="4" w:tplc="5486EA5C" w:tentative="1">
      <w:start w:val="1"/>
      <w:numFmt w:val="bullet"/>
      <w:lvlText w:val="o"/>
      <w:lvlJc w:val="left"/>
      <w:pPr>
        <w:ind w:left="3600" w:hanging="360"/>
      </w:pPr>
      <w:rPr>
        <w:rFonts w:ascii="Courier New" w:hAnsi="Courier New" w:cs="Courier New" w:hint="default"/>
      </w:rPr>
    </w:lvl>
    <w:lvl w:ilvl="5" w:tplc="5088DCFA" w:tentative="1">
      <w:start w:val="1"/>
      <w:numFmt w:val="bullet"/>
      <w:lvlText w:val=""/>
      <w:lvlJc w:val="left"/>
      <w:pPr>
        <w:ind w:left="4320" w:hanging="360"/>
      </w:pPr>
      <w:rPr>
        <w:rFonts w:ascii="Wingdings" w:hAnsi="Wingdings" w:hint="default"/>
      </w:rPr>
    </w:lvl>
    <w:lvl w:ilvl="6" w:tplc="F2A65748" w:tentative="1">
      <w:start w:val="1"/>
      <w:numFmt w:val="bullet"/>
      <w:lvlText w:val=""/>
      <w:lvlJc w:val="left"/>
      <w:pPr>
        <w:ind w:left="5040" w:hanging="360"/>
      </w:pPr>
      <w:rPr>
        <w:rFonts w:ascii="Symbol" w:hAnsi="Symbol" w:hint="default"/>
      </w:rPr>
    </w:lvl>
    <w:lvl w:ilvl="7" w:tplc="BFDE61D2" w:tentative="1">
      <w:start w:val="1"/>
      <w:numFmt w:val="bullet"/>
      <w:lvlText w:val="o"/>
      <w:lvlJc w:val="left"/>
      <w:pPr>
        <w:ind w:left="5760" w:hanging="360"/>
      </w:pPr>
      <w:rPr>
        <w:rFonts w:ascii="Courier New" w:hAnsi="Courier New" w:cs="Courier New" w:hint="default"/>
      </w:rPr>
    </w:lvl>
    <w:lvl w:ilvl="8" w:tplc="41E8D7E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F36DC90">
      <w:start w:val="1"/>
      <w:numFmt w:val="lowerRoman"/>
      <w:lvlText w:val="(%1)"/>
      <w:lvlJc w:val="left"/>
      <w:pPr>
        <w:ind w:left="1080" w:hanging="720"/>
      </w:pPr>
      <w:rPr>
        <w:rFonts w:hint="default"/>
      </w:rPr>
    </w:lvl>
    <w:lvl w:ilvl="1" w:tplc="1298C3EC" w:tentative="1">
      <w:start w:val="1"/>
      <w:numFmt w:val="lowerLetter"/>
      <w:lvlText w:val="%2."/>
      <w:lvlJc w:val="left"/>
      <w:pPr>
        <w:ind w:left="1440" w:hanging="360"/>
      </w:pPr>
    </w:lvl>
    <w:lvl w:ilvl="2" w:tplc="EFA2A2CA" w:tentative="1">
      <w:start w:val="1"/>
      <w:numFmt w:val="lowerRoman"/>
      <w:lvlText w:val="%3."/>
      <w:lvlJc w:val="right"/>
      <w:pPr>
        <w:ind w:left="2160" w:hanging="180"/>
      </w:pPr>
    </w:lvl>
    <w:lvl w:ilvl="3" w:tplc="9AFC3DD6" w:tentative="1">
      <w:start w:val="1"/>
      <w:numFmt w:val="decimal"/>
      <w:lvlText w:val="%4."/>
      <w:lvlJc w:val="left"/>
      <w:pPr>
        <w:ind w:left="2880" w:hanging="360"/>
      </w:pPr>
    </w:lvl>
    <w:lvl w:ilvl="4" w:tplc="9BC681AE" w:tentative="1">
      <w:start w:val="1"/>
      <w:numFmt w:val="lowerLetter"/>
      <w:lvlText w:val="%5."/>
      <w:lvlJc w:val="left"/>
      <w:pPr>
        <w:ind w:left="3600" w:hanging="360"/>
      </w:pPr>
    </w:lvl>
    <w:lvl w:ilvl="5" w:tplc="95E04A8E" w:tentative="1">
      <w:start w:val="1"/>
      <w:numFmt w:val="lowerRoman"/>
      <w:lvlText w:val="%6."/>
      <w:lvlJc w:val="right"/>
      <w:pPr>
        <w:ind w:left="4320" w:hanging="180"/>
      </w:pPr>
    </w:lvl>
    <w:lvl w:ilvl="6" w:tplc="A80EB45E" w:tentative="1">
      <w:start w:val="1"/>
      <w:numFmt w:val="decimal"/>
      <w:lvlText w:val="%7."/>
      <w:lvlJc w:val="left"/>
      <w:pPr>
        <w:ind w:left="5040" w:hanging="360"/>
      </w:pPr>
    </w:lvl>
    <w:lvl w:ilvl="7" w:tplc="06543C3C" w:tentative="1">
      <w:start w:val="1"/>
      <w:numFmt w:val="lowerLetter"/>
      <w:lvlText w:val="%8."/>
      <w:lvlJc w:val="left"/>
      <w:pPr>
        <w:ind w:left="5760" w:hanging="360"/>
      </w:pPr>
    </w:lvl>
    <w:lvl w:ilvl="8" w:tplc="1C506F9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D80933A">
      <w:start w:val="1"/>
      <w:numFmt w:val="lowerRoman"/>
      <w:lvlText w:val="(%1)"/>
      <w:lvlJc w:val="left"/>
      <w:pPr>
        <w:ind w:left="1080" w:hanging="720"/>
      </w:pPr>
      <w:rPr>
        <w:rFonts w:hint="default"/>
      </w:rPr>
    </w:lvl>
    <w:lvl w:ilvl="1" w:tplc="96A22AF8" w:tentative="1">
      <w:start w:val="1"/>
      <w:numFmt w:val="lowerLetter"/>
      <w:lvlText w:val="%2."/>
      <w:lvlJc w:val="left"/>
      <w:pPr>
        <w:ind w:left="1440" w:hanging="360"/>
      </w:pPr>
    </w:lvl>
    <w:lvl w:ilvl="2" w:tplc="E93C5934" w:tentative="1">
      <w:start w:val="1"/>
      <w:numFmt w:val="lowerRoman"/>
      <w:lvlText w:val="%3."/>
      <w:lvlJc w:val="right"/>
      <w:pPr>
        <w:ind w:left="2160" w:hanging="180"/>
      </w:pPr>
    </w:lvl>
    <w:lvl w:ilvl="3" w:tplc="A2CAB48A" w:tentative="1">
      <w:start w:val="1"/>
      <w:numFmt w:val="decimal"/>
      <w:lvlText w:val="%4."/>
      <w:lvlJc w:val="left"/>
      <w:pPr>
        <w:ind w:left="2880" w:hanging="360"/>
      </w:pPr>
    </w:lvl>
    <w:lvl w:ilvl="4" w:tplc="B6BE1EF8" w:tentative="1">
      <w:start w:val="1"/>
      <w:numFmt w:val="lowerLetter"/>
      <w:lvlText w:val="%5."/>
      <w:lvlJc w:val="left"/>
      <w:pPr>
        <w:ind w:left="3600" w:hanging="360"/>
      </w:pPr>
    </w:lvl>
    <w:lvl w:ilvl="5" w:tplc="84F29826" w:tentative="1">
      <w:start w:val="1"/>
      <w:numFmt w:val="lowerRoman"/>
      <w:lvlText w:val="%6."/>
      <w:lvlJc w:val="right"/>
      <w:pPr>
        <w:ind w:left="4320" w:hanging="180"/>
      </w:pPr>
    </w:lvl>
    <w:lvl w:ilvl="6" w:tplc="90B884E8" w:tentative="1">
      <w:start w:val="1"/>
      <w:numFmt w:val="decimal"/>
      <w:lvlText w:val="%7."/>
      <w:lvlJc w:val="left"/>
      <w:pPr>
        <w:ind w:left="5040" w:hanging="360"/>
      </w:pPr>
    </w:lvl>
    <w:lvl w:ilvl="7" w:tplc="197C05A8" w:tentative="1">
      <w:start w:val="1"/>
      <w:numFmt w:val="lowerLetter"/>
      <w:lvlText w:val="%8."/>
      <w:lvlJc w:val="left"/>
      <w:pPr>
        <w:ind w:left="5760" w:hanging="360"/>
      </w:pPr>
    </w:lvl>
    <w:lvl w:ilvl="8" w:tplc="7D3CCA2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4BA44630">
      <w:start w:val="1"/>
      <w:numFmt w:val="lowerRoman"/>
      <w:lvlText w:val="(%1)"/>
      <w:lvlJc w:val="left"/>
      <w:pPr>
        <w:ind w:left="1080" w:hanging="720"/>
      </w:pPr>
      <w:rPr>
        <w:rFonts w:hint="default"/>
      </w:rPr>
    </w:lvl>
    <w:lvl w:ilvl="1" w:tplc="F19A47D8" w:tentative="1">
      <w:start w:val="1"/>
      <w:numFmt w:val="lowerLetter"/>
      <w:lvlText w:val="%2."/>
      <w:lvlJc w:val="left"/>
      <w:pPr>
        <w:ind w:left="1440" w:hanging="360"/>
      </w:pPr>
    </w:lvl>
    <w:lvl w:ilvl="2" w:tplc="B9B87DA8" w:tentative="1">
      <w:start w:val="1"/>
      <w:numFmt w:val="lowerRoman"/>
      <w:lvlText w:val="%3."/>
      <w:lvlJc w:val="right"/>
      <w:pPr>
        <w:ind w:left="2160" w:hanging="180"/>
      </w:pPr>
    </w:lvl>
    <w:lvl w:ilvl="3" w:tplc="17509D98" w:tentative="1">
      <w:start w:val="1"/>
      <w:numFmt w:val="decimal"/>
      <w:lvlText w:val="%4."/>
      <w:lvlJc w:val="left"/>
      <w:pPr>
        <w:ind w:left="2880" w:hanging="360"/>
      </w:pPr>
    </w:lvl>
    <w:lvl w:ilvl="4" w:tplc="67324328" w:tentative="1">
      <w:start w:val="1"/>
      <w:numFmt w:val="lowerLetter"/>
      <w:lvlText w:val="%5."/>
      <w:lvlJc w:val="left"/>
      <w:pPr>
        <w:ind w:left="3600" w:hanging="360"/>
      </w:pPr>
    </w:lvl>
    <w:lvl w:ilvl="5" w:tplc="AF3057C8" w:tentative="1">
      <w:start w:val="1"/>
      <w:numFmt w:val="lowerRoman"/>
      <w:lvlText w:val="%6."/>
      <w:lvlJc w:val="right"/>
      <w:pPr>
        <w:ind w:left="4320" w:hanging="180"/>
      </w:pPr>
    </w:lvl>
    <w:lvl w:ilvl="6" w:tplc="2A767828" w:tentative="1">
      <w:start w:val="1"/>
      <w:numFmt w:val="decimal"/>
      <w:lvlText w:val="%7."/>
      <w:lvlJc w:val="left"/>
      <w:pPr>
        <w:ind w:left="5040" w:hanging="360"/>
      </w:pPr>
    </w:lvl>
    <w:lvl w:ilvl="7" w:tplc="12F0E64E" w:tentative="1">
      <w:start w:val="1"/>
      <w:numFmt w:val="lowerLetter"/>
      <w:lvlText w:val="%8."/>
      <w:lvlJc w:val="left"/>
      <w:pPr>
        <w:ind w:left="5760" w:hanging="360"/>
      </w:pPr>
    </w:lvl>
    <w:lvl w:ilvl="8" w:tplc="ED209FA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DF4B39C">
      <w:start w:val="1"/>
      <w:numFmt w:val="lowerRoman"/>
      <w:lvlText w:val="(%1)"/>
      <w:lvlJc w:val="left"/>
      <w:pPr>
        <w:ind w:left="1080" w:hanging="720"/>
      </w:pPr>
      <w:rPr>
        <w:rFonts w:hint="default"/>
      </w:rPr>
    </w:lvl>
    <w:lvl w:ilvl="1" w:tplc="06FE8D6A" w:tentative="1">
      <w:start w:val="1"/>
      <w:numFmt w:val="lowerLetter"/>
      <w:lvlText w:val="%2."/>
      <w:lvlJc w:val="left"/>
      <w:pPr>
        <w:ind w:left="1440" w:hanging="360"/>
      </w:pPr>
    </w:lvl>
    <w:lvl w:ilvl="2" w:tplc="7F3A3BC8" w:tentative="1">
      <w:start w:val="1"/>
      <w:numFmt w:val="lowerRoman"/>
      <w:lvlText w:val="%3."/>
      <w:lvlJc w:val="right"/>
      <w:pPr>
        <w:ind w:left="2160" w:hanging="180"/>
      </w:pPr>
    </w:lvl>
    <w:lvl w:ilvl="3" w:tplc="BD38B36E" w:tentative="1">
      <w:start w:val="1"/>
      <w:numFmt w:val="decimal"/>
      <w:lvlText w:val="%4."/>
      <w:lvlJc w:val="left"/>
      <w:pPr>
        <w:ind w:left="2880" w:hanging="360"/>
      </w:pPr>
    </w:lvl>
    <w:lvl w:ilvl="4" w:tplc="19C4C8A6" w:tentative="1">
      <w:start w:val="1"/>
      <w:numFmt w:val="lowerLetter"/>
      <w:lvlText w:val="%5."/>
      <w:lvlJc w:val="left"/>
      <w:pPr>
        <w:ind w:left="3600" w:hanging="360"/>
      </w:pPr>
    </w:lvl>
    <w:lvl w:ilvl="5" w:tplc="0FBE2D0C" w:tentative="1">
      <w:start w:val="1"/>
      <w:numFmt w:val="lowerRoman"/>
      <w:lvlText w:val="%6."/>
      <w:lvlJc w:val="right"/>
      <w:pPr>
        <w:ind w:left="4320" w:hanging="180"/>
      </w:pPr>
    </w:lvl>
    <w:lvl w:ilvl="6" w:tplc="70EEE222" w:tentative="1">
      <w:start w:val="1"/>
      <w:numFmt w:val="decimal"/>
      <w:lvlText w:val="%7."/>
      <w:lvlJc w:val="left"/>
      <w:pPr>
        <w:ind w:left="5040" w:hanging="360"/>
      </w:pPr>
    </w:lvl>
    <w:lvl w:ilvl="7" w:tplc="EE246696" w:tentative="1">
      <w:start w:val="1"/>
      <w:numFmt w:val="lowerLetter"/>
      <w:lvlText w:val="%8."/>
      <w:lvlJc w:val="left"/>
      <w:pPr>
        <w:ind w:left="5760" w:hanging="360"/>
      </w:pPr>
    </w:lvl>
    <w:lvl w:ilvl="8" w:tplc="1B6C433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E8D615A8">
      <w:start w:val="1"/>
      <w:numFmt w:val="lowerRoman"/>
      <w:lvlText w:val="(%1)"/>
      <w:lvlJc w:val="left"/>
      <w:pPr>
        <w:ind w:left="1080" w:hanging="720"/>
      </w:pPr>
      <w:rPr>
        <w:rFonts w:hint="default"/>
      </w:rPr>
    </w:lvl>
    <w:lvl w:ilvl="1" w:tplc="342A7D26" w:tentative="1">
      <w:start w:val="1"/>
      <w:numFmt w:val="lowerLetter"/>
      <w:lvlText w:val="%2."/>
      <w:lvlJc w:val="left"/>
      <w:pPr>
        <w:ind w:left="1440" w:hanging="360"/>
      </w:pPr>
    </w:lvl>
    <w:lvl w:ilvl="2" w:tplc="A9C69A1C" w:tentative="1">
      <w:start w:val="1"/>
      <w:numFmt w:val="lowerRoman"/>
      <w:lvlText w:val="%3."/>
      <w:lvlJc w:val="right"/>
      <w:pPr>
        <w:ind w:left="2160" w:hanging="180"/>
      </w:pPr>
    </w:lvl>
    <w:lvl w:ilvl="3" w:tplc="976ED068" w:tentative="1">
      <w:start w:val="1"/>
      <w:numFmt w:val="decimal"/>
      <w:lvlText w:val="%4."/>
      <w:lvlJc w:val="left"/>
      <w:pPr>
        <w:ind w:left="2880" w:hanging="360"/>
      </w:pPr>
    </w:lvl>
    <w:lvl w:ilvl="4" w:tplc="A918A0DA" w:tentative="1">
      <w:start w:val="1"/>
      <w:numFmt w:val="lowerLetter"/>
      <w:lvlText w:val="%5."/>
      <w:lvlJc w:val="left"/>
      <w:pPr>
        <w:ind w:left="3600" w:hanging="360"/>
      </w:pPr>
    </w:lvl>
    <w:lvl w:ilvl="5" w:tplc="46382AB8" w:tentative="1">
      <w:start w:val="1"/>
      <w:numFmt w:val="lowerRoman"/>
      <w:lvlText w:val="%6."/>
      <w:lvlJc w:val="right"/>
      <w:pPr>
        <w:ind w:left="4320" w:hanging="180"/>
      </w:pPr>
    </w:lvl>
    <w:lvl w:ilvl="6" w:tplc="39D4E902" w:tentative="1">
      <w:start w:val="1"/>
      <w:numFmt w:val="decimal"/>
      <w:lvlText w:val="%7."/>
      <w:lvlJc w:val="left"/>
      <w:pPr>
        <w:ind w:left="5040" w:hanging="360"/>
      </w:pPr>
    </w:lvl>
    <w:lvl w:ilvl="7" w:tplc="B8704CB0" w:tentative="1">
      <w:start w:val="1"/>
      <w:numFmt w:val="lowerLetter"/>
      <w:lvlText w:val="%8."/>
      <w:lvlJc w:val="left"/>
      <w:pPr>
        <w:ind w:left="5760" w:hanging="360"/>
      </w:pPr>
    </w:lvl>
    <w:lvl w:ilvl="8" w:tplc="6E76152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331AED3E">
      <w:start w:val="1"/>
      <w:numFmt w:val="lowerRoman"/>
      <w:lvlText w:val="(%1)"/>
      <w:lvlJc w:val="left"/>
      <w:pPr>
        <w:ind w:left="1080" w:hanging="720"/>
      </w:pPr>
      <w:rPr>
        <w:rFonts w:hint="default"/>
      </w:rPr>
    </w:lvl>
    <w:lvl w:ilvl="1" w:tplc="F3DC0250" w:tentative="1">
      <w:start w:val="1"/>
      <w:numFmt w:val="lowerLetter"/>
      <w:lvlText w:val="%2."/>
      <w:lvlJc w:val="left"/>
      <w:pPr>
        <w:ind w:left="1440" w:hanging="360"/>
      </w:pPr>
    </w:lvl>
    <w:lvl w:ilvl="2" w:tplc="054459FE" w:tentative="1">
      <w:start w:val="1"/>
      <w:numFmt w:val="lowerRoman"/>
      <w:lvlText w:val="%3."/>
      <w:lvlJc w:val="right"/>
      <w:pPr>
        <w:ind w:left="2160" w:hanging="180"/>
      </w:pPr>
    </w:lvl>
    <w:lvl w:ilvl="3" w:tplc="CD18CAE8" w:tentative="1">
      <w:start w:val="1"/>
      <w:numFmt w:val="decimal"/>
      <w:lvlText w:val="%4."/>
      <w:lvlJc w:val="left"/>
      <w:pPr>
        <w:ind w:left="2880" w:hanging="360"/>
      </w:pPr>
    </w:lvl>
    <w:lvl w:ilvl="4" w:tplc="A19C5842" w:tentative="1">
      <w:start w:val="1"/>
      <w:numFmt w:val="lowerLetter"/>
      <w:lvlText w:val="%5."/>
      <w:lvlJc w:val="left"/>
      <w:pPr>
        <w:ind w:left="3600" w:hanging="360"/>
      </w:pPr>
    </w:lvl>
    <w:lvl w:ilvl="5" w:tplc="6A827098" w:tentative="1">
      <w:start w:val="1"/>
      <w:numFmt w:val="lowerRoman"/>
      <w:lvlText w:val="%6."/>
      <w:lvlJc w:val="right"/>
      <w:pPr>
        <w:ind w:left="4320" w:hanging="180"/>
      </w:pPr>
    </w:lvl>
    <w:lvl w:ilvl="6" w:tplc="D8F00EE0" w:tentative="1">
      <w:start w:val="1"/>
      <w:numFmt w:val="decimal"/>
      <w:lvlText w:val="%7."/>
      <w:lvlJc w:val="left"/>
      <w:pPr>
        <w:ind w:left="5040" w:hanging="360"/>
      </w:pPr>
    </w:lvl>
    <w:lvl w:ilvl="7" w:tplc="0DDE561A" w:tentative="1">
      <w:start w:val="1"/>
      <w:numFmt w:val="lowerLetter"/>
      <w:lvlText w:val="%8."/>
      <w:lvlJc w:val="left"/>
      <w:pPr>
        <w:ind w:left="5760" w:hanging="360"/>
      </w:pPr>
    </w:lvl>
    <w:lvl w:ilvl="8" w:tplc="BB5C41D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3630304">
    <w:abstractNumId w:val="11"/>
  </w:num>
  <w:num w:numId="2" w16cid:durableId="1088234792">
    <w:abstractNumId w:val="4"/>
  </w:num>
  <w:num w:numId="3" w16cid:durableId="354117268">
    <w:abstractNumId w:val="2"/>
  </w:num>
  <w:num w:numId="4" w16cid:durableId="451871713">
    <w:abstractNumId w:val="7"/>
  </w:num>
  <w:num w:numId="5" w16cid:durableId="1741974511">
    <w:abstractNumId w:val="6"/>
  </w:num>
  <w:num w:numId="6" w16cid:durableId="1404571380">
    <w:abstractNumId w:val="1"/>
  </w:num>
  <w:num w:numId="7" w16cid:durableId="968978992">
    <w:abstractNumId w:val="9"/>
  </w:num>
  <w:num w:numId="8" w16cid:durableId="1219049835">
    <w:abstractNumId w:val="5"/>
  </w:num>
  <w:num w:numId="9" w16cid:durableId="88083676">
    <w:abstractNumId w:val="8"/>
  </w:num>
  <w:num w:numId="10" w16cid:durableId="1471707165">
    <w:abstractNumId w:val="3"/>
  </w:num>
  <w:num w:numId="11" w16cid:durableId="1141533128">
    <w:abstractNumId w:val="10"/>
  </w:num>
  <w:num w:numId="12" w16cid:durableId="144901370">
    <w:abstractNumId w:val="0"/>
  </w:num>
  <w:num w:numId="13" w16cid:durableId="1466243204">
    <w:abstractNumId w:val="11"/>
  </w:num>
  <w:num w:numId="14" w16cid:durableId="2033144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72"/>
    <w:rsid w:val="0000339A"/>
    <w:rsid w:val="000050CC"/>
    <w:rsid w:val="0002561A"/>
    <w:rsid w:val="00025913"/>
    <w:rsid w:val="0003128C"/>
    <w:rsid w:val="000314FE"/>
    <w:rsid w:val="00036FBB"/>
    <w:rsid w:val="000437DB"/>
    <w:rsid w:val="0006140E"/>
    <w:rsid w:val="0006474B"/>
    <w:rsid w:val="00071EB4"/>
    <w:rsid w:val="0007317F"/>
    <w:rsid w:val="0008213D"/>
    <w:rsid w:val="000A056E"/>
    <w:rsid w:val="000B2CAD"/>
    <w:rsid w:val="000B6280"/>
    <w:rsid w:val="000C1945"/>
    <w:rsid w:val="000C1F68"/>
    <w:rsid w:val="000D20F0"/>
    <w:rsid w:val="000D582A"/>
    <w:rsid w:val="000D7606"/>
    <w:rsid w:val="000E3FBD"/>
    <w:rsid w:val="000E536F"/>
    <w:rsid w:val="000F4519"/>
    <w:rsid w:val="00104712"/>
    <w:rsid w:val="0010494C"/>
    <w:rsid w:val="00106772"/>
    <w:rsid w:val="00107ECB"/>
    <w:rsid w:val="00112AF5"/>
    <w:rsid w:val="0011378F"/>
    <w:rsid w:val="00114EF8"/>
    <w:rsid w:val="00115898"/>
    <w:rsid w:val="0012199E"/>
    <w:rsid w:val="00130EF5"/>
    <w:rsid w:val="001314B8"/>
    <w:rsid w:val="00142CA4"/>
    <w:rsid w:val="00162E0D"/>
    <w:rsid w:val="001660DD"/>
    <w:rsid w:val="001673A6"/>
    <w:rsid w:val="00183FF0"/>
    <w:rsid w:val="001841AC"/>
    <w:rsid w:val="001903B4"/>
    <w:rsid w:val="001C1A06"/>
    <w:rsid w:val="001C59F6"/>
    <w:rsid w:val="001C5C8A"/>
    <w:rsid w:val="001C6DDD"/>
    <w:rsid w:val="001E0A43"/>
    <w:rsid w:val="001F03A1"/>
    <w:rsid w:val="00200702"/>
    <w:rsid w:val="00203F61"/>
    <w:rsid w:val="00206C45"/>
    <w:rsid w:val="00207B71"/>
    <w:rsid w:val="00235A00"/>
    <w:rsid w:val="00241D2A"/>
    <w:rsid w:val="00243BA2"/>
    <w:rsid w:val="002448E5"/>
    <w:rsid w:val="0024676A"/>
    <w:rsid w:val="00247A6F"/>
    <w:rsid w:val="0025463B"/>
    <w:rsid w:val="00260C89"/>
    <w:rsid w:val="0026519F"/>
    <w:rsid w:val="00290EF8"/>
    <w:rsid w:val="002A23EF"/>
    <w:rsid w:val="002A592F"/>
    <w:rsid w:val="002B3468"/>
    <w:rsid w:val="002B50E5"/>
    <w:rsid w:val="002C0790"/>
    <w:rsid w:val="002D3AB0"/>
    <w:rsid w:val="002E23EF"/>
    <w:rsid w:val="002F70C5"/>
    <w:rsid w:val="003012EC"/>
    <w:rsid w:val="00304B38"/>
    <w:rsid w:val="003143A8"/>
    <w:rsid w:val="00317A82"/>
    <w:rsid w:val="00321386"/>
    <w:rsid w:val="00323678"/>
    <w:rsid w:val="00325338"/>
    <w:rsid w:val="00333672"/>
    <w:rsid w:val="003431FC"/>
    <w:rsid w:val="00373A68"/>
    <w:rsid w:val="00374582"/>
    <w:rsid w:val="00386C00"/>
    <w:rsid w:val="003A0F58"/>
    <w:rsid w:val="003A68EC"/>
    <w:rsid w:val="003B4A19"/>
    <w:rsid w:val="003D16EB"/>
    <w:rsid w:val="003D209E"/>
    <w:rsid w:val="003D45AF"/>
    <w:rsid w:val="003E6A01"/>
    <w:rsid w:val="003F4E9C"/>
    <w:rsid w:val="003F5745"/>
    <w:rsid w:val="003F797F"/>
    <w:rsid w:val="00407BFB"/>
    <w:rsid w:val="004100B7"/>
    <w:rsid w:val="00413432"/>
    <w:rsid w:val="004173CA"/>
    <w:rsid w:val="004364E3"/>
    <w:rsid w:val="00446830"/>
    <w:rsid w:val="0046060A"/>
    <w:rsid w:val="00463EF0"/>
    <w:rsid w:val="00475D66"/>
    <w:rsid w:val="004845AC"/>
    <w:rsid w:val="00484E9D"/>
    <w:rsid w:val="00487907"/>
    <w:rsid w:val="004A0EBB"/>
    <w:rsid w:val="004B1830"/>
    <w:rsid w:val="004C1CE2"/>
    <w:rsid w:val="004D169F"/>
    <w:rsid w:val="004D518F"/>
    <w:rsid w:val="004D51AE"/>
    <w:rsid w:val="004D75BC"/>
    <w:rsid w:val="00501EE3"/>
    <w:rsid w:val="005078B0"/>
    <w:rsid w:val="00515EBA"/>
    <w:rsid w:val="00516BC0"/>
    <w:rsid w:val="00522A42"/>
    <w:rsid w:val="0052497E"/>
    <w:rsid w:val="00536036"/>
    <w:rsid w:val="0053794C"/>
    <w:rsid w:val="00550E2E"/>
    <w:rsid w:val="00554846"/>
    <w:rsid w:val="00556F78"/>
    <w:rsid w:val="005644C8"/>
    <w:rsid w:val="00574FEA"/>
    <w:rsid w:val="00575B52"/>
    <w:rsid w:val="005C304C"/>
    <w:rsid w:val="005C4F86"/>
    <w:rsid w:val="005C5E07"/>
    <w:rsid w:val="005D1A39"/>
    <w:rsid w:val="005F1C50"/>
    <w:rsid w:val="00600F5C"/>
    <w:rsid w:val="00604FAF"/>
    <w:rsid w:val="00613690"/>
    <w:rsid w:val="00616372"/>
    <w:rsid w:val="00617EC0"/>
    <w:rsid w:val="0062240B"/>
    <w:rsid w:val="00636146"/>
    <w:rsid w:val="006435F7"/>
    <w:rsid w:val="006475FC"/>
    <w:rsid w:val="006600FF"/>
    <w:rsid w:val="00665724"/>
    <w:rsid w:val="00694389"/>
    <w:rsid w:val="006944E3"/>
    <w:rsid w:val="006A0E82"/>
    <w:rsid w:val="006A32D5"/>
    <w:rsid w:val="006A4954"/>
    <w:rsid w:val="006A7653"/>
    <w:rsid w:val="006C3AB6"/>
    <w:rsid w:val="006C732F"/>
    <w:rsid w:val="006E6CD1"/>
    <w:rsid w:val="006F11A7"/>
    <w:rsid w:val="006F1896"/>
    <w:rsid w:val="006F1D8B"/>
    <w:rsid w:val="006F35EB"/>
    <w:rsid w:val="006F53D3"/>
    <w:rsid w:val="00713589"/>
    <w:rsid w:val="007267C6"/>
    <w:rsid w:val="0073212F"/>
    <w:rsid w:val="0074522B"/>
    <w:rsid w:val="007464FA"/>
    <w:rsid w:val="00746741"/>
    <w:rsid w:val="00753A29"/>
    <w:rsid w:val="00775ACA"/>
    <w:rsid w:val="00782614"/>
    <w:rsid w:val="00783017"/>
    <w:rsid w:val="00784E2B"/>
    <w:rsid w:val="0079508D"/>
    <w:rsid w:val="007A1F8E"/>
    <w:rsid w:val="007A46FD"/>
    <w:rsid w:val="007A47BA"/>
    <w:rsid w:val="007A6723"/>
    <w:rsid w:val="007B0730"/>
    <w:rsid w:val="007B2C53"/>
    <w:rsid w:val="007B7166"/>
    <w:rsid w:val="007D01E9"/>
    <w:rsid w:val="007D48CA"/>
    <w:rsid w:val="007F1157"/>
    <w:rsid w:val="007F2E26"/>
    <w:rsid w:val="007F3F91"/>
    <w:rsid w:val="008065A0"/>
    <w:rsid w:val="0080732F"/>
    <w:rsid w:val="00822FDF"/>
    <w:rsid w:val="00833F44"/>
    <w:rsid w:val="00843E01"/>
    <w:rsid w:val="00845350"/>
    <w:rsid w:val="00845E01"/>
    <w:rsid w:val="00851471"/>
    <w:rsid w:val="0086198E"/>
    <w:rsid w:val="00866A39"/>
    <w:rsid w:val="008765D3"/>
    <w:rsid w:val="0088244B"/>
    <w:rsid w:val="00886825"/>
    <w:rsid w:val="00893A85"/>
    <w:rsid w:val="00894B9A"/>
    <w:rsid w:val="008A1889"/>
    <w:rsid w:val="008B72DF"/>
    <w:rsid w:val="008C6653"/>
    <w:rsid w:val="008D30EA"/>
    <w:rsid w:val="008D52B8"/>
    <w:rsid w:val="008F6CFA"/>
    <w:rsid w:val="00912ED5"/>
    <w:rsid w:val="00917B55"/>
    <w:rsid w:val="009219C1"/>
    <w:rsid w:val="0092488E"/>
    <w:rsid w:val="0093447F"/>
    <w:rsid w:val="009440B8"/>
    <w:rsid w:val="0094747E"/>
    <w:rsid w:val="0095181E"/>
    <w:rsid w:val="0096242F"/>
    <w:rsid w:val="009831DE"/>
    <w:rsid w:val="00986DB6"/>
    <w:rsid w:val="0099282D"/>
    <w:rsid w:val="00994ECB"/>
    <w:rsid w:val="009972B9"/>
    <w:rsid w:val="009A7209"/>
    <w:rsid w:val="009B2A9F"/>
    <w:rsid w:val="009B48B0"/>
    <w:rsid w:val="009F2448"/>
    <w:rsid w:val="009F5835"/>
    <w:rsid w:val="00A016CC"/>
    <w:rsid w:val="00A071F7"/>
    <w:rsid w:val="00A22320"/>
    <w:rsid w:val="00A37FFA"/>
    <w:rsid w:val="00A5786E"/>
    <w:rsid w:val="00A76F47"/>
    <w:rsid w:val="00A77199"/>
    <w:rsid w:val="00A7756C"/>
    <w:rsid w:val="00A839F7"/>
    <w:rsid w:val="00A903BB"/>
    <w:rsid w:val="00A96E42"/>
    <w:rsid w:val="00AB6195"/>
    <w:rsid w:val="00AD71A3"/>
    <w:rsid w:val="00AE0873"/>
    <w:rsid w:val="00AE5B77"/>
    <w:rsid w:val="00B1325B"/>
    <w:rsid w:val="00B15604"/>
    <w:rsid w:val="00B420E7"/>
    <w:rsid w:val="00B538FF"/>
    <w:rsid w:val="00B55FD5"/>
    <w:rsid w:val="00B61CAA"/>
    <w:rsid w:val="00B74C69"/>
    <w:rsid w:val="00B80E1A"/>
    <w:rsid w:val="00B85C3D"/>
    <w:rsid w:val="00B92065"/>
    <w:rsid w:val="00BA28D8"/>
    <w:rsid w:val="00BA784C"/>
    <w:rsid w:val="00BB7BC4"/>
    <w:rsid w:val="00BD2A92"/>
    <w:rsid w:val="00BE23D4"/>
    <w:rsid w:val="00BE7480"/>
    <w:rsid w:val="00BF439B"/>
    <w:rsid w:val="00C2662D"/>
    <w:rsid w:val="00C3618D"/>
    <w:rsid w:val="00C431E4"/>
    <w:rsid w:val="00C4769F"/>
    <w:rsid w:val="00C665E6"/>
    <w:rsid w:val="00C6751B"/>
    <w:rsid w:val="00C706F5"/>
    <w:rsid w:val="00C70EAA"/>
    <w:rsid w:val="00C756C0"/>
    <w:rsid w:val="00C85C37"/>
    <w:rsid w:val="00C86EFE"/>
    <w:rsid w:val="00CA5395"/>
    <w:rsid w:val="00CB5F52"/>
    <w:rsid w:val="00CD4E71"/>
    <w:rsid w:val="00CD6868"/>
    <w:rsid w:val="00CE0843"/>
    <w:rsid w:val="00CF2D17"/>
    <w:rsid w:val="00D00BE0"/>
    <w:rsid w:val="00D01C05"/>
    <w:rsid w:val="00D0266C"/>
    <w:rsid w:val="00D170D1"/>
    <w:rsid w:val="00D60C8C"/>
    <w:rsid w:val="00D618A7"/>
    <w:rsid w:val="00D61D6C"/>
    <w:rsid w:val="00D63A20"/>
    <w:rsid w:val="00D777B5"/>
    <w:rsid w:val="00D877A1"/>
    <w:rsid w:val="00D94EE6"/>
    <w:rsid w:val="00DA3432"/>
    <w:rsid w:val="00DB297B"/>
    <w:rsid w:val="00DB79F1"/>
    <w:rsid w:val="00DC00FE"/>
    <w:rsid w:val="00DC5889"/>
    <w:rsid w:val="00DD531E"/>
    <w:rsid w:val="00DD76F7"/>
    <w:rsid w:val="00DE6CA7"/>
    <w:rsid w:val="00DF07EC"/>
    <w:rsid w:val="00DF2453"/>
    <w:rsid w:val="00E07335"/>
    <w:rsid w:val="00E13184"/>
    <w:rsid w:val="00E1392F"/>
    <w:rsid w:val="00E14C72"/>
    <w:rsid w:val="00E17A6A"/>
    <w:rsid w:val="00E2553D"/>
    <w:rsid w:val="00E322CF"/>
    <w:rsid w:val="00E33871"/>
    <w:rsid w:val="00E33ADC"/>
    <w:rsid w:val="00E3421C"/>
    <w:rsid w:val="00E3753B"/>
    <w:rsid w:val="00E43737"/>
    <w:rsid w:val="00E4391F"/>
    <w:rsid w:val="00E45FC8"/>
    <w:rsid w:val="00E47D55"/>
    <w:rsid w:val="00E50A46"/>
    <w:rsid w:val="00E5512E"/>
    <w:rsid w:val="00E73C82"/>
    <w:rsid w:val="00E87A46"/>
    <w:rsid w:val="00E94486"/>
    <w:rsid w:val="00E966CC"/>
    <w:rsid w:val="00E9715B"/>
    <w:rsid w:val="00EA0BA3"/>
    <w:rsid w:val="00EA2158"/>
    <w:rsid w:val="00EA2A55"/>
    <w:rsid w:val="00EA2D00"/>
    <w:rsid w:val="00EE4FD2"/>
    <w:rsid w:val="00EF21B3"/>
    <w:rsid w:val="00EF3240"/>
    <w:rsid w:val="00F266E6"/>
    <w:rsid w:val="00F2732D"/>
    <w:rsid w:val="00F3725A"/>
    <w:rsid w:val="00F37681"/>
    <w:rsid w:val="00F435C0"/>
    <w:rsid w:val="00F57E0C"/>
    <w:rsid w:val="00F62309"/>
    <w:rsid w:val="00F807B6"/>
    <w:rsid w:val="00F90A5B"/>
    <w:rsid w:val="00FB2A37"/>
    <w:rsid w:val="00FC7DF8"/>
    <w:rsid w:val="00FF266F"/>
    <w:rsid w:val="00FF3C2C"/>
    <w:rsid w:val="00FF6C56"/>
    <w:rsid w:val="00FF77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E23F6C3"/>
  <w15:docId w15:val="{8CC30F16-0415-41A1-906C-35A2233A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B22CAF" w:rsidRDefault="00B22CAF"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22CAF" w:rsidRDefault="00B22CAF">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B22CAF" w:rsidRDefault="00B22CAF" w:rsidP="00AF0AC5">
          <w:pPr>
            <w:pStyle w:val="D6903D02D7CB4A26959385EE7707C951"/>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B22CAF" w:rsidRDefault="00B22CAF" w:rsidP="00AF0AC5">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22CAF" w:rsidRDefault="00B22CAF" w:rsidP="00AF0AC5">
          <w:pPr>
            <w:pStyle w:val="C796FB26220542558C2A81DE34485313"/>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B22CAF" w:rsidRDefault="00B22CAF" w:rsidP="00AF0AC5">
          <w:pPr>
            <w:pStyle w:val="5E7E924704454EBDA7B62D363A782465"/>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B22CAF" w:rsidRDefault="00B22CAF" w:rsidP="00AF0AC5">
          <w:pPr>
            <w:pStyle w:val="B49FA1BBEF644AB6B201ADBCD49F2011"/>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22CAF" w:rsidRDefault="00B22CAF"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22CAF"/>
    <w:rsid w:val="0000339A"/>
    <w:rsid w:val="002B3468"/>
    <w:rsid w:val="00391937"/>
    <w:rsid w:val="003F5745"/>
    <w:rsid w:val="004364E3"/>
    <w:rsid w:val="00463EF0"/>
    <w:rsid w:val="00B22CAF"/>
    <w:rsid w:val="00BD030D"/>
    <w:rsid w:val="00CD4E71"/>
    <w:rsid w:val="00EE4F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1A6E85FD01B4416BCA5D6257A7AFB1E">
    <w:name w:val="31A6E85FD01B4416BCA5D6257A7AFB1E"/>
    <w:rsid w:val="0076019D"/>
  </w:style>
  <w:style w:type="paragraph" w:customStyle="1" w:styleId="D6903D02D7CB4A26959385EE7707C951">
    <w:name w:val="D6903D02D7CB4A26959385EE7707C951"/>
    <w:rsid w:val="00AF0AC5"/>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5E7E924704454EBDA7B62D363A782465">
    <w:name w:val="5E7E924704454EBDA7B62D363A782465"/>
    <w:rsid w:val="00AF0AC5"/>
  </w:style>
  <w:style w:type="paragraph" w:customStyle="1" w:styleId="B49FA1BBEF644AB6B201ADBCD49F2011">
    <w:name w:val="B49FA1BBEF644AB6B201ADBCD49F2011"/>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68BB2A53-5ECC-45A7-ACD5-A63A484112C3}"/>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2680</Words>
  <Characters>15281</Characters>
  <Application>Microsoft Office Word</Application>
  <DocSecurity>8</DocSecurity>
  <Lines>127</Lines>
  <Paragraphs>35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2025-04-10T01:29:00Z</dcterms:created>
  <dcterms:modified xsi:type="dcterms:W3CDTF">2025-04-10T01:29:00Z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