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435B" w14:textId="2E8FB589" w:rsidR="00C823DF" w:rsidRDefault="00C823D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70B96B2" wp14:editId="2DD063C1">
                <wp:simplePos x="0" y="0"/>
                <wp:positionH relativeFrom="column">
                  <wp:posOffset>-895350</wp:posOffset>
                </wp:positionH>
                <wp:positionV relativeFrom="paragraph">
                  <wp:posOffset>722630</wp:posOffset>
                </wp:positionV>
                <wp:extent cx="5686425" cy="1727200"/>
                <wp:effectExtent l="0" t="0" r="0" b="0"/>
                <wp:wrapSquare wrapText="bothSides"/>
                <wp:docPr id="1147219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2EE49" w14:textId="77777777" w:rsidR="00C823DF" w:rsidRDefault="00C823D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9C14D4" w14:textId="77777777" w:rsidR="00C823DF" w:rsidRPr="001E694D" w:rsidRDefault="00C823D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5D7C63C" w14:textId="77777777" w:rsidR="00C823DF" w:rsidRPr="001E694D" w:rsidRDefault="00C823DF" w:rsidP="009504D0">
                            <w:pPr>
                              <w:pStyle w:val="ContactNumber"/>
                              <w:spacing w:after="600"/>
                              <w:rPr>
                                <w:rFonts w:ascii="Open Sans" w:hAnsi="Open Sans" w:cs="Open Sans"/>
                              </w:rPr>
                            </w:pPr>
                            <w:r w:rsidRPr="001E694D">
                              <w:rPr>
                                <w:rFonts w:ascii="Open Sans" w:hAnsi="Open Sans" w:cs="Open Sans"/>
                              </w:rPr>
                              <w:t>Agedcarequality.gov.au</w:t>
                            </w:r>
                          </w:p>
                          <w:p w14:paraId="41DCAEA2" w14:textId="77777777" w:rsidR="00C823DF" w:rsidRDefault="00C823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0B96B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6A2EE49" w14:textId="77777777" w:rsidR="00C823DF" w:rsidRDefault="00C823D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9C14D4" w14:textId="77777777" w:rsidR="00C823DF" w:rsidRPr="001E694D" w:rsidRDefault="00C823D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5D7C63C" w14:textId="77777777" w:rsidR="00C823DF" w:rsidRPr="001E694D" w:rsidRDefault="00C823DF" w:rsidP="009504D0">
                      <w:pPr>
                        <w:pStyle w:val="ContactNumber"/>
                        <w:spacing w:after="600"/>
                        <w:rPr>
                          <w:rFonts w:ascii="Open Sans" w:hAnsi="Open Sans" w:cs="Open Sans"/>
                        </w:rPr>
                      </w:pPr>
                      <w:r w:rsidRPr="001E694D">
                        <w:rPr>
                          <w:rFonts w:ascii="Open Sans" w:hAnsi="Open Sans" w:cs="Open Sans"/>
                        </w:rPr>
                        <w:t>Agedcarequality.gov.au</w:t>
                      </w:r>
                    </w:p>
                    <w:p w14:paraId="41DCAEA2" w14:textId="77777777" w:rsidR="00C823DF" w:rsidRDefault="00C823DF"/>
                  </w:txbxContent>
                </v:textbox>
                <w10:wrap type="square"/>
              </v:shape>
            </w:pict>
          </mc:Fallback>
        </mc:AlternateContent>
      </w:r>
      <w:r>
        <w:rPr>
          <w:noProof/>
        </w:rPr>
        <w:drawing>
          <wp:anchor distT="360045" distB="180340" distL="114300" distR="114300" simplePos="0" relativeHeight="251659264" behindDoc="1" locked="0" layoutInCell="1" allowOverlap="1" wp14:anchorId="52A0F07F" wp14:editId="03371D1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9D8D133" w14:textId="77777777" w:rsidR="00C823DF" w:rsidRPr="001E694D" w:rsidRDefault="00C823DF" w:rsidP="001E694D">
      <w:pPr>
        <w:tabs>
          <w:tab w:val="left" w:pos="4569"/>
        </w:tabs>
        <w:rPr>
          <w:rFonts w:ascii="Open Sans" w:hAnsi="Open Sans" w:cs="Open Sans"/>
          <w:color w:val="FFFFFF" w:themeColor="background1"/>
          <w:sz w:val="66"/>
          <w:szCs w:val="66"/>
        </w:rPr>
      </w:pPr>
    </w:p>
    <w:p w14:paraId="4DDE74E2" w14:textId="77777777" w:rsidR="00C823DF" w:rsidRDefault="00C823DF" w:rsidP="00372ED2">
      <w:pPr>
        <w:spacing w:after="0"/>
        <w:rPr>
          <w:rFonts w:ascii="Open Sans" w:hAnsi="Open Sans" w:cs="Open Sans"/>
          <w:b/>
          <w:bCs/>
          <w:color w:val="FFFFFF" w:themeColor="background1"/>
          <w:sz w:val="66"/>
          <w:szCs w:val="66"/>
        </w:rPr>
      </w:pPr>
    </w:p>
    <w:p w14:paraId="6A36D665" w14:textId="77777777" w:rsidR="00C823DF" w:rsidRDefault="00C823DF" w:rsidP="00372ED2">
      <w:pPr>
        <w:spacing w:after="0"/>
        <w:rPr>
          <w:rFonts w:ascii="Open Sans" w:hAnsi="Open Sans" w:cs="Open Sans"/>
          <w:b/>
          <w:bCs/>
          <w:color w:val="FFFFFF" w:themeColor="background1"/>
          <w:sz w:val="66"/>
          <w:szCs w:val="66"/>
        </w:rPr>
      </w:pPr>
    </w:p>
    <w:p w14:paraId="54CBC7CB" w14:textId="77777777" w:rsidR="00C823DF" w:rsidRPr="00412FC5" w:rsidRDefault="00C823D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ED65D9" w14:paraId="0DBD9426" w14:textId="77777777" w:rsidTr="00ED65D9">
        <w:tc>
          <w:tcPr>
            <w:cnfStyle w:val="001000000000" w:firstRow="0" w:lastRow="0" w:firstColumn="1" w:lastColumn="0" w:oddVBand="0" w:evenVBand="0" w:oddHBand="0" w:evenHBand="0" w:firstRowFirstColumn="0" w:firstRowLastColumn="0" w:lastRowFirstColumn="0" w:lastRowLastColumn="0"/>
            <w:tcW w:w="3227" w:type="dxa"/>
          </w:tcPr>
          <w:p w14:paraId="28BC8E30" w14:textId="77777777" w:rsidR="00C823DF" w:rsidRPr="001E694D" w:rsidRDefault="00C823D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4A7A04D" w14:textId="77777777" w:rsidR="00C823DF" w:rsidRPr="001E694D" w:rsidRDefault="00C823D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Bethel Aged Care</w:t>
            </w:r>
          </w:p>
        </w:tc>
      </w:tr>
      <w:tr w:rsidR="00ED65D9" w14:paraId="5D479ADD" w14:textId="77777777" w:rsidTr="00ED6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E9380B" w14:textId="77777777" w:rsidR="00C823DF" w:rsidRPr="001E694D" w:rsidRDefault="00C823D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A17C75A" w14:textId="77777777" w:rsidR="00C823DF" w:rsidRPr="001E694D" w:rsidRDefault="00C823D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3872</w:t>
            </w:r>
          </w:p>
        </w:tc>
      </w:tr>
      <w:tr w:rsidR="00ED65D9" w14:paraId="0929893C" w14:textId="77777777" w:rsidTr="00ED65D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0D01F4" w14:textId="77777777" w:rsidR="00C823DF" w:rsidRPr="001E694D" w:rsidRDefault="00C823D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110B62C" w14:textId="77777777" w:rsidR="00C823DF" w:rsidRPr="001E694D" w:rsidRDefault="00C823D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600 Plenty</w:t>
            </w:r>
            <w:r w:rsidRPr="001E694D">
              <w:rPr>
                <w:rFonts w:ascii="Open Sans" w:eastAsia="Times New Roman" w:hAnsi="Open Sans" w:cs="Open Sans"/>
                <w:lang w:eastAsia="en-AU"/>
              </w:rPr>
              <w:t xml:space="preserve"> Road, MILL PARK, Victoria, 3082</w:t>
            </w:r>
          </w:p>
        </w:tc>
      </w:tr>
      <w:tr w:rsidR="00ED65D9" w14:paraId="490750E1" w14:textId="77777777" w:rsidTr="00ED6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826EB5" w14:textId="77777777" w:rsidR="00C823DF" w:rsidRPr="001E694D" w:rsidRDefault="00C823D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BDDDA2A" w14:textId="77777777" w:rsidR="00C823DF" w:rsidRPr="001E694D" w:rsidRDefault="00C823D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D65D9" w14:paraId="633A7642" w14:textId="77777777" w:rsidTr="00ED65D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B6967D" w14:textId="77777777" w:rsidR="00C823DF" w:rsidRPr="001E694D" w:rsidRDefault="00C823D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FB80F94" w14:textId="77777777" w:rsidR="00C823DF" w:rsidRPr="001E694D" w:rsidRDefault="00C823D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13 February 2025</w:t>
            </w:r>
          </w:p>
        </w:tc>
      </w:tr>
      <w:tr w:rsidR="00ED65D9" w14:paraId="08918CDF" w14:textId="77777777" w:rsidTr="00ED6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D7A57B" w14:textId="77777777" w:rsidR="00C823DF" w:rsidRPr="001E694D" w:rsidRDefault="00C823D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87976655"/>
            <w:placeholder>
              <w:docPart w:val="DefaultPlaceholder_-1854013437"/>
            </w:placeholder>
            <w:date w:fullDate="2025-03-10T00:00:00Z">
              <w:dateFormat w:val="d MMMM yyyy"/>
              <w:lid w:val="en-AU"/>
              <w:storeMappedDataAs w:val="dateTime"/>
              <w:calendar w:val="gregorian"/>
            </w:date>
          </w:sdtPr>
          <w:sdtEndPr/>
          <w:sdtContent>
            <w:tc>
              <w:tcPr>
                <w:tcW w:w="7114" w:type="dxa"/>
                <w:shd w:val="clear" w:color="auto" w:fill="FFFFFF" w:themeFill="background1"/>
              </w:tcPr>
              <w:p w14:paraId="6FF441E9" w14:textId="5E453E8C" w:rsidR="00C823DF" w:rsidRPr="001E694D" w:rsidRDefault="00031BA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10 March 2025</w:t>
                </w:r>
              </w:p>
            </w:tc>
          </w:sdtContent>
        </w:sdt>
      </w:tr>
      <w:tr w:rsidR="00ED65D9" w14:paraId="2F1D8410" w14:textId="77777777" w:rsidTr="00ED65D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2D5F8FD" w14:textId="77777777" w:rsidR="00C823DF" w:rsidRPr="001E694D" w:rsidRDefault="00C823D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5BDE1AA" w14:textId="77777777" w:rsidR="00C823DF" w:rsidRPr="001E694D" w:rsidRDefault="00C823D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2552 Java Dale Pty Ltd </w:t>
            </w:r>
          </w:p>
          <w:p w14:paraId="10873C35" w14:textId="77777777" w:rsidR="00C823DF" w:rsidRPr="001E694D" w:rsidRDefault="00C823D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5923 Bethel Aged Care</w:t>
            </w:r>
          </w:p>
        </w:tc>
      </w:tr>
    </w:tbl>
    <w:bookmarkEnd w:id="0"/>
    <w:p w14:paraId="1A60263E" w14:textId="77777777" w:rsidR="00C823DF" w:rsidRPr="001E694D" w:rsidRDefault="00C823D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5A7D67C" w14:textId="77777777" w:rsidR="00C823DF" w:rsidRPr="003E162B" w:rsidRDefault="00C823D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2DC5B91" w14:textId="6BF955D7" w:rsidR="00C823DF" w:rsidRPr="001E694D" w:rsidRDefault="00C823D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Bethel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S Turner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AB1A1B8" w14:textId="77777777" w:rsidR="00C823DF" w:rsidRPr="001E694D" w:rsidRDefault="00C823D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B95D3BB" w14:textId="77777777" w:rsidR="00C823DF" w:rsidRPr="001E694D" w:rsidRDefault="00C823D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DE87624" w14:textId="77777777" w:rsidR="00C823DF" w:rsidRPr="003E162B" w:rsidRDefault="00C823D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A090850" w14:textId="77777777" w:rsidR="00C823DF" w:rsidRPr="001E694D" w:rsidRDefault="00C823D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790B89B" w14:textId="3FC6A883" w:rsidR="00C823DF" w:rsidRPr="001E694D" w:rsidRDefault="00C823DF"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w:t>
      </w:r>
      <w:r w:rsidR="00694B3B">
        <w:rPr>
          <w:rFonts w:ascii="Open Sans" w:hAnsi="Open Sans" w:cs="Open Sans"/>
        </w:rPr>
        <w:t>A</w:t>
      </w:r>
      <w:r w:rsidRPr="001E694D">
        <w:rPr>
          <w:rFonts w:ascii="Open Sans" w:hAnsi="Open Sans" w:cs="Open Sans"/>
        </w:rPr>
        <w:t xml:space="preserve">ssessment </w:t>
      </w:r>
      <w:r w:rsidR="00694B3B">
        <w:rPr>
          <w:rFonts w:ascii="Open Sans" w:hAnsi="Open Sans" w:cs="Open Sans"/>
        </w:rPr>
        <w:t>T</w:t>
      </w:r>
      <w:r w:rsidRPr="001E694D">
        <w:rPr>
          <w:rFonts w:ascii="Open Sans" w:hAnsi="Open Sans" w:cs="Open Sans"/>
        </w:rPr>
        <w:t xml:space="preserve">eam’s report for </w:t>
      </w:r>
      <w:r w:rsidRPr="001E694D">
        <w:rPr>
          <w:rFonts w:ascii="Open Sans" w:hAnsi="Open Sans" w:cs="Open Sans"/>
          <w:color w:val="auto"/>
        </w:rPr>
        <w:t>the Assessment contact (performance assessment) – site report was informed b</w:t>
      </w:r>
      <w:r w:rsidRPr="004B67DD">
        <w:rPr>
          <w:rFonts w:ascii="Open Sans" w:hAnsi="Open Sans" w:cs="Open Sans"/>
          <w:color w:val="0D0D0D" w:themeColor="text1" w:themeTint="F2"/>
        </w:rPr>
        <w:t>y a site assessment, observations at the service, review of documents and interviews with staff, older people/representatives and others</w:t>
      </w:r>
    </w:p>
    <w:p w14:paraId="66070074" w14:textId="34A3D6A1" w:rsidR="00C823DF" w:rsidRPr="00495A2A" w:rsidRDefault="00C823DF" w:rsidP="00712752">
      <w:pPr>
        <w:pStyle w:val="ListParagraph"/>
        <w:numPr>
          <w:ilvl w:val="0"/>
          <w:numId w:val="2"/>
        </w:numPr>
        <w:spacing w:line="240" w:lineRule="atLeast"/>
        <w:ind w:left="714" w:hanging="357"/>
        <w:contextualSpacing w:val="0"/>
        <w:rPr>
          <w:rFonts w:ascii="Open Sans" w:hAnsi="Open Sans" w:cs="Open Sans"/>
          <w:color w:val="0D0D0D" w:themeColor="text1" w:themeTint="F2"/>
        </w:rPr>
      </w:pPr>
      <w:r w:rsidRPr="00495A2A">
        <w:rPr>
          <w:rFonts w:ascii="Open Sans" w:hAnsi="Open Sans" w:cs="Open Sans"/>
          <w:color w:val="0D0D0D" w:themeColor="text1" w:themeTint="F2"/>
        </w:rPr>
        <w:t xml:space="preserve">the provider’s response to the </w:t>
      </w:r>
      <w:r w:rsidR="00694B3B">
        <w:rPr>
          <w:rFonts w:ascii="Open Sans" w:hAnsi="Open Sans" w:cs="Open Sans"/>
          <w:color w:val="0D0D0D" w:themeColor="text1" w:themeTint="F2"/>
        </w:rPr>
        <w:t>A</w:t>
      </w:r>
      <w:r w:rsidRPr="00495A2A">
        <w:rPr>
          <w:rFonts w:ascii="Open Sans" w:hAnsi="Open Sans" w:cs="Open Sans"/>
          <w:color w:val="0D0D0D" w:themeColor="text1" w:themeTint="F2"/>
        </w:rPr>
        <w:t xml:space="preserve">ssessment </w:t>
      </w:r>
      <w:r w:rsidR="00694B3B">
        <w:rPr>
          <w:rFonts w:ascii="Open Sans" w:hAnsi="Open Sans" w:cs="Open Sans"/>
          <w:color w:val="0D0D0D" w:themeColor="text1" w:themeTint="F2"/>
        </w:rPr>
        <w:t>T</w:t>
      </w:r>
      <w:r w:rsidRPr="00495A2A">
        <w:rPr>
          <w:rFonts w:ascii="Open Sans" w:hAnsi="Open Sans" w:cs="Open Sans"/>
          <w:color w:val="0D0D0D" w:themeColor="text1" w:themeTint="F2"/>
        </w:rPr>
        <w:t>eam’s report received</w:t>
      </w:r>
      <w:r w:rsidR="0099007D" w:rsidRPr="00495A2A">
        <w:rPr>
          <w:rFonts w:ascii="Open Sans" w:hAnsi="Open Sans" w:cs="Open Sans"/>
          <w:color w:val="0D0D0D" w:themeColor="text1" w:themeTint="F2"/>
        </w:rPr>
        <w:t xml:space="preserve"> 5 March 2025</w:t>
      </w:r>
    </w:p>
    <w:p w14:paraId="25E86F4B" w14:textId="1E077D64" w:rsidR="00C823DF" w:rsidRPr="001E694D" w:rsidRDefault="00B736E4" w:rsidP="000C5D91">
      <w:pPr>
        <w:pStyle w:val="ListParagraph"/>
        <w:numPr>
          <w:ilvl w:val="0"/>
          <w:numId w:val="2"/>
        </w:numPr>
        <w:spacing w:line="22" w:lineRule="atLeast"/>
        <w:ind w:left="714" w:hanging="357"/>
        <w:contextualSpacing w:val="0"/>
        <w:rPr>
          <w:rFonts w:ascii="Open Sans" w:hAnsi="Open Sans" w:cs="Open Sans"/>
        </w:rPr>
      </w:pPr>
      <w:r w:rsidRPr="00CD134B">
        <w:rPr>
          <w:rFonts w:ascii="Open Sans" w:hAnsi="Open Sans" w:cs="Open Sans"/>
          <w:color w:val="0D0D0D" w:themeColor="text1" w:themeTint="F2"/>
        </w:rPr>
        <w:t xml:space="preserve">information about the service </w:t>
      </w:r>
      <w:r w:rsidR="00FB1598" w:rsidRPr="00CD134B">
        <w:rPr>
          <w:rFonts w:ascii="Open Sans" w:hAnsi="Open Sans" w:cs="Open Sans"/>
          <w:color w:val="0D0D0D" w:themeColor="text1" w:themeTint="F2"/>
        </w:rPr>
        <w:t>and its history that is held by the Commission</w:t>
      </w:r>
      <w:r w:rsidRPr="00CD134B">
        <w:rPr>
          <w:rFonts w:ascii="Open Sans" w:hAnsi="Open Sans" w:cs="Open Sans"/>
          <w:color w:val="0D0D0D" w:themeColor="text1" w:themeTint="F2"/>
        </w:rPr>
        <w:t xml:space="preserve"> </w:t>
      </w:r>
      <w:r w:rsidR="00C823DF" w:rsidRPr="001E694D">
        <w:rPr>
          <w:rFonts w:ascii="Open Sans" w:hAnsi="Open Sans" w:cs="Open Sans"/>
        </w:rPr>
        <w:br w:type="page"/>
      </w:r>
    </w:p>
    <w:p w14:paraId="610260B8" w14:textId="77777777" w:rsidR="00C823DF" w:rsidRPr="003E162B" w:rsidRDefault="00C823D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ED65D9" w14:paraId="279330E8" w14:textId="77777777" w:rsidTr="00B75E0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6D329B88" w14:textId="77777777" w:rsidR="00C823DF" w:rsidRPr="001E694D" w:rsidRDefault="00C823DF"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CD134B">
              <w:rPr>
                <w:rFonts w:ascii="Open Sans" w:hAnsi="Open Sans" w:cs="Open Sans"/>
                <w:b w:val="0"/>
                <w:bCs/>
              </w:rPr>
              <w:t>Ongoing assessment and planning with consumers</w:t>
            </w:r>
          </w:p>
        </w:tc>
        <w:tc>
          <w:tcPr>
            <w:tcW w:w="1133" w:type="pct"/>
            <w:shd w:val="clear" w:color="auto" w:fill="auto"/>
          </w:tcPr>
          <w:p w14:paraId="4985A837" w14:textId="7AF6F188" w:rsidR="00C823DF" w:rsidRPr="001E694D" w:rsidRDefault="00CD134B"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w:t>
            </w:r>
            <w:r w:rsidR="00B75E08">
              <w:rPr>
                <w:rFonts w:ascii="Open Sans" w:hAnsi="Open Sans" w:cs="Open Sans"/>
                <w:bCs/>
              </w:rPr>
              <w:t xml:space="preserve"> as not all requirements were assessed</w:t>
            </w:r>
          </w:p>
        </w:tc>
      </w:tr>
      <w:tr w:rsidR="00CD134B" w14:paraId="0EF658F0" w14:textId="77777777" w:rsidTr="00B75E08">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4C7EF79" w14:textId="77777777" w:rsidR="00CD134B" w:rsidRPr="001E694D" w:rsidRDefault="00CD134B" w:rsidP="00CD134B">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vAlign w:val="top"/>
          </w:tcPr>
          <w:p w14:paraId="153AE1D5" w14:textId="09A9FAFE" w:rsidR="00CD134B" w:rsidRPr="00CD134B" w:rsidRDefault="00CD134B" w:rsidP="00CD134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CD134B">
              <w:rPr>
                <w:rFonts w:ascii="Open Sans" w:hAnsi="Open Sans" w:cs="Open Sans"/>
                <w:b/>
              </w:rPr>
              <w:t>Not applicable</w:t>
            </w:r>
            <w:r w:rsidR="00B75E08">
              <w:rPr>
                <w:rFonts w:ascii="Open Sans" w:hAnsi="Open Sans" w:cs="Open Sans"/>
                <w:b/>
              </w:rPr>
              <w:t xml:space="preserve"> as not all requirements were assessed</w:t>
            </w:r>
          </w:p>
        </w:tc>
      </w:tr>
      <w:tr w:rsidR="00CD134B" w14:paraId="08F2F1A6" w14:textId="77777777" w:rsidTr="00B75E0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22A0993" w14:textId="77777777" w:rsidR="00CD134B" w:rsidRPr="001E694D" w:rsidRDefault="00CD134B" w:rsidP="00CD134B">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vAlign w:val="top"/>
          </w:tcPr>
          <w:p w14:paraId="51BE348D" w14:textId="305C1CE6" w:rsidR="00CD134B" w:rsidRPr="00CD134B" w:rsidRDefault="00CD134B" w:rsidP="00CD134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CD134B">
              <w:rPr>
                <w:rFonts w:ascii="Open Sans" w:hAnsi="Open Sans" w:cs="Open Sans"/>
                <w:b/>
              </w:rPr>
              <w:t>Not applicable</w:t>
            </w:r>
            <w:r w:rsidR="00B75E08">
              <w:rPr>
                <w:rFonts w:ascii="Open Sans" w:hAnsi="Open Sans" w:cs="Open Sans"/>
                <w:b/>
              </w:rPr>
              <w:t xml:space="preserve"> as not all requirements were assessed</w:t>
            </w:r>
          </w:p>
        </w:tc>
      </w:tr>
      <w:tr w:rsidR="00CD134B" w14:paraId="0D4DC947" w14:textId="77777777" w:rsidTr="00B75E08">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6B2D1A69" w14:textId="77777777" w:rsidR="00CD134B" w:rsidRPr="001E694D" w:rsidRDefault="00CD134B" w:rsidP="00CD134B">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vAlign w:val="top"/>
          </w:tcPr>
          <w:p w14:paraId="3C5B1552" w14:textId="29287762" w:rsidR="00CD134B" w:rsidRPr="00CD134B" w:rsidRDefault="00CD134B" w:rsidP="00CD134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CD134B">
              <w:rPr>
                <w:rFonts w:ascii="Open Sans" w:hAnsi="Open Sans" w:cs="Open Sans"/>
                <w:b/>
              </w:rPr>
              <w:t>Not applicable</w:t>
            </w:r>
            <w:r w:rsidR="00B75E08">
              <w:rPr>
                <w:rFonts w:ascii="Open Sans" w:hAnsi="Open Sans" w:cs="Open Sans"/>
                <w:b/>
              </w:rPr>
              <w:t xml:space="preserve"> as not all requirements were assessed</w:t>
            </w:r>
          </w:p>
        </w:tc>
      </w:tr>
    </w:tbl>
    <w:p w14:paraId="7C2F5E23" w14:textId="77777777" w:rsidR="00C823DF" w:rsidRPr="001E694D" w:rsidRDefault="00C823D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03B7181" w14:textId="77777777" w:rsidR="00C823DF" w:rsidRPr="003E162B" w:rsidRDefault="00C823D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E85A5E3" w14:textId="77777777" w:rsidR="00C823DF" w:rsidRDefault="00C823D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E90166B" w14:textId="77777777" w:rsidR="00CD134B" w:rsidRDefault="00CD134B" w:rsidP="0036130C">
      <w:pPr>
        <w:pStyle w:val="NormalArial"/>
        <w:rPr>
          <w:rFonts w:ascii="Open Sans" w:hAnsi="Open Sans" w:cs="Open Sans"/>
        </w:rPr>
      </w:pPr>
    </w:p>
    <w:p w14:paraId="6EFAA282" w14:textId="77777777" w:rsidR="00CD134B" w:rsidRDefault="00CD134B" w:rsidP="0036130C">
      <w:pPr>
        <w:pStyle w:val="NormalArial"/>
        <w:rPr>
          <w:rFonts w:ascii="Open Sans" w:hAnsi="Open Sans" w:cs="Open Sans"/>
        </w:rPr>
      </w:pPr>
    </w:p>
    <w:p w14:paraId="4E61DED1" w14:textId="77777777" w:rsidR="00CD134B" w:rsidRDefault="00CD134B" w:rsidP="0036130C">
      <w:pPr>
        <w:pStyle w:val="NormalArial"/>
        <w:rPr>
          <w:rFonts w:ascii="Open Sans" w:hAnsi="Open Sans" w:cs="Open Sans"/>
        </w:rPr>
      </w:pPr>
    </w:p>
    <w:p w14:paraId="7715B535" w14:textId="77777777" w:rsidR="00CD134B" w:rsidRDefault="00CD134B" w:rsidP="0036130C">
      <w:pPr>
        <w:pStyle w:val="NormalArial"/>
        <w:rPr>
          <w:rFonts w:ascii="Open Sans" w:hAnsi="Open Sans" w:cs="Open Sans"/>
        </w:rPr>
      </w:pPr>
    </w:p>
    <w:p w14:paraId="1DF87204" w14:textId="77777777" w:rsidR="00CD134B" w:rsidRDefault="00CD134B" w:rsidP="0036130C">
      <w:pPr>
        <w:pStyle w:val="NormalArial"/>
        <w:rPr>
          <w:rFonts w:ascii="Open Sans" w:hAnsi="Open Sans" w:cs="Open Sans"/>
        </w:rPr>
      </w:pPr>
    </w:p>
    <w:p w14:paraId="6D4E9A30" w14:textId="77777777" w:rsidR="00CD134B" w:rsidRDefault="00CD134B" w:rsidP="0036130C">
      <w:pPr>
        <w:pStyle w:val="NormalArial"/>
        <w:rPr>
          <w:rFonts w:ascii="Open Sans" w:hAnsi="Open Sans" w:cs="Open Sans"/>
        </w:rPr>
      </w:pPr>
    </w:p>
    <w:p w14:paraId="2E082055" w14:textId="77777777" w:rsidR="00CD134B" w:rsidRDefault="00CD134B" w:rsidP="0036130C">
      <w:pPr>
        <w:pStyle w:val="NormalArial"/>
        <w:rPr>
          <w:rFonts w:ascii="Open Sans" w:hAnsi="Open Sans" w:cs="Open Sans"/>
        </w:rPr>
      </w:pPr>
    </w:p>
    <w:p w14:paraId="437F851A" w14:textId="77777777" w:rsidR="00CD134B" w:rsidRDefault="00CD134B" w:rsidP="0036130C">
      <w:pPr>
        <w:pStyle w:val="NormalArial"/>
        <w:rPr>
          <w:rFonts w:ascii="Open Sans" w:hAnsi="Open Sans" w:cs="Open Sans"/>
        </w:rPr>
      </w:pPr>
    </w:p>
    <w:p w14:paraId="4CA0C923" w14:textId="77777777" w:rsidR="00CD134B" w:rsidRDefault="00CD134B" w:rsidP="0036130C">
      <w:pPr>
        <w:pStyle w:val="NormalArial"/>
        <w:rPr>
          <w:rFonts w:ascii="Open Sans" w:hAnsi="Open Sans" w:cs="Open Sans"/>
        </w:rPr>
      </w:pPr>
    </w:p>
    <w:p w14:paraId="3E911409" w14:textId="77777777" w:rsidR="00C823DF" w:rsidRPr="001E694D" w:rsidRDefault="00C823DF" w:rsidP="0036130C">
      <w:pPr>
        <w:pStyle w:val="NormalArial"/>
        <w:rPr>
          <w:rFonts w:ascii="Open Sans" w:hAnsi="Open Sans" w:cs="Open Sans"/>
        </w:rPr>
      </w:pPr>
      <w:r w:rsidRPr="001E694D">
        <w:rPr>
          <w:rFonts w:ascii="Open Sans" w:hAnsi="Open Sans" w:cs="Open Sans"/>
        </w:rPr>
        <w:br w:type="page"/>
      </w:r>
    </w:p>
    <w:p w14:paraId="5EBA6114" w14:textId="77777777" w:rsidR="00C823DF" w:rsidRPr="001E694D" w:rsidRDefault="00C823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D65D9" w14:paraId="0F4F5389" w14:textId="77777777" w:rsidTr="00E84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2F2B24DE" w14:textId="77777777" w:rsidR="00C823DF" w:rsidRPr="001E694D" w:rsidRDefault="00C823D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25322201" w14:textId="77777777" w:rsidR="00C823DF" w:rsidRPr="001E694D" w:rsidRDefault="00C823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5D9" w14:paraId="7FFCFF62" w14:textId="77777777" w:rsidTr="00E84F17">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71447A12" w14:textId="77777777" w:rsidR="00C823DF" w:rsidRPr="001E694D" w:rsidRDefault="00C823DF"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6B0BF36E" w14:textId="77777777" w:rsidR="00C823DF" w:rsidRPr="001E694D" w:rsidRDefault="00C823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4486BC92" w14:textId="77777777" w:rsidR="00C823DF" w:rsidRPr="001E694D" w:rsidRDefault="007838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944943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823DF" w:rsidRPr="001E694D">
                  <w:rPr>
                    <w:rFonts w:ascii="Open Sans" w:hAnsi="Open Sans" w:cs="Open Sans"/>
                  </w:rPr>
                  <w:t>Compliant</w:t>
                </w:r>
              </w:sdtContent>
            </w:sdt>
          </w:p>
        </w:tc>
      </w:tr>
    </w:tbl>
    <w:p w14:paraId="7AE7DBD5" w14:textId="77777777" w:rsidR="00C823DF" w:rsidRPr="003E162B" w:rsidRDefault="00C823DF" w:rsidP="00D87E7C">
      <w:pPr>
        <w:pStyle w:val="Heading20"/>
        <w:rPr>
          <w:rFonts w:ascii="Open Sans" w:hAnsi="Open Sans" w:cs="Open Sans"/>
          <w:color w:val="781E77"/>
        </w:rPr>
      </w:pPr>
      <w:r w:rsidRPr="003E162B">
        <w:rPr>
          <w:rFonts w:ascii="Open Sans" w:hAnsi="Open Sans" w:cs="Open Sans"/>
          <w:color w:val="781E77"/>
        </w:rPr>
        <w:t>Findings</w:t>
      </w:r>
    </w:p>
    <w:p w14:paraId="2BE981A0" w14:textId="62654EEA" w:rsidR="00C823DF" w:rsidRDefault="00D80E97" w:rsidP="0036130C">
      <w:pPr>
        <w:pStyle w:val="NormalArial"/>
        <w:rPr>
          <w:rFonts w:ascii="Open Sans" w:hAnsi="Open Sans" w:cs="Open Sans"/>
        </w:rPr>
      </w:pPr>
      <w:r>
        <w:rPr>
          <w:rFonts w:ascii="Open Sans" w:hAnsi="Open Sans" w:cs="Open Sans"/>
        </w:rPr>
        <w:t xml:space="preserve">Policies and procedures provided guidance to staff in relation to </w:t>
      </w:r>
      <w:r w:rsidR="00577673">
        <w:rPr>
          <w:rFonts w:ascii="Open Sans" w:hAnsi="Open Sans" w:cs="Open Sans"/>
        </w:rPr>
        <w:t>assessment and care planning and the management of risks associated with consumers</w:t>
      </w:r>
      <w:r w:rsidR="00C90EEA">
        <w:rPr>
          <w:rFonts w:ascii="Open Sans" w:hAnsi="Open Sans" w:cs="Open Sans"/>
        </w:rPr>
        <w:t>’ health and well-being</w:t>
      </w:r>
      <w:r w:rsidR="00577673">
        <w:rPr>
          <w:rFonts w:ascii="Open Sans" w:hAnsi="Open Sans" w:cs="Open Sans"/>
        </w:rPr>
        <w:t xml:space="preserve">. </w:t>
      </w:r>
      <w:r>
        <w:rPr>
          <w:rFonts w:ascii="Open Sans" w:hAnsi="Open Sans" w:cs="Open Sans"/>
        </w:rPr>
        <w:t xml:space="preserve"> </w:t>
      </w:r>
    </w:p>
    <w:p w14:paraId="4469B2EB" w14:textId="397F5C41" w:rsidR="00F35A66" w:rsidRDefault="00F35A66" w:rsidP="0036130C">
      <w:pPr>
        <w:pStyle w:val="NormalArial"/>
        <w:rPr>
          <w:rFonts w:ascii="Open Sans" w:hAnsi="Open Sans" w:cs="Open Sans"/>
        </w:rPr>
      </w:pPr>
      <w:r>
        <w:rPr>
          <w:rFonts w:ascii="Open Sans" w:hAnsi="Open Sans" w:cs="Open Sans"/>
        </w:rPr>
        <w:t>Consumers and representatives said</w:t>
      </w:r>
      <w:r w:rsidR="009D6ABF">
        <w:rPr>
          <w:rFonts w:ascii="Open Sans" w:hAnsi="Open Sans" w:cs="Open Sans"/>
        </w:rPr>
        <w:t xml:space="preserve"> they were regularly consulted during the assessment and care planning process</w:t>
      </w:r>
      <w:r w:rsidR="00810FCB">
        <w:rPr>
          <w:rFonts w:ascii="Open Sans" w:hAnsi="Open Sans" w:cs="Open Sans"/>
        </w:rPr>
        <w:t xml:space="preserve"> including in relation to risks consumers wished to take or regarding the management of high-risk health conditions. </w:t>
      </w:r>
      <w:r>
        <w:rPr>
          <w:rFonts w:ascii="Open Sans" w:hAnsi="Open Sans" w:cs="Open Sans"/>
        </w:rPr>
        <w:t xml:space="preserve"> </w:t>
      </w:r>
      <w:r w:rsidR="00810FCB">
        <w:rPr>
          <w:rFonts w:ascii="Open Sans" w:hAnsi="Open Sans" w:cs="Open Sans"/>
        </w:rPr>
        <w:t>Consumers and representatives said s</w:t>
      </w:r>
      <w:r>
        <w:rPr>
          <w:rFonts w:ascii="Open Sans" w:hAnsi="Open Sans" w:cs="Open Sans"/>
        </w:rPr>
        <w:t>taff treated consumers with dignity and respect</w:t>
      </w:r>
      <w:r w:rsidR="007D6CDE">
        <w:rPr>
          <w:rFonts w:ascii="Open Sans" w:hAnsi="Open Sans" w:cs="Open Sans"/>
        </w:rPr>
        <w:t xml:space="preserve"> and some representatives said they were involved in multidisciplinary case conferences</w:t>
      </w:r>
      <w:r w:rsidR="00D06D53">
        <w:rPr>
          <w:rFonts w:ascii="Open Sans" w:hAnsi="Open Sans" w:cs="Open Sans"/>
        </w:rPr>
        <w:t>.</w:t>
      </w:r>
      <w:r w:rsidR="00A4012D">
        <w:rPr>
          <w:rFonts w:ascii="Open Sans" w:hAnsi="Open Sans" w:cs="Open Sans"/>
        </w:rPr>
        <w:t xml:space="preserve"> </w:t>
      </w:r>
      <w:r w:rsidR="00D06D53">
        <w:rPr>
          <w:rFonts w:ascii="Open Sans" w:hAnsi="Open Sans" w:cs="Open Sans"/>
        </w:rPr>
        <w:t>O</w:t>
      </w:r>
      <w:r w:rsidR="00A4012D">
        <w:rPr>
          <w:rFonts w:ascii="Open Sans" w:hAnsi="Open Sans" w:cs="Open Sans"/>
        </w:rPr>
        <w:t xml:space="preserve">ne representative provided feedback that </w:t>
      </w:r>
      <w:r w:rsidR="00AB1F96">
        <w:rPr>
          <w:rFonts w:ascii="Open Sans" w:hAnsi="Open Sans" w:cs="Open Sans"/>
        </w:rPr>
        <w:t>care ha</w:t>
      </w:r>
      <w:r w:rsidR="00084EDD">
        <w:rPr>
          <w:rFonts w:ascii="Open Sans" w:hAnsi="Open Sans" w:cs="Open Sans"/>
        </w:rPr>
        <w:t>d</w:t>
      </w:r>
      <w:r w:rsidR="00AB1F96">
        <w:rPr>
          <w:rFonts w:ascii="Open Sans" w:hAnsi="Open Sans" w:cs="Open Sans"/>
        </w:rPr>
        <w:t xml:space="preserve"> improved and </w:t>
      </w:r>
      <w:r w:rsidR="00D06D53">
        <w:rPr>
          <w:rFonts w:ascii="Open Sans" w:hAnsi="Open Sans" w:cs="Open Sans"/>
        </w:rPr>
        <w:t xml:space="preserve">falls risk mitigation strategies that had been implemented for the consumer were effective and reduced </w:t>
      </w:r>
      <w:r w:rsidR="00392EC8">
        <w:rPr>
          <w:rFonts w:ascii="Open Sans" w:hAnsi="Open Sans" w:cs="Open Sans"/>
        </w:rPr>
        <w:t>falls.</w:t>
      </w:r>
    </w:p>
    <w:p w14:paraId="637821EE" w14:textId="003C63F9" w:rsidR="00810FCB" w:rsidRDefault="00810FCB" w:rsidP="0036130C">
      <w:pPr>
        <w:pStyle w:val="NormalArial"/>
        <w:rPr>
          <w:rFonts w:ascii="Open Sans" w:hAnsi="Open Sans" w:cs="Open Sans"/>
        </w:rPr>
      </w:pPr>
      <w:r>
        <w:rPr>
          <w:rFonts w:ascii="Open Sans" w:hAnsi="Open Sans" w:cs="Open Sans"/>
        </w:rPr>
        <w:t xml:space="preserve">Care planning documentation </w:t>
      </w:r>
      <w:r w:rsidR="005E5EA4">
        <w:rPr>
          <w:rFonts w:ascii="Open Sans" w:hAnsi="Open Sans" w:cs="Open Sans"/>
        </w:rPr>
        <w:t>evidenced</w:t>
      </w:r>
      <w:r>
        <w:rPr>
          <w:rFonts w:ascii="Open Sans" w:hAnsi="Open Sans" w:cs="Open Sans"/>
        </w:rPr>
        <w:t xml:space="preserve"> risks to consumers’ health and well-being</w:t>
      </w:r>
      <w:r w:rsidR="00985A2E">
        <w:rPr>
          <w:rFonts w:ascii="Open Sans" w:hAnsi="Open Sans" w:cs="Open Sans"/>
        </w:rPr>
        <w:t xml:space="preserve"> were regularly assessed, reviewed and discussed with the consumer and their representative. </w:t>
      </w:r>
      <w:r w:rsidR="001E6758">
        <w:rPr>
          <w:rFonts w:ascii="Open Sans" w:hAnsi="Open Sans" w:cs="Open Sans"/>
        </w:rPr>
        <w:t>Consumers subject to environmental restraint had appropriate consents in place and risk assessments completed.</w:t>
      </w:r>
      <w:r w:rsidR="00084EDD" w:rsidRPr="00084EDD">
        <w:rPr>
          <w:rFonts w:ascii="Open Sans" w:hAnsi="Open Sans" w:cs="Open Sans"/>
        </w:rPr>
        <w:t xml:space="preserve"> </w:t>
      </w:r>
      <w:r w:rsidR="00084EDD">
        <w:rPr>
          <w:rFonts w:ascii="Open Sans" w:hAnsi="Open Sans" w:cs="Open Sans"/>
        </w:rPr>
        <w:t>There was evidence of involvement with medical officers and other health service providers including dementia advisory services.</w:t>
      </w:r>
    </w:p>
    <w:p w14:paraId="09FD7D29" w14:textId="15DFEA3B" w:rsidR="00B82DF1" w:rsidRDefault="00084EDD" w:rsidP="0036130C">
      <w:pPr>
        <w:pStyle w:val="NormalArial"/>
        <w:rPr>
          <w:rFonts w:ascii="Open Sans" w:hAnsi="Open Sans" w:cs="Open Sans"/>
        </w:rPr>
      </w:pPr>
      <w:r>
        <w:rPr>
          <w:rFonts w:ascii="Open Sans" w:hAnsi="Open Sans" w:cs="Open Sans"/>
        </w:rPr>
        <w:t>Nursing staff and care staff</w:t>
      </w:r>
      <w:r w:rsidR="00B82DF1">
        <w:rPr>
          <w:rFonts w:ascii="Open Sans" w:hAnsi="Open Sans" w:cs="Open Sans"/>
        </w:rPr>
        <w:t xml:space="preserve"> were familiar with consumers’ needs and preferences and </w:t>
      </w:r>
      <w:r w:rsidR="00C7437A">
        <w:rPr>
          <w:rFonts w:ascii="Open Sans" w:hAnsi="Open Sans" w:cs="Open Sans"/>
        </w:rPr>
        <w:t xml:space="preserve">could explain risks associated with consumers’ care and risk mitigation strategies. </w:t>
      </w:r>
    </w:p>
    <w:p w14:paraId="2F74C76E" w14:textId="2FB8B1DF" w:rsidR="00C7437A" w:rsidRDefault="00E04B2D" w:rsidP="0036130C">
      <w:pPr>
        <w:pStyle w:val="NormalArial"/>
        <w:rPr>
          <w:rFonts w:ascii="Open Sans" w:hAnsi="Open Sans" w:cs="Open Sans"/>
        </w:rPr>
      </w:pPr>
      <w:r>
        <w:rPr>
          <w:rFonts w:ascii="Open Sans" w:hAnsi="Open Sans" w:cs="Open Sans"/>
        </w:rPr>
        <w:t xml:space="preserve">The Assessment Contact Report includes information that some consumers may have had difficulty </w:t>
      </w:r>
      <w:r w:rsidR="00674733">
        <w:rPr>
          <w:rFonts w:ascii="Open Sans" w:hAnsi="Open Sans" w:cs="Open Sans"/>
        </w:rPr>
        <w:t xml:space="preserve">accessing external areas of the service as </w:t>
      </w:r>
      <w:r w:rsidR="00C0632A">
        <w:rPr>
          <w:rFonts w:ascii="Open Sans" w:hAnsi="Open Sans" w:cs="Open Sans"/>
        </w:rPr>
        <w:t>doors were observed to be</w:t>
      </w:r>
      <w:r w:rsidR="00C24AFA">
        <w:rPr>
          <w:rFonts w:ascii="Open Sans" w:hAnsi="Open Sans" w:cs="Open Sans"/>
        </w:rPr>
        <w:t xml:space="preserve"> closed and</w:t>
      </w:r>
      <w:r w:rsidR="00C0632A">
        <w:rPr>
          <w:rFonts w:ascii="Open Sans" w:hAnsi="Open Sans" w:cs="Open Sans"/>
        </w:rPr>
        <w:t xml:space="preserve"> secured by a code</w:t>
      </w:r>
      <w:r w:rsidR="009870B7">
        <w:rPr>
          <w:rFonts w:ascii="Open Sans" w:hAnsi="Open Sans" w:cs="Open Sans"/>
        </w:rPr>
        <w:t>d door</w:t>
      </w:r>
      <w:r w:rsidR="00C0632A">
        <w:rPr>
          <w:rFonts w:ascii="Open Sans" w:hAnsi="Open Sans" w:cs="Open Sans"/>
        </w:rPr>
        <w:t xml:space="preserve">. </w:t>
      </w:r>
      <w:r w:rsidR="00D84037">
        <w:rPr>
          <w:rFonts w:ascii="Open Sans" w:hAnsi="Open Sans" w:cs="Open Sans"/>
        </w:rPr>
        <w:t xml:space="preserve">While the code was displayed it was in a small font and situated in an area that was not easily seen by </w:t>
      </w:r>
      <w:r w:rsidR="0072506C">
        <w:rPr>
          <w:rFonts w:ascii="Open Sans" w:hAnsi="Open Sans" w:cs="Open Sans"/>
        </w:rPr>
        <w:t>consumers who may be</w:t>
      </w:r>
      <w:r w:rsidR="009455D6">
        <w:rPr>
          <w:rFonts w:ascii="Open Sans" w:hAnsi="Open Sans" w:cs="Open Sans"/>
        </w:rPr>
        <w:t xml:space="preserve"> limited with their mobility</w:t>
      </w:r>
      <w:r w:rsidR="00761AA2">
        <w:rPr>
          <w:rFonts w:ascii="Open Sans" w:hAnsi="Open Sans" w:cs="Open Sans"/>
        </w:rPr>
        <w:t xml:space="preserve"> or have sensory impairment</w:t>
      </w:r>
      <w:r w:rsidR="009455D6">
        <w:rPr>
          <w:rFonts w:ascii="Open Sans" w:hAnsi="Open Sans" w:cs="Open Sans"/>
        </w:rPr>
        <w:t xml:space="preserve">. </w:t>
      </w:r>
      <w:r w:rsidR="009F168A">
        <w:rPr>
          <w:rFonts w:ascii="Open Sans" w:hAnsi="Open Sans" w:cs="Open Sans"/>
        </w:rPr>
        <w:t>Management said</w:t>
      </w:r>
      <w:r w:rsidR="00EC3D6C">
        <w:rPr>
          <w:rFonts w:ascii="Open Sans" w:hAnsi="Open Sans" w:cs="Open Sans"/>
        </w:rPr>
        <w:t xml:space="preserve"> consumers had been assessed for dexterity and their ability to access the area</w:t>
      </w:r>
      <w:r w:rsidR="00761AA2">
        <w:rPr>
          <w:rFonts w:ascii="Open Sans" w:hAnsi="Open Sans" w:cs="Open Sans"/>
        </w:rPr>
        <w:t>,</w:t>
      </w:r>
      <w:r w:rsidR="00EC3D6C">
        <w:rPr>
          <w:rFonts w:ascii="Open Sans" w:hAnsi="Open Sans" w:cs="Open Sans"/>
        </w:rPr>
        <w:t xml:space="preserve"> however the Assessment Team observed </w:t>
      </w:r>
      <w:r w:rsidR="005A4B40">
        <w:rPr>
          <w:rFonts w:ascii="Open Sans" w:hAnsi="Open Sans" w:cs="Open Sans"/>
        </w:rPr>
        <w:t>consumers having difficulty reading the code on the door and requiring staff a</w:t>
      </w:r>
      <w:r w:rsidR="00392EC8">
        <w:rPr>
          <w:rFonts w:ascii="Open Sans" w:hAnsi="Open Sans" w:cs="Open Sans"/>
        </w:rPr>
        <w:t xml:space="preserve">ssistance in opening the doors. </w:t>
      </w:r>
      <w:r w:rsidR="00C24AFA">
        <w:rPr>
          <w:rFonts w:ascii="Open Sans" w:hAnsi="Open Sans" w:cs="Open Sans"/>
        </w:rPr>
        <w:t>Management advised</w:t>
      </w:r>
      <w:r w:rsidR="00872D44">
        <w:rPr>
          <w:rFonts w:ascii="Open Sans" w:hAnsi="Open Sans" w:cs="Open Sans"/>
        </w:rPr>
        <w:t xml:space="preserve"> the service has a </w:t>
      </w:r>
      <w:r w:rsidR="00E96FE4">
        <w:rPr>
          <w:rFonts w:ascii="Open Sans" w:hAnsi="Open Sans" w:cs="Open Sans"/>
        </w:rPr>
        <w:t>continuous</w:t>
      </w:r>
      <w:r w:rsidR="00872D44">
        <w:rPr>
          <w:rFonts w:ascii="Open Sans" w:hAnsi="Open Sans" w:cs="Open Sans"/>
        </w:rPr>
        <w:t xml:space="preserve"> improvement plan</w:t>
      </w:r>
      <w:r w:rsidR="00144F63">
        <w:rPr>
          <w:rFonts w:ascii="Open Sans" w:hAnsi="Open Sans" w:cs="Open Sans"/>
        </w:rPr>
        <w:t xml:space="preserve"> that </w:t>
      </w:r>
      <w:r w:rsidR="00E96FE4">
        <w:rPr>
          <w:rFonts w:ascii="Open Sans" w:hAnsi="Open Sans" w:cs="Open Sans"/>
        </w:rPr>
        <w:t>includes strategies to improve access for consumers</w:t>
      </w:r>
      <w:r w:rsidR="00C24AFA">
        <w:rPr>
          <w:rFonts w:ascii="Open Sans" w:hAnsi="Open Sans" w:cs="Open Sans"/>
        </w:rPr>
        <w:t>.</w:t>
      </w:r>
      <w:r w:rsidR="00C40690">
        <w:rPr>
          <w:rFonts w:ascii="Open Sans" w:hAnsi="Open Sans" w:cs="Open Sans"/>
        </w:rPr>
        <w:t xml:space="preserve"> </w:t>
      </w:r>
      <w:r w:rsidR="00392EC8">
        <w:rPr>
          <w:rFonts w:ascii="Open Sans" w:hAnsi="Open Sans" w:cs="Open Sans"/>
        </w:rPr>
        <w:t>M</w:t>
      </w:r>
      <w:r w:rsidR="00C40690">
        <w:rPr>
          <w:rFonts w:ascii="Open Sans" w:hAnsi="Open Sans" w:cs="Open Sans"/>
        </w:rPr>
        <w:t xml:space="preserve">anagement </w:t>
      </w:r>
      <w:r w:rsidR="00FF1266">
        <w:rPr>
          <w:rFonts w:ascii="Open Sans" w:hAnsi="Open Sans" w:cs="Open Sans"/>
        </w:rPr>
        <w:t xml:space="preserve">and staff </w:t>
      </w:r>
      <w:r w:rsidR="00C40690">
        <w:rPr>
          <w:rFonts w:ascii="Open Sans" w:hAnsi="Open Sans" w:cs="Open Sans"/>
        </w:rPr>
        <w:t xml:space="preserve">advised </w:t>
      </w:r>
      <w:r w:rsidR="00FF1266">
        <w:rPr>
          <w:rFonts w:ascii="Open Sans" w:hAnsi="Open Sans" w:cs="Open Sans"/>
        </w:rPr>
        <w:t xml:space="preserve">that the doors are generally kept </w:t>
      </w:r>
      <w:r w:rsidR="00FF1266">
        <w:rPr>
          <w:rFonts w:ascii="Open Sans" w:hAnsi="Open Sans" w:cs="Open Sans"/>
        </w:rPr>
        <w:lastRenderedPageBreak/>
        <w:t>open but were closed at the time</w:t>
      </w:r>
      <w:r w:rsidR="00761AA2">
        <w:rPr>
          <w:rFonts w:ascii="Open Sans" w:hAnsi="Open Sans" w:cs="Open Sans"/>
        </w:rPr>
        <w:t xml:space="preserve"> of the Assessment Contact</w:t>
      </w:r>
      <w:r w:rsidR="00FF1266">
        <w:rPr>
          <w:rFonts w:ascii="Open Sans" w:hAnsi="Open Sans" w:cs="Open Sans"/>
        </w:rPr>
        <w:t xml:space="preserve"> due to heat wave conditions.</w:t>
      </w:r>
    </w:p>
    <w:p w14:paraId="7991817A" w14:textId="77777777" w:rsidR="00761AA2" w:rsidRDefault="00D97DD6" w:rsidP="0036130C">
      <w:pPr>
        <w:pStyle w:val="NormalArial"/>
        <w:rPr>
          <w:rFonts w:ascii="Open Sans" w:hAnsi="Open Sans" w:cs="Open Sans"/>
        </w:rPr>
      </w:pPr>
      <w:r>
        <w:rPr>
          <w:rFonts w:ascii="Open Sans" w:hAnsi="Open Sans" w:cs="Open Sans"/>
        </w:rPr>
        <w:t>The approved provider’s response includes clinical documentation</w:t>
      </w:r>
      <w:r w:rsidR="00B46058">
        <w:rPr>
          <w:rFonts w:ascii="Open Sans" w:hAnsi="Open Sans" w:cs="Open Sans"/>
        </w:rPr>
        <w:t>, heat wave protocols</w:t>
      </w:r>
      <w:r>
        <w:rPr>
          <w:rFonts w:ascii="Open Sans" w:hAnsi="Open Sans" w:cs="Open Sans"/>
        </w:rPr>
        <w:t xml:space="preserve"> and elements of the service’s continuous improvement plan. </w:t>
      </w:r>
      <w:r w:rsidR="009B1BDA">
        <w:rPr>
          <w:rFonts w:ascii="Open Sans" w:hAnsi="Open Sans" w:cs="Open Sans"/>
        </w:rPr>
        <w:t>Following the Assessment Contact</w:t>
      </w:r>
      <w:r w:rsidR="00761AA2">
        <w:rPr>
          <w:rFonts w:ascii="Open Sans" w:hAnsi="Open Sans" w:cs="Open Sans"/>
        </w:rPr>
        <w:t>,</w:t>
      </w:r>
      <w:r w:rsidR="009B1BDA">
        <w:rPr>
          <w:rFonts w:ascii="Open Sans" w:hAnsi="Open Sans" w:cs="Open Sans"/>
        </w:rPr>
        <w:t xml:space="preserve"> </w:t>
      </w:r>
      <w:r w:rsidR="00D8612B">
        <w:rPr>
          <w:rFonts w:ascii="Open Sans" w:hAnsi="Open Sans" w:cs="Open Sans"/>
        </w:rPr>
        <w:t xml:space="preserve">the service has </w:t>
      </w:r>
      <w:r w:rsidR="00761AA2">
        <w:rPr>
          <w:rFonts w:ascii="Open Sans" w:hAnsi="Open Sans" w:cs="Open Sans"/>
        </w:rPr>
        <w:t>taken action to improve consumers’ ability to access external areas. Actions have included:</w:t>
      </w:r>
    </w:p>
    <w:p w14:paraId="1193C318" w14:textId="77777777" w:rsidR="00647902" w:rsidRDefault="00647902" w:rsidP="00647902">
      <w:pPr>
        <w:pStyle w:val="NormalArial"/>
        <w:numPr>
          <w:ilvl w:val="0"/>
          <w:numId w:val="15"/>
        </w:numPr>
        <w:rPr>
          <w:rFonts w:ascii="Open Sans" w:hAnsi="Open Sans" w:cs="Open Sans"/>
        </w:rPr>
      </w:pPr>
      <w:r>
        <w:rPr>
          <w:rFonts w:ascii="Open Sans" w:hAnsi="Open Sans" w:cs="Open Sans"/>
        </w:rPr>
        <w:t xml:space="preserve">A </w:t>
      </w:r>
      <w:r w:rsidR="00D8612B">
        <w:rPr>
          <w:rFonts w:ascii="Open Sans" w:hAnsi="Open Sans" w:cs="Open Sans"/>
        </w:rPr>
        <w:t>review</w:t>
      </w:r>
      <w:r>
        <w:rPr>
          <w:rFonts w:ascii="Open Sans" w:hAnsi="Open Sans" w:cs="Open Sans"/>
        </w:rPr>
        <w:t xml:space="preserve"> of a </w:t>
      </w:r>
      <w:r w:rsidR="00C42558">
        <w:rPr>
          <w:rFonts w:ascii="Open Sans" w:hAnsi="Open Sans" w:cs="Open Sans"/>
        </w:rPr>
        <w:t>consumer’s</w:t>
      </w:r>
      <w:r w:rsidR="00D8612B">
        <w:rPr>
          <w:rFonts w:ascii="Open Sans" w:hAnsi="Open Sans" w:cs="Open Sans"/>
        </w:rPr>
        <w:t xml:space="preserve"> care plan</w:t>
      </w:r>
      <w:r>
        <w:rPr>
          <w:rFonts w:ascii="Open Sans" w:hAnsi="Open Sans" w:cs="Open Sans"/>
        </w:rPr>
        <w:t xml:space="preserve"> has occurred</w:t>
      </w:r>
      <w:r w:rsidR="00D8612B">
        <w:rPr>
          <w:rFonts w:ascii="Open Sans" w:hAnsi="Open Sans" w:cs="Open Sans"/>
        </w:rPr>
        <w:t xml:space="preserve"> to</w:t>
      </w:r>
      <w:r w:rsidR="00C42558">
        <w:rPr>
          <w:rFonts w:ascii="Open Sans" w:hAnsi="Open Sans" w:cs="Open Sans"/>
        </w:rPr>
        <w:t xml:space="preserve"> include additional strategies to support the consumer to access external areas</w:t>
      </w:r>
      <w:r w:rsidR="006E78D1">
        <w:rPr>
          <w:rFonts w:ascii="Open Sans" w:hAnsi="Open Sans" w:cs="Open Sans"/>
        </w:rPr>
        <w:t xml:space="preserve">. </w:t>
      </w:r>
    </w:p>
    <w:p w14:paraId="3AA51976" w14:textId="77777777" w:rsidR="00647902" w:rsidRDefault="006E78D1" w:rsidP="00647902">
      <w:pPr>
        <w:pStyle w:val="NormalArial"/>
        <w:numPr>
          <w:ilvl w:val="0"/>
          <w:numId w:val="15"/>
        </w:numPr>
        <w:rPr>
          <w:rFonts w:ascii="Open Sans" w:hAnsi="Open Sans" w:cs="Open Sans"/>
        </w:rPr>
      </w:pPr>
      <w:r>
        <w:rPr>
          <w:rFonts w:ascii="Open Sans" w:hAnsi="Open Sans" w:cs="Open Sans"/>
        </w:rPr>
        <w:t xml:space="preserve">Signage has been improved to support consumers and </w:t>
      </w:r>
      <w:r w:rsidR="007D4024">
        <w:rPr>
          <w:rFonts w:ascii="Open Sans" w:hAnsi="Open Sans" w:cs="Open Sans"/>
        </w:rPr>
        <w:t xml:space="preserve">visitors in exiting the service and accessing external areas.  </w:t>
      </w:r>
    </w:p>
    <w:p w14:paraId="15F2CE9B" w14:textId="4159FFEA" w:rsidR="00D97DD6" w:rsidRDefault="00647902" w:rsidP="00647902">
      <w:pPr>
        <w:pStyle w:val="NormalArial"/>
        <w:numPr>
          <w:ilvl w:val="0"/>
          <w:numId w:val="15"/>
        </w:numPr>
        <w:rPr>
          <w:rFonts w:ascii="Open Sans" w:hAnsi="Open Sans" w:cs="Open Sans"/>
        </w:rPr>
      </w:pPr>
      <w:r>
        <w:rPr>
          <w:rFonts w:ascii="Open Sans" w:hAnsi="Open Sans" w:cs="Open Sans"/>
        </w:rPr>
        <w:t>The</w:t>
      </w:r>
      <w:r w:rsidR="007D4024">
        <w:rPr>
          <w:rFonts w:ascii="Open Sans" w:hAnsi="Open Sans" w:cs="Open Sans"/>
        </w:rPr>
        <w:t xml:space="preserve"> service </w:t>
      </w:r>
      <w:r w:rsidR="00FF12F7">
        <w:rPr>
          <w:rFonts w:ascii="Open Sans" w:hAnsi="Open Sans" w:cs="Open Sans"/>
        </w:rPr>
        <w:t xml:space="preserve">is in the process of implementing push buttons on doors to improve consumers’ ability to open doors. </w:t>
      </w:r>
      <w:r w:rsidR="00C42558">
        <w:rPr>
          <w:rFonts w:ascii="Open Sans" w:hAnsi="Open Sans" w:cs="Open Sans"/>
        </w:rPr>
        <w:t xml:space="preserve"> </w:t>
      </w:r>
    </w:p>
    <w:p w14:paraId="58320254" w14:textId="2C1D0DE6" w:rsidR="00A2190E" w:rsidRPr="001E694D" w:rsidRDefault="00FE63B7" w:rsidP="0036130C">
      <w:pPr>
        <w:pStyle w:val="NormalArial"/>
        <w:rPr>
          <w:rFonts w:ascii="Open Sans" w:hAnsi="Open Sans" w:cs="Open Sans"/>
        </w:rPr>
      </w:pPr>
      <w:r>
        <w:rPr>
          <w:rFonts w:ascii="Open Sans" w:hAnsi="Open Sans" w:cs="Open Sans"/>
        </w:rPr>
        <w:t>I am satisfied t</w:t>
      </w:r>
      <w:r w:rsidR="00A2190E">
        <w:rPr>
          <w:rFonts w:ascii="Open Sans" w:hAnsi="Open Sans" w:cs="Open Sans"/>
        </w:rPr>
        <w:t>he service demonstrated assessment and planning</w:t>
      </w:r>
      <w:r w:rsidR="00B706FD">
        <w:rPr>
          <w:rFonts w:ascii="Open Sans" w:hAnsi="Open Sans" w:cs="Open Sans"/>
        </w:rPr>
        <w:t xml:space="preserve"> processes</w:t>
      </w:r>
      <w:r w:rsidR="00A2190E">
        <w:rPr>
          <w:rFonts w:ascii="Open Sans" w:hAnsi="Open Sans" w:cs="Open Sans"/>
        </w:rPr>
        <w:t xml:space="preserve"> included a consideration of risk to consumers’ health and well-being, </w:t>
      </w:r>
      <w:r w:rsidR="006A0BF2">
        <w:rPr>
          <w:rFonts w:ascii="Open Sans" w:hAnsi="Open Sans" w:cs="Open Sans"/>
        </w:rPr>
        <w:t xml:space="preserve">and this </w:t>
      </w:r>
      <w:r w:rsidR="00A2190E">
        <w:rPr>
          <w:rFonts w:ascii="Open Sans" w:hAnsi="Open Sans" w:cs="Open Sans"/>
        </w:rPr>
        <w:t>inform</w:t>
      </w:r>
      <w:r w:rsidR="006A0BF2">
        <w:rPr>
          <w:rFonts w:ascii="Open Sans" w:hAnsi="Open Sans" w:cs="Open Sans"/>
        </w:rPr>
        <w:t>ed</w:t>
      </w:r>
      <w:r w:rsidR="00A2190E">
        <w:rPr>
          <w:rFonts w:ascii="Open Sans" w:hAnsi="Open Sans" w:cs="Open Sans"/>
        </w:rPr>
        <w:t xml:space="preserve"> the delivery of safe and effective care.</w:t>
      </w:r>
      <w:r w:rsidR="006A0BF2">
        <w:rPr>
          <w:rFonts w:ascii="Open Sans" w:hAnsi="Open Sans" w:cs="Open Sans"/>
        </w:rPr>
        <w:t xml:space="preserve"> I find Requirement 2(3)(a) is Compliant.</w:t>
      </w:r>
    </w:p>
    <w:p w14:paraId="381EABB8" w14:textId="0BCD36AA" w:rsidR="00C823DF" w:rsidRPr="001E694D" w:rsidRDefault="00C823DF" w:rsidP="0036130C">
      <w:pPr>
        <w:pStyle w:val="NormalArial"/>
        <w:rPr>
          <w:rFonts w:ascii="Open Sans" w:hAnsi="Open Sans" w:cs="Open Sans"/>
        </w:rPr>
      </w:pPr>
      <w:r w:rsidRPr="001E694D">
        <w:rPr>
          <w:rFonts w:ascii="Open Sans" w:hAnsi="Open Sans" w:cs="Open Sans"/>
        </w:rPr>
        <w:br w:type="page"/>
      </w:r>
    </w:p>
    <w:p w14:paraId="0BAE8E75" w14:textId="77777777" w:rsidR="00C823DF" w:rsidRPr="001E694D" w:rsidRDefault="00C823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D65D9" w14:paraId="3CFB4585" w14:textId="77777777" w:rsidTr="00E84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429BE576" w14:textId="77777777" w:rsidR="00C823DF" w:rsidRPr="001E694D" w:rsidRDefault="00C823D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71BEBA3A" w14:textId="77777777" w:rsidR="00C823DF" w:rsidRPr="001E694D" w:rsidRDefault="00C823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5D9" w14:paraId="756BBEFD" w14:textId="77777777" w:rsidTr="00E84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1BBE4E" w14:textId="77777777" w:rsidR="00C823DF" w:rsidRPr="001E694D" w:rsidRDefault="00C823DF"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5F6099EA" w14:textId="77777777" w:rsidR="00C823DF" w:rsidRPr="001E694D" w:rsidRDefault="00C823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17FD8F36" w14:textId="77777777" w:rsidR="00C823DF" w:rsidRPr="001E694D" w:rsidRDefault="007838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183851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823DF" w:rsidRPr="001E694D">
                  <w:rPr>
                    <w:rFonts w:ascii="Open Sans" w:hAnsi="Open Sans" w:cs="Open Sans"/>
                  </w:rPr>
                  <w:t>Compliant</w:t>
                </w:r>
              </w:sdtContent>
            </w:sdt>
          </w:p>
        </w:tc>
      </w:tr>
    </w:tbl>
    <w:p w14:paraId="2C039978" w14:textId="77777777" w:rsidR="00C823DF" w:rsidRPr="003E162B" w:rsidRDefault="00C823DF" w:rsidP="00D87E7C">
      <w:pPr>
        <w:pStyle w:val="Heading20"/>
        <w:rPr>
          <w:rFonts w:ascii="Open Sans" w:hAnsi="Open Sans" w:cs="Open Sans"/>
          <w:color w:val="781E77"/>
        </w:rPr>
      </w:pPr>
      <w:r w:rsidRPr="003E162B">
        <w:rPr>
          <w:rFonts w:ascii="Open Sans" w:hAnsi="Open Sans" w:cs="Open Sans"/>
          <w:color w:val="781E77"/>
        </w:rPr>
        <w:t>Findings</w:t>
      </w:r>
    </w:p>
    <w:p w14:paraId="64CD474B" w14:textId="2234A47C" w:rsidR="00CF0B88" w:rsidRDefault="00CF0B88" w:rsidP="0036130C">
      <w:pPr>
        <w:pStyle w:val="NormalArial"/>
        <w:rPr>
          <w:rFonts w:ascii="Open Sans" w:eastAsia="Open Sans" w:hAnsi="Open Sans" w:cs="Open Sans"/>
        </w:rPr>
      </w:pPr>
      <w:r>
        <w:rPr>
          <w:rFonts w:ascii="Open Sans" w:eastAsia="Open Sans" w:hAnsi="Open Sans" w:cs="Open Sans"/>
        </w:rPr>
        <w:t>Consumers and representatives generally said they were happy with the care consumers received at the service</w:t>
      </w:r>
      <w:r w:rsidR="00A05E7B">
        <w:rPr>
          <w:rFonts w:ascii="Open Sans" w:eastAsia="Open Sans" w:hAnsi="Open Sans" w:cs="Open Sans"/>
        </w:rPr>
        <w:t xml:space="preserve"> and provided examples of how the staff support</w:t>
      </w:r>
      <w:r w:rsidR="003733DC">
        <w:rPr>
          <w:rFonts w:ascii="Open Sans" w:eastAsia="Open Sans" w:hAnsi="Open Sans" w:cs="Open Sans"/>
        </w:rPr>
        <w:t>ed</w:t>
      </w:r>
      <w:r w:rsidR="00A05E7B">
        <w:rPr>
          <w:rFonts w:ascii="Open Sans" w:eastAsia="Open Sans" w:hAnsi="Open Sans" w:cs="Open Sans"/>
        </w:rPr>
        <w:t xml:space="preserve"> consumers’ individualised needs</w:t>
      </w:r>
      <w:r>
        <w:rPr>
          <w:rFonts w:ascii="Open Sans" w:eastAsia="Open Sans" w:hAnsi="Open Sans" w:cs="Open Sans"/>
        </w:rPr>
        <w:t xml:space="preserve">. </w:t>
      </w:r>
    </w:p>
    <w:p w14:paraId="632F056A" w14:textId="72F60FE9" w:rsidR="00845034" w:rsidRDefault="00391785" w:rsidP="0036130C">
      <w:pPr>
        <w:pStyle w:val="NormalArial"/>
        <w:rPr>
          <w:rFonts w:ascii="Open Sans" w:eastAsia="Open Sans" w:hAnsi="Open Sans" w:cs="Open Sans"/>
        </w:rPr>
      </w:pPr>
      <w:r w:rsidRPr="45A77178">
        <w:rPr>
          <w:rFonts w:ascii="Open Sans" w:eastAsia="Open Sans" w:hAnsi="Open Sans" w:cs="Open Sans"/>
        </w:rPr>
        <w:t>The service demonstrated effective management of high-impact or high-prevalence risks associated with the care of each consumer</w:t>
      </w:r>
      <w:r w:rsidR="00C32D0C">
        <w:rPr>
          <w:rFonts w:ascii="Open Sans" w:eastAsia="Open Sans" w:hAnsi="Open Sans" w:cs="Open Sans"/>
        </w:rPr>
        <w:t>, including</w:t>
      </w:r>
      <w:r w:rsidRPr="45A77178">
        <w:rPr>
          <w:rFonts w:ascii="Open Sans" w:eastAsia="Open Sans" w:hAnsi="Open Sans" w:cs="Open Sans"/>
        </w:rPr>
        <w:t xml:space="preserve"> in relation to choking, falls, skin integrity and behaviours. </w:t>
      </w:r>
    </w:p>
    <w:p w14:paraId="30B0AA12" w14:textId="64A14540" w:rsidR="005243D3" w:rsidRDefault="005243D3" w:rsidP="0036130C">
      <w:pPr>
        <w:pStyle w:val="NormalArial"/>
        <w:rPr>
          <w:rFonts w:ascii="Open Sans" w:hAnsi="Open Sans" w:cs="Open Sans"/>
        </w:rPr>
      </w:pPr>
      <w:r>
        <w:rPr>
          <w:rFonts w:ascii="Open Sans" w:eastAsia="Open Sans" w:hAnsi="Open Sans" w:cs="Open Sans"/>
        </w:rPr>
        <w:t xml:space="preserve">Clinical indicator data </w:t>
      </w:r>
      <w:r w:rsidR="00304920">
        <w:rPr>
          <w:rFonts w:ascii="Open Sans" w:eastAsia="Open Sans" w:hAnsi="Open Sans" w:cs="Open Sans"/>
        </w:rPr>
        <w:t>informed the identification of high</w:t>
      </w:r>
      <w:r w:rsidR="003733DC">
        <w:rPr>
          <w:rFonts w:ascii="Open Sans" w:eastAsia="Open Sans" w:hAnsi="Open Sans" w:cs="Open Sans"/>
        </w:rPr>
        <w:t>-</w:t>
      </w:r>
      <w:r w:rsidR="00304920">
        <w:rPr>
          <w:rFonts w:ascii="Open Sans" w:eastAsia="Open Sans" w:hAnsi="Open Sans" w:cs="Open Sans"/>
        </w:rPr>
        <w:t>impact and high</w:t>
      </w:r>
      <w:r w:rsidR="003733DC">
        <w:rPr>
          <w:rFonts w:ascii="Open Sans" w:eastAsia="Open Sans" w:hAnsi="Open Sans" w:cs="Open Sans"/>
        </w:rPr>
        <w:t>-</w:t>
      </w:r>
      <w:r w:rsidR="00304920">
        <w:rPr>
          <w:rFonts w:ascii="Open Sans" w:eastAsia="Open Sans" w:hAnsi="Open Sans" w:cs="Open Sans"/>
        </w:rPr>
        <w:t xml:space="preserve"> prevalence risks</w:t>
      </w:r>
      <w:r w:rsidR="00576ECA">
        <w:rPr>
          <w:rFonts w:ascii="Open Sans" w:eastAsia="Open Sans" w:hAnsi="Open Sans" w:cs="Open Sans"/>
        </w:rPr>
        <w:t xml:space="preserve"> and the </w:t>
      </w:r>
      <w:r w:rsidR="003E4636">
        <w:rPr>
          <w:rFonts w:ascii="Open Sans" w:eastAsia="Open Sans" w:hAnsi="Open Sans" w:cs="Open Sans"/>
        </w:rPr>
        <w:t xml:space="preserve">care manager reviewed all incidents to identify themes and trends. </w:t>
      </w:r>
      <w:r w:rsidR="003B40A8">
        <w:rPr>
          <w:rFonts w:ascii="Open Sans" w:eastAsia="Open Sans" w:hAnsi="Open Sans" w:cs="Open Sans"/>
        </w:rPr>
        <w:t>M</w:t>
      </w:r>
      <w:r w:rsidR="003B40A8" w:rsidRPr="00D957A4">
        <w:rPr>
          <w:rFonts w:ascii="Open Sans" w:hAnsi="Open Sans" w:cs="Open Sans"/>
        </w:rPr>
        <w:t xml:space="preserve">anagement and registered staff were able to describe the </w:t>
      </w:r>
      <w:r w:rsidR="003B40A8">
        <w:rPr>
          <w:rFonts w:ascii="Open Sans" w:hAnsi="Open Sans" w:cs="Open Sans"/>
        </w:rPr>
        <w:t>high-impact</w:t>
      </w:r>
      <w:r w:rsidR="003B40A8" w:rsidRPr="00D957A4">
        <w:rPr>
          <w:rFonts w:ascii="Open Sans" w:hAnsi="Open Sans" w:cs="Open Sans"/>
        </w:rPr>
        <w:t xml:space="preserve"> </w:t>
      </w:r>
      <w:r w:rsidR="003B40A8">
        <w:rPr>
          <w:rFonts w:ascii="Open Sans" w:hAnsi="Open Sans" w:cs="Open Sans"/>
        </w:rPr>
        <w:t>or</w:t>
      </w:r>
      <w:r w:rsidR="003B40A8" w:rsidRPr="00D957A4">
        <w:rPr>
          <w:rFonts w:ascii="Open Sans" w:hAnsi="Open Sans" w:cs="Open Sans"/>
        </w:rPr>
        <w:t xml:space="preserve"> </w:t>
      </w:r>
      <w:r w:rsidR="003B40A8">
        <w:rPr>
          <w:rFonts w:ascii="Open Sans" w:hAnsi="Open Sans" w:cs="Open Sans"/>
        </w:rPr>
        <w:t>high-prevalence</w:t>
      </w:r>
      <w:r w:rsidR="003B40A8" w:rsidRPr="00D957A4">
        <w:rPr>
          <w:rFonts w:ascii="Open Sans" w:hAnsi="Open Sans" w:cs="Open Sans"/>
        </w:rPr>
        <w:t xml:space="preserve"> risks for consumers </w:t>
      </w:r>
      <w:r w:rsidR="003B40A8">
        <w:rPr>
          <w:rFonts w:ascii="Open Sans" w:hAnsi="Open Sans" w:cs="Open Sans"/>
        </w:rPr>
        <w:t xml:space="preserve">and how they were guided by policies and procedures when delivering care. </w:t>
      </w:r>
    </w:p>
    <w:p w14:paraId="54BAF436" w14:textId="2E3D98E1" w:rsidR="003B40A8" w:rsidRDefault="003B40A8" w:rsidP="0036130C">
      <w:pPr>
        <w:pStyle w:val="NormalArial"/>
        <w:rPr>
          <w:rFonts w:ascii="Open Sans" w:hAnsi="Open Sans" w:cs="Open Sans"/>
        </w:rPr>
      </w:pPr>
      <w:r>
        <w:rPr>
          <w:rFonts w:ascii="Open Sans" w:hAnsi="Open Sans" w:cs="Open Sans"/>
        </w:rPr>
        <w:t xml:space="preserve">Care planning documentation </w:t>
      </w:r>
      <w:r w:rsidR="002D2912">
        <w:rPr>
          <w:rFonts w:ascii="Open Sans" w:hAnsi="Open Sans" w:cs="Open Sans"/>
        </w:rPr>
        <w:t xml:space="preserve">identified risks associated with the consumers’ care </w:t>
      </w:r>
      <w:r w:rsidR="00125B45">
        <w:rPr>
          <w:rFonts w:ascii="Open Sans" w:hAnsi="Open Sans" w:cs="Open Sans"/>
        </w:rPr>
        <w:t>and</w:t>
      </w:r>
      <w:r w:rsidR="002D2912">
        <w:rPr>
          <w:rFonts w:ascii="Open Sans" w:hAnsi="Open Sans" w:cs="Open Sans"/>
        </w:rPr>
        <w:t xml:space="preserve"> planned interventions to minimise </w:t>
      </w:r>
      <w:r w:rsidR="00125B45">
        <w:rPr>
          <w:rFonts w:ascii="Open Sans" w:hAnsi="Open Sans" w:cs="Open Sans"/>
        </w:rPr>
        <w:t xml:space="preserve">risks were implemented. </w:t>
      </w:r>
      <w:r w:rsidR="00D700CE">
        <w:rPr>
          <w:rFonts w:ascii="Open Sans" w:hAnsi="Open Sans" w:cs="Open Sans"/>
        </w:rPr>
        <w:t>There were forums for discussing</w:t>
      </w:r>
      <w:r w:rsidR="003733DC">
        <w:rPr>
          <w:rFonts w:ascii="Open Sans" w:hAnsi="Open Sans" w:cs="Open Sans"/>
        </w:rPr>
        <w:t xml:space="preserve"> the needs of</w:t>
      </w:r>
      <w:r w:rsidR="00D700CE">
        <w:rPr>
          <w:rFonts w:ascii="Open Sans" w:hAnsi="Open Sans" w:cs="Open Sans"/>
        </w:rPr>
        <w:t xml:space="preserve"> individual consumers and these included</w:t>
      </w:r>
      <w:r w:rsidR="00C32D0C">
        <w:rPr>
          <w:rFonts w:ascii="Open Sans" w:hAnsi="Open Sans" w:cs="Open Sans"/>
        </w:rPr>
        <w:t xml:space="preserve"> handover, weekly clinical meetings, and monthly clinical governance meetings. </w:t>
      </w:r>
      <w:r w:rsidR="004F174C">
        <w:rPr>
          <w:rFonts w:ascii="Open Sans" w:hAnsi="Open Sans" w:cs="Open Sans"/>
        </w:rPr>
        <w:t>For example:</w:t>
      </w:r>
    </w:p>
    <w:p w14:paraId="059A1FF1" w14:textId="7E420383" w:rsidR="004F174C" w:rsidRPr="00FA1499" w:rsidRDefault="004F174C" w:rsidP="004F174C">
      <w:pPr>
        <w:pStyle w:val="NormalArial"/>
        <w:numPr>
          <w:ilvl w:val="0"/>
          <w:numId w:val="16"/>
        </w:numPr>
        <w:rPr>
          <w:rFonts w:ascii="Open Sans" w:eastAsia="Open Sans" w:hAnsi="Open Sans" w:cs="Open Sans"/>
        </w:rPr>
      </w:pPr>
      <w:r>
        <w:rPr>
          <w:rFonts w:ascii="Open Sans" w:eastAsia="Open Sans" w:hAnsi="Open Sans" w:cs="Open Sans"/>
        </w:rPr>
        <w:t xml:space="preserve">A review of </w:t>
      </w:r>
      <w:r w:rsidR="00577933">
        <w:rPr>
          <w:rFonts w:ascii="Open Sans" w:eastAsia="Open Sans" w:hAnsi="Open Sans" w:cs="Open Sans"/>
        </w:rPr>
        <w:t xml:space="preserve">consumers who required assistance with eating </w:t>
      </w:r>
      <w:r w:rsidR="00157791">
        <w:rPr>
          <w:rFonts w:ascii="Open Sans" w:eastAsia="Open Sans" w:hAnsi="Open Sans" w:cs="Open Sans"/>
        </w:rPr>
        <w:t>or who were at</w:t>
      </w:r>
      <w:r w:rsidR="00577933">
        <w:rPr>
          <w:rFonts w:ascii="Open Sans" w:eastAsia="Open Sans" w:hAnsi="Open Sans" w:cs="Open Sans"/>
        </w:rPr>
        <w:t xml:space="preserve"> risk of choking identified </w:t>
      </w:r>
      <w:r w:rsidR="00750A13">
        <w:rPr>
          <w:rFonts w:ascii="Open Sans" w:eastAsia="Open Sans" w:hAnsi="Open Sans" w:cs="Open Sans"/>
        </w:rPr>
        <w:t>they were being</w:t>
      </w:r>
      <w:r w:rsidR="00CB498A">
        <w:rPr>
          <w:rFonts w:ascii="Open Sans" w:eastAsia="Open Sans" w:hAnsi="Open Sans" w:cs="Open Sans"/>
        </w:rPr>
        <w:t xml:space="preserve"> effectively </w:t>
      </w:r>
      <w:r w:rsidR="00A34319">
        <w:rPr>
          <w:rFonts w:ascii="Open Sans" w:eastAsia="Open Sans" w:hAnsi="Open Sans" w:cs="Open Sans"/>
        </w:rPr>
        <w:t>supported,</w:t>
      </w:r>
      <w:r w:rsidR="00750A13">
        <w:rPr>
          <w:rFonts w:ascii="Open Sans" w:eastAsia="Open Sans" w:hAnsi="Open Sans" w:cs="Open Sans"/>
        </w:rPr>
        <w:t xml:space="preserve"> and strategies were in place to </w:t>
      </w:r>
      <w:r w:rsidR="00F81FB9">
        <w:rPr>
          <w:rFonts w:ascii="Open Sans" w:eastAsia="Open Sans" w:hAnsi="Open Sans" w:cs="Open Sans"/>
        </w:rPr>
        <w:t>manage any swallowing impairment</w:t>
      </w:r>
      <w:r w:rsidR="00CB498A">
        <w:rPr>
          <w:rFonts w:ascii="Open Sans" w:eastAsia="Open Sans" w:hAnsi="Open Sans" w:cs="Open Sans"/>
        </w:rPr>
        <w:t xml:space="preserve">. </w:t>
      </w:r>
      <w:r w:rsidR="001F3964">
        <w:rPr>
          <w:rFonts w:ascii="Open Sans" w:eastAsia="Open Sans" w:hAnsi="Open Sans" w:cs="Open Sans"/>
        </w:rPr>
        <w:t>There was evidence that care plans included information about diet and texture modification</w:t>
      </w:r>
      <w:r w:rsidR="007D4D64">
        <w:rPr>
          <w:rFonts w:ascii="Open Sans" w:eastAsia="Open Sans" w:hAnsi="Open Sans" w:cs="Open Sans"/>
        </w:rPr>
        <w:t xml:space="preserve"> requirements,</w:t>
      </w:r>
      <w:r w:rsidR="00BB0A61">
        <w:rPr>
          <w:rFonts w:ascii="Open Sans" w:eastAsia="Open Sans" w:hAnsi="Open Sans" w:cs="Open Sans"/>
        </w:rPr>
        <w:t xml:space="preserve"> staff report</w:t>
      </w:r>
      <w:r w:rsidR="00E60397">
        <w:rPr>
          <w:rFonts w:ascii="Open Sans" w:eastAsia="Open Sans" w:hAnsi="Open Sans" w:cs="Open Sans"/>
        </w:rPr>
        <w:t>ed</w:t>
      </w:r>
      <w:r w:rsidR="00BB0A61">
        <w:rPr>
          <w:rFonts w:ascii="Open Sans" w:eastAsia="Open Sans" w:hAnsi="Open Sans" w:cs="Open Sans"/>
        </w:rPr>
        <w:t xml:space="preserve"> to clinical staff when a consumer</w:t>
      </w:r>
      <w:r w:rsidR="00E60397">
        <w:rPr>
          <w:rFonts w:ascii="Open Sans" w:eastAsia="Open Sans" w:hAnsi="Open Sans" w:cs="Open Sans"/>
        </w:rPr>
        <w:t xml:space="preserve"> coughed during a meal</w:t>
      </w:r>
      <w:r w:rsidR="00583CDD">
        <w:rPr>
          <w:rFonts w:ascii="Open Sans" w:eastAsia="Open Sans" w:hAnsi="Open Sans" w:cs="Open Sans"/>
        </w:rPr>
        <w:t>, medical officers were involved in care,</w:t>
      </w:r>
      <w:r w:rsidR="00906573">
        <w:rPr>
          <w:rFonts w:ascii="Open Sans" w:eastAsia="Open Sans" w:hAnsi="Open Sans" w:cs="Open Sans"/>
        </w:rPr>
        <w:t xml:space="preserve"> referrals were made to a speech pathologist and communication with representatives occurred</w:t>
      </w:r>
      <w:r w:rsidR="000B152D">
        <w:rPr>
          <w:rFonts w:ascii="Open Sans" w:eastAsia="Open Sans" w:hAnsi="Open Sans" w:cs="Open Sans"/>
        </w:rPr>
        <w:t>.</w:t>
      </w:r>
      <w:r w:rsidR="00906573">
        <w:rPr>
          <w:rFonts w:ascii="Open Sans" w:eastAsia="Open Sans" w:hAnsi="Open Sans" w:cs="Open Sans"/>
        </w:rPr>
        <w:t xml:space="preserve"> Care staff and registered </w:t>
      </w:r>
      <w:r w:rsidR="001A0A95">
        <w:rPr>
          <w:rFonts w:ascii="Open Sans" w:eastAsia="Open Sans" w:hAnsi="Open Sans" w:cs="Open Sans"/>
        </w:rPr>
        <w:t xml:space="preserve">said they had received training in how to respond to swallowing difficulties and choking incidents. </w:t>
      </w:r>
      <w:r w:rsidR="003318E0">
        <w:rPr>
          <w:rFonts w:ascii="Open Sans" w:eastAsia="Open Sans" w:hAnsi="Open Sans" w:cs="Open Sans"/>
        </w:rPr>
        <w:t xml:space="preserve">Nursing staff said there </w:t>
      </w:r>
      <w:r w:rsidR="0083083B">
        <w:rPr>
          <w:rFonts w:ascii="Open Sans" w:eastAsia="Open Sans" w:hAnsi="Open Sans" w:cs="Open Sans"/>
        </w:rPr>
        <w:t>was</w:t>
      </w:r>
      <w:r w:rsidR="003318E0">
        <w:rPr>
          <w:rFonts w:ascii="Open Sans" w:eastAsia="Open Sans" w:hAnsi="Open Sans" w:cs="Open Sans"/>
        </w:rPr>
        <w:t xml:space="preserve"> always a staff</w:t>
      </w:r>
      <w:r w:rsidR="004521D8">
        <w:rPr>
          <w:rFonts w:ascii="Open Sans" w:eastAsia="Open Sans" w:hAnsi="Open Sans" w:cs="Open Sans"/>
        </w:rPr>
        <w:t xml:space="preserve"> member with first aid rostered on each shift and clinical equipment such as suction devices </w:t>
      </w:r>
      <w:r w:rsidR="0083083B">
        <w:rPr>
          <w:rFonts w:ascii="Open Sans" w:eastAsia="Open Sans" w:hAnsi="Open Sans" w:cs="Open Sans"/>
        </w:rPr>
        <w:t>were</w:t>
      </w:r>
      <w:r w:rsidR="004521D8" w:rsidRPr="00FA1499">
        <w:rPr>
          <w:rFonts w:ascii="Open Sans" w:eastAsia="Open Sans" w:hAnsi="Open Sans" w:cs="Open Sans"/>
        </w:rPr>
        <w:t xml:space="preserve"> available if needed. </w:t>
      </w:r>
    </w:p>
    <w:p w14:paraId="2C35537B" w14:textId="1D374472" w:rsidR="004521D8" w:rsidRDefault="004129AD" w:rsidP="004F174C">
      <w:pPr>
        <w:pStyle w:val="NormalArial"/>
        <w:numPr>
          <w:ilvl w:val="0"/>
          <w:numId w:val="16"/>
        </w:numPr>
        <w:rPr>
          <w:rFonts w:ascii="Open Sans" w:eastAsia="Open Sans" w:hAnsi="Open Sans" w:cs="Open Sans"/>
        </w:rPr>
      </w:pPr>
      <w:r w:rsidRPr="00FA1499">
        <w:rPr>
          <w:rFonts w:ascii="Open Sans" w:eastAsia="Open Sans" w:hAnsi="Open Sans" w:cs="Open Sans"/>
        </w:rPr>
        <w:t>Consumers who were at risk of falls were monitored and reviewed by nursing staff</w:t>
      </w:r>
      <w:r w:rsidR="00D402D2" w:rsidRPr="00FA1499">
        <w:rPr>
          <w:rFonts w:ascii="Open Sans" w:eastAsia="Open Sans" w:hAnsi="Open Sans" w:cs="Open Sans"/>
        </w:rPr>
        <w:t xml:space="preserve">, care managers and allied health professionals. </w:t>
      </w:r>
      <w:r w:rsidR="00B82C84" w:rsidRPr="00FA1499">
        <w:rPr>
          <w:rFonts w:ascii="Open Sans" w:eastAsia="Open Sans" w:hAnsi="Open Sans" w:cs="Open Sans"/>
        </w:rPr>
        <w:t xml:space="preserve">Assessments </w:t>
      </w:r>
      <w:r w:rsidR="00C04906" w:rsidRPr="00FA1499">
        <w:rPr>
          <w:rFonts w:ascii="Open Sans" w:eastAsia="Open Sans" w:hAnsi="Open Sans" w:cs="Open Sans"/>
        </w:rPr>
        <w:t xml:space="preserve">and incident documentation </w:t>
      </w:r>
      <w:r w:rsidR="00B82C84" w:rsidRPr="00FA1499">
        <w:rPr>
          <w:rFonts w:ascii="Open Sans" w:eastAsia="Open Sans" w:hAnsi="Open Sans" w:cs="Open Sans"/>
        </w:rPr>
        <w:t xml:space="preserve">had been </w:t>
      </w:r>
      <w:r w:rsidR="0083083B" w:rsidRPr="00FA1499">
        <w:rPr>
          <w:rFonts w:ascii="Open Sans" w:eastAsia="Open Sans" w:hAnsi="Open Sans" w:cs="Open Sans"/>
        </w:rPr>
        <w:t>completed,</w:t>
      </w:r>
      <w:r w:rsidR="00B82C84" w:rsidRPr="00FA1499">
        <w:rPr>
          <w:rFonts w:ascii="Open Sans" w:eastAsia="Open Sans" w:hAnsi="Open Sans" w:cs="Open Sans"/>
        </w:rPr>
        <w:t xml:space="preserve"> and</w:t>
      </w:r>
      <w:r w:rsidR="00C04906" w:rsidRPr="00FA1499">
        <w:rPr>
          <w:rFonts w:ascii="Open Sans" w:eastAsia="Open Sans" w:hAnsi="Open Sans" w:cs="Open Sans"/>
        </w:rPr>
        <w:t xml:space="preserve"> risk mitigation strategies were in place. Where a consumer had experienced a fall there </w:t>
      </w:r>
      <w:r w:rsidR="00C04906" w:rsidRPr="00FA1499">
        <w:rPr>
          <w:rFonts w:ascii="Open Sans" w:eastAsia="Open Sans" w:hAnsi="Open Sans" w:cs="Open Sans"/>
        </w:rPr>
        <w:lastRenderedPageBreak/>
        <w:t xml:space="preserve">was evidence the organisation’s falls protocols were </w:t>
      </w:r>
      <w:r w:rsidR="00FA1499" w:rsidRPr="00FA1499">
        <w:rPr>
          <w:rFonts w:ascii="Open Sans" w:eastAsia="Open Sans" w:hAnsi="Open Sans" w:cs="Open Sans"/>
        </w:rPr>
        <w:t>followed,</w:t>
      </w:r>
      <w:r w:rsidR="005B0E65" w:rsidRPr="00FA1499">
        <w:rPr>
          <w:rFonts w:ascii="Open Sans" w:eastAsia="Open Sans" w:hAnsi="Open Sans" w:cs="Open Sans"/>
        </w:rPr>
        <w:t xml:space="preserve"> neurological observations were </w:t>
      </w:r>
      <w:r w:rsidR="0083083B" w:rsidRPr="00FA1499">
        <w:rPr>
          <w:rFonts w:ascii="Open Sans" w:eastAsia="Open Sans" w:hAnsi="Open Sans" w:cs="Open Sans"/>
        </w:rPr>
        <w:t>completed,</w:t>
      </w:r>
      <w:r w:rsidR="005B0E65" w:rsidRPr="00FA1499">
        <w:rPr>
          <w:rFonts w:ascii="Open Sans" w:eastAsia="Open Sans" w:hAnsi="Open Sans" w:cs="Open Sans"/>
        </w:rPr>
        <w:t xml:space="preserve"> and a physiotherapist h</w:t>
      </w:r>
      <w:r w:rsidR="00B517E1" w:rsidRPr="00FA1499">
        <w:rPr>
          <w:rFonts w:ascii="Open Sans" w:eastAsia="Open Sans" w:hAnsi="Open Sans" w:cs="Open Sans"/>
        </w:rPr>
        <w:t xml:space="preserve">ad reviewed the consumer. </w:t>
      </w:r>
      <w:r w:rsidR="00C04906" w:rsidRPr="00FA1499">
        <w:rPr>
          <w:rFonts w:ascii="Open Sans" w:eastAsia="Open Sans" w:hAnsi="Open Sans" w:cs="Open Sans"/>
        </w:rPr>
        <w:t xml:space="preserve"> </w:t>
      </w:r>
      <w:r w:rsidR="00BB2151" w:rsidRPr="00FA1499">
        <w:rPr>
          <w:rFonts w:ascii="Open Sans" w:eastAsia="Open Sans" w:hAnsi="Open Sans" w:cs="Open Sans"/>
        </w:rPr>
        <w:t xml:space="preserve">Risk </w:t>
      </w:r>
      <w:r w:rsidR="00E2300F">
        <w:rPr>
          <w:rFonts w:ascii="Open Sans" w:eastAsia="Open Sans" w:hAnsi="Open Sans" w:cs="Open Sans"/>
        </w:rPr>
        <w:t xml:space="preserve">mitigation strategies including </w:t>
      </w:r>
      <w:r w:rsidR="00F54BED">
        <w:rPr>
          <w:rFonts w:ascii="Open Sans" w:eastAsia="Open Sans" w:hAnsi="Open Sans" w:cs="Open Sans"/>
        </w:rPr>
        <w:t xml:space="preserve">for example </w:t>
      </w:r>
      <w:r w:rsidR="00E2300F">
        <w:rPr>
          <w:rFonts w:ascii="Open Sans" w:eastAsia="Open Sans" w:hAnsi="Open Sans" w:cs="Open Sans"/>
        </w:rPr>
        <w:t>hip protectors</w:t>
      </w:r>
      <w:r w:rsidR="00BA5B11">
        <w:rPr>
          <w:rFonts w:ascii="Open Sans" w:eastAsia="Open Sans" w:hAnsi="Open Sans" w:cs="Open Sans"/>
        </w:rPr>
        <w:t xml:space="preserve">, </w:t>
      </w:r>
      <w:r w:rsidR="00E2300F">
        <w:rPr>
          <w:rFonts w:ascii="Open Sans" w:eastAsia="Open Sans" w:hAnsi="Open Sans" w:cs="Open Sans"/>
        </w:rPr>
        <w:t xml:space="preserve">bed sensor </w:t>
      </w:r>
      <w:r w:rsidR="0029239F">
        <w:rPr>
          <w:rFonts w:ascii="Open Sans" w:eastAsia="Open Sans" w:hAnsi="Open Sans" w:cs="Open Sans"/>
        </w:rPr>
        <w:t>mats, and</w:t>
      </w:r>
      <w:r w:rsidR="00BA5B11">
        <w:rPr>
          <w:rFonts w:ascii="Open Sans" w:eastAsia="Open Sans" w:hAnsi="Open Sans" w:cs="Open Sans"/>
        </w:rPr>
        <w:t xml:space="preserve"> </w:t>
      </w:r>
      <w:r w:rsidR="00231A28">
        <w:rPr>
          <w:rFonts w:ascii="Open Sans" w:eastAsia="Open Sans" w:hAnsi="Open Sans" w:cs="Open Sans"/>
        </w:rPr>
        <w:t xml:space="preserve">consideration of pain and toileting requirements were </w:t>
      </w:r>
      <w:r w:rsidR="00BA5B11">
        <w:rPr>
          <w:rFonts w:ascii="Open Sans" w:eastAsia="Open Sans" w:hAnsi="Open Sans" w:cs="Open Sans"/>
        </w:rPr>
        <w:t xml:space="preserve">in place. </w:t>
      </w:r>
    </w:p>
    <w:p w14:paraId="342A5C1C" w14:textId="467F4C37" w:rsidR="001C04B2" w:rsidRDefault="001C04B2" w:rsidP="004F174C">
      <w:pPr>
        <w:pStyle w:val="NormalArial"/>
        <w:numPr>
          <w:ilvl w:val="0"/>
          <w:numId w:val="16"/>
        </w:numPr>
        <w:rPr>
          <w:rFonts w:ascii="Open Sans" w:eastAsia="Open Sans" w:hAnsi="Open Sans" w:cs="Open Sans"/>
        </w:rPr>
      </w:pPr>
      <w:r>
        <w:rPr>
          <w:rFonts w:ascii="Open Sans" w:eastAsia="Open Sans" w:hAnsi="Open Sans" w:cs="Open Sans"/>
        </w:rPr>
        <w:t xml:space="preserve">Consumers with skin </w:t>
      </w:r>
      <w:r w:rsidR="004C01F2">
        <w:rPr>
          <w:rFonts w:ascii="Open Sans" w:eastAsia="Open Sans" w:hAnsi="Open Sans" w:cs="Open Sans"/>
        </w:rPr>
        <w:t xml:space="preserve">integrity issues such as pressure areas, wounds, bruises and/or skin tears </w:t>
      </w:r>
      <w:r w:rsidR="0083083B">
        <w:rPr>
          <w:rFonts w:ascii="Open Sans" w:eastAsia="Open Sans" w:hAnsi="Open Sans" w:cs="Open Sans"/>
        </w:rPr>
        <w:t>were</w:t>
      </w:r>
      <w:r w:rsidR="00EA1057">
        <w:rPr>
          <w:rFonts w:ascii="Open Sans" w:eastAsia="Open Sans" w:hAnsi="Open Sans" w:cs="Open Sans"/>
        </w:rPr>
        <w:t xml:space="preserve"> identified and </w:t>
      </w:r>
      <w:r w:rsidR="00735D5D">
        <w:rPr>
          <w:rFonts w:ascii="Open Sans" w:eastAsia="Open Sans" w:hAnsi="Open Sans" w:cs="Open Sans"/>
        </w:rPr>
        <w:t>monitored by</w:t>
      </w:r>
      <w:r w:rsidR="00F34325">
        <w:rPr>
          <w:rFonts w:ascii="Open Sans" w:eastAsia="Open Sans" w:hAnsi="Open Sans" w:cs="Open Sans"/>
        </w:rPr>
        <w:t xml:space="preserve"> clinical staff</w:t>
      </w:r>
      <w:r w:rsidR="00FF04BD">
        <w:rPr>
          <w:rFonts w:ascii="Open Sans" w:eastAsia="Open Sans" w:hAnsi="Open Sans" w:cs="Open Sans"/>
        </w:rPr>
        <w:t xml:space="preserve"> and wound care consultants </w:t>
      </w:r>
      <w:r w:rsidR="0083083B">
        <w:rPr>
          <w:rFonts w:ascii="Open Sans" w:eastAsia="Open Sans" w:hAnsi="Open Sans" w:cs="Open Sans"/>
        </w:rPr>
        <w:t>were</w:t>
      </w:r>
      <w:r w:rsidR="00FF04BD">
        <w:rPr>
          <w:rFonts w:ascii="Open Sans" w:eastAsia="Open Sans" w:hAnsi="Open Sans" w:cs="Open Sans"/>
        </w:rPr>
        <w:t xml:space="preserve"> involved in care provision where a need </w:t>
      </w:r>
      <w:r w:rsidR="0083083B">
        <w:rPr>
          <w:rFonts w:ascii="Open Sans" w:eastAsia="Open Sans" w:hAnsi="Open Sans" w:cs="Open Sans"/>
        </w:rPr>
        <w:t>was</w:t>
      </w:r>
      <w:r w:rsidR="00FF04BD">
        <w:rPr>
          <w:rFonts w:ascii="Open Sans" w:eastAsia="Open Sans" w:hAnsi="Open Sans" w:cs="Open Sans"/>
        </w:rPr>
        <w:t xml:space="preserve"> identified. </w:t>
      </w:r>
      <w:r w:rsidR="00373DD4">
        <w:rPr>
          <w:rFonts w:ascii="Open Sans" w:eastAsia="Open Sans" w:hAnsi="Open Sans" w:cs="Open Sans"/>
        </w:rPr>
        <w:t xml:space="preserve">Strategies to mitigate risk were detailed in care planning documentation and wound </w:t>
      </w:r>
      <w:r w:rsidR="006F7BAF">
        <w:rPr>
          <w:rFonts w:ascii="Open Sans" w:eastAsia="Open Sans" w:hAnsi="Open Sans" w:cs="Open Sans"/>
        </w:rPr>
        <w:t xml:space="preserve">treatment plans provided guidance to staff delivering wound care. </w:t>
      </w:r>
      <w:r w:rsidR="0001613D">
        <w:rPr>
          <w:rFonts w:ascii="Open Sans" w:eastAsia="Open Sans" w:hAnsi="Open Sans" w:cs="Open Sans"/>
        </w:rPr>
        <w:t xml:space="preserve">Management advised the </w:t>
      </w:r>
      <w:r w:rsidR="005201B9">
        <w:rPr>
          <w:rFonts w:ascii="Open Sans" w:eastAsia="Open Sans" w:hAnsi="Open Sans" w:cs="Open Sans"/>
        </w:rPr>
        <w:t xml:space="preserve">service had been focusing on reducing skin tears and </w:t>
      </w:r>
      <w:r w:rsidR="00576974">
        <w:rPr>
          <w:rFonts w:ascii="Open Sans" w:eastAsia="Open Sans" w:hAnsi="Open Sans" w:cs="Open Sans"/>
        </w:rPr>
        <w:t xml:space="preserve">incident data demonstrated this had been effective with a reduction in skin tears noted </w:t>
      </w:r>
      <w:r w:rsidR="00022901">
        <w:rPr>
          <w:rFonts w:ascii="Open Sans" w:eastAsia="Open Sans" w:hAnsi="Open Sans" w:cs="Open Sans"/>
        </w:rPr>
        <w:t xml:space="preserve">in recent months. </w:t>
      </w:r>
    </w:p>
    <w:p w14:paraId="3F4F5330" w14:textId="794B0585" w:rsidR="00E84A2B" w:rsidRDefault="00E31D63" w:rsidP="009C4FB7">
      <w:pPr>
        <w:pStyle w:val="NormalArial"/>
        <w:numPr>
          <w:ilvl w:val="0"/>
          <w:numId w:val="16"/>
        </w:numPr>
        <w:rPr>
          <w:rFonts w:ascii="Open Sans" w:eastAsia="Open Sans" w:hAnsi="Open Sans" w:cs="Open Sans"/>
        </w:rPr>
      </w:pPr>
      <w:r>
        <w:rPr>
          <w:rFonts w:ascii="Open Sans" w:eastAsia="Open Sans" w:hAnsi="Open Sans" w:cs="Open Sans"/>
        </w:rPr>
        <w:t xml:space="preserve">Behaviour support specialists and medical officers </w:t>
      </w:r>
      <w:r w:rsidR="0083083B">
        <w:rPr>
          <w:rFonts w:ascii="Open Sans" w:eastAsia="Open Sans" w:hAnsi="Open Sans" w:cs="Open Sans"/>
        </w:rPr>
        <w:t>were</w:t>
      </w:r>
      <w:r w:rsidR="00742B95">
        <w:rPr>
          <w:rFonts w:ascii="Open Sans" w:eastAsia="Open Sans" w:hAnsi="Open Sans" w:cs="Open Sans"/>
        </w:rPr>
        <w:t xml:space="preserve"> involved in planning care for consumers with changed behaviours</w:t>
      </w:r>
      <w:r w:rsidR="006C17E2">
        <w:rPr>
          <w:rFonts w:ascii="Open Sans" w:eastAsia="Open Sans" w:hAnsi="Open Sans" w:cs="Open Sans"/>
        </w:rPr>
        <w:t xml:space="preserve"> and this was reflected in care planning documentation. Staff were familiar with </w:t>
      </w:r>
      <w:r w:rsidR="009919F1">
        <w:rPr>
          <w:rFonts w:ascii="Open Sans" w:eastAsia="Open Sans" w:hAnsi="Open Sans" w:cs="Open Sans"/>
        </w:rPr>
        <w:t>behavioural triggers and risk mitigation strategies</w:t>
      </w:r>
      <w:r w:rsidR="00E84A2B">
        <w:rPr>
          <w:rFonts w:ascii="Open Sans" w:eastAsia="Open Sans" w:hAnsi="Open Sans" w:cs="Open Sans"/>
        </w:rPr>
        <w:t xml:space="preserve"> were established.</w:t>
      </w:r>
    </w:p>
    <w:p w14:paraId="07636C83" w14:textId="1D38DA99" w:rsidR="00E14376" w:rsidRDefault="00E14376" w:rsidP="00E14376">
      <w:pPr>
        <w:pStyle w:val="NormalArial"/>
        <w:rPr>
          <w:rFonts w:ascii="Open Sans" w:eastAsia="Open Sans" w:hAnsi="Open Sans" w:cs="Open Sans"/>
        </w:rPr>
      </w:pPr>
      <w:r>
        <w:rPr>
          <w:rFonts w:ascii="Open Sans" w:eastAsia="Open Sans" w:hAnsi="Open Sans" w:cs="Open Sans"/>
        </w:rPr>
        <w:t xml:space="preserve">However, </w:t>
      </w:r>
      <w:r w:rsidR="0092346F">
        <w:rPr>
          <w:rFonts w:ascii="Open Sans" w:eastAsia="Open Sans" w:hAnsi="Open Sans" w:cs="Open Sans"/>
        </w:rPr>
        <w:t xml:space="preserve">while the Assessment Team </w:t>
      </w:r>
      <w:r w:rsidR="003C354F">
        <w:rPr>
          <w:rFonts w:ascii="Open Sans" w:eastAsia="Open Sans" w:hAnsi="Open Sans" w:cs="Open Sans"/>
        </w:rPr>
        <w:t>found</w:t>
      </w:r>
      <w:r w:rsidR="0092346F">
        <w:rPr>
          <w:rFonts w:ascii="Open Sans" w:eastAsia="Open Sans" w:hAnsi="Open Sans" w:cs="Open Sans"/>
        </w:rPr>
        <w:t xml:space="preserve"> that identified medication incidents</w:t>
      </w:r>
      <w:r w:rsidR="0068564C">
        <w:rPr>
          <w:rFonts w:ascii="Open Sans" w:eastAsia="Open Sans" w:hAnsi="Open Sans" w:cs="Open Sans"/>
        </w:rPr>
        <w:t xml:space="preserve"> had been investigated and addressed, delays in the administration of time</w:t>
      </w:r>
      <w:r w:rsidR="00A1541C">
        <w:rPr>
          <w:rFonts w:ascii="Open Sans" w:eastAsia="Open Sans" w:hAnsi="Open Sans" w:cs="Open Sans"/>
        </w:rPr>
        <w:t xml:space="preserve"> </w:t>
      </w:r>
      <w:r w:rsidR="00803327">
        <w:rPr>
          <w:rFonts w:ascii="Open Sans" w:eastAsia="Open Sans" w:hAnsi="Open Sans" w:cs="Open Sans"/>
        </w:rPr>
        <w:t>sensitive</w:t>
      </w:r>
      <w:r w:rsidR="0068564C">
        <w:rPr>
          <w:rFonts w:ascii="Open Sans" w:eastAsia="Open Sans" w:hAnsi="Open Sans" w:cs="Open Sans"/>
        </w:rPr>
        <w:t xml:space="preserve"> medications had not been identified </w:t>
      </w:r>
      <w:r w:rsidR="003C354F">
        <w:rPr>
          <w:rFonts w:ascii="Open Sans" w:eastAsia="Open Sans" w:hAnsi="Open Sans" w:cs="Open Sans"/>
        </w:rPr>
        <w:t>as an incident</w:t>
      </w:r>
      <w:r w:rsidR="0071586D">
        <w:rPr>
          <w:rFonts w:ascii="Open Sans" w:eastAsia="Open Sans" w:hAnsi="Open Sans" w:cs="Open Sans"/>
        </w:rPr>
        <w:t>.</w:t>
      </w:r>
      <w:r w:rsidR="003C354F">
        <w:rPr>
          <w:rFonts w:ascii="Open Sans" w:eastAsia="Open Sans" w:hAnsi="Open Sans" w:cs="Open Sans"/>
        </w:rPr>
        <w:t xml:space="preserve"> </w:t>
      </w:r>
      <w:r w:rsidR="00572C3F">
        <w:rPr>
          <w:rFonts w:ascii="Open Sans" w:eastAsia="Open Sans" w:hAnsi="Open Sans" w:cs="Open Sans"/>
        </w:rPr>
        <w:t xml:space="preserve">Staff interviewed were aware of the importance of providing time </w:t>
      </w:r>
      <w:r w:rsidR="00803327">
        <w:rPr>
          <w:rFonts w:ascii="Open Sans" w:eastAsia="Open Sans" w:hAnsi="Open Sans" w:cs="Open Sans"/>
        </w:rPr>
        <w:t>sensitive</w:t>
      </w:r>
      <w:r w:rsidR="00572C3F">
        <w:rPr>
          <w:rFonts w:ascii="Open Sans" w:eastAsia="Open Sans" w:hAnsi="Open Sans" w:cs="Open Sans"/>
        </w:rPr>
        <w:t xml:space="preserve"> medications </w:t>
      </w:r>
      <w:r w:rsidR="00303AE8">
        <w:rPr>
          <w:rFonts w:ascii="Open Sans" w:eastAsia="Open Sans" w:hAnsi="Open Sans" w:cs="Open Sans"/>
        </w:rPr>
        <w:t>as prescribed</w:t>
      </w:r>
      <w:r w:rsidR="00730E57">
        <w:rPr>
          <w:rFonts w:ascii="Open Sans" w:eastAsia="Open Sans" w:hAnsi="Open Sans" w:cs="Open Sans"/>
        </w:rPr>
        <w:t xml:space="preserve"> and </w:t>
      </w:r>
      <w:r w:rsidR="003A549D">
        <w:rPr>
          <w:rFonts w:ascii="Open Sans" w:eastAsia="Open Sans" w:hAnsi="Open Sans" w:cs="Open Sans"/>
        </w:rPr>
        <w:t xml:space="preserve">the </w:t>
      </w:r>
      <w:r w:rsidR="00B37B76">
        <w:rPr>
          <w:rFonts w:ascii="Open Sans" w:eastAsia="Open Sans" w:hAnsi="Open Sans" w:cs="Open Sans"/>
        </w:rPr>
        <w:t>potential</w:t>
      </w:r>
      <w:r w:rsidR="003A549D">
        <w:rPr>
          <w:rFonts w:ascii="Open Sans" w:eastAsia="Open Sans" w:hAnsi="Open Sans" w:cs="Open Sans"/>
        </w:rPr>
        <w:t xml:space="preserve"> impact on consumers</w:t>
      </w:r>
      <w:r w:rsidR="00B37B76">
        <w:rPr>
          <w:rFonts w:ascii="Open Sans" w:eastAsia="Open Sans" w:hAnsi="Open Sans" w:cs="Open Sans"/>
        </w:rPr>
        <w:t xml:space="preserve"> if these medications were delayed. </w:t>
      </w:r>
      <w:r w:rsidR="00843A7A">
        <w:rPr>
          <w:rFonts w:ascii="Open Sans" w:eastAsia="Open Sans" w:hAnsi="Open Sans" w:cs="Open Sans"/>
        </w:rPr>
        <w:t xml:space="preserve">Management were responsive to the Assessment </w:t>
      </w:r>
      <w:r w:rsidR="00CE3C2F">
        <w:rPr>
          <w:rFonts w:ascii="Open Sans" w:eastAsia="Open Sans" w:hAnsi="Open Sans" w:cs="Open Sans"/>
        </w:rPr>
        <w:t>T</w:t>
      </w:r>
      <w:r w:rsidR="00843A7A">
        <w:rPr>
          <w:rFonts w:ascii="Open Sans" w:eastAsia="Open Sans" w:hAnsi="Open Sans" w:cs="Open Sans"/>
        </w:rPr>
        <w:t xml:space="preserve">eam’s feedback </w:t>
      </w:r>
      <w:r w:rsidR="00F9341B">
        <w:rPr>
          <w:rFonts w:ascii="Open Sans" w:eastAsia="Open Sans" w:hAnsi="Open Sans" w:cs="Open Sans"/>
        </w:rPr>
        <w:t xml:space="preserve">during the Assessment Contact and the approved provider’s </w:t>
      </w:r>
      <w:r w:rsidR="007D45CD">
        <w:rPr>
          <w:rFonts w:ascii="Open Sans" w:eastAsia="Open Sans" w:hAnsi="Open Sans" w:cs="Open Sans"/>
        </w:rPr>
        <w:t xml:space="preserve">response provided additional clarifying information and </w:t>
      </w:r>
      <w:r w:rsidR="004448F6">
        <w:rPr>
          <w:rFonts w:ascii="Open Sans" w:eastAsia="Open Sans" w:hAnsi="Open Sans" w:cs="Open Sans"/>
        </w:rPr>
        <w:t xml:space="preserve">advised of the following actions to </w:t>
      </w:r>
      <w:r w:rsidR="002250FE">
        <w:rPr>
          <w:rFonts w:ascii="Open Sans" w:eastAsia="Open Sans" w:hAnsi="Open Sans" w:cs="Open Sans"/>
        </w:rPr>
        <w:t xml:space="preserve">further </w:t>
      </w:r>
      <w:r w:rsidR="004448F6">
        <w:rPr>
          <w:rFonts w:ascii="Open Sans" w:eastAsia="Open Sans" w:hAnsi="Open Sans" w:cs="Open Sans"/>
        </w:rPr>
        <w:t>enhance</w:t>
      </w:r>
      <w:r w:rsidR="00CE3C2F">
        <w:rPr>
          <w:rFonts w:ascii="Open Sans" w:eastAsia="Open Sans" w:hAnsi="Open Sans" w:cs="Open Sans"/>
        </w:rPr>
        <w:t xml:space="preserve"> </w:t>
      </w:r>
      <w:r w:rsidR="002250FE">
        <w:rPr>
          <w:rFonts w:ascii="Open Sans" w:eastAsia="Open Sans" w:hAnsi="Open Sans" w:cs="Open Sans"/>
        </w:rPr>
        <w:t>medication safety:</w:t>
      </w:r>
    </w:p>
    <w:p w14:paraId="0B1EF394" w14:textId="5DCD8C4E" w:rsidR="002250FE" w:rsidRDefault="002250FE" w:rsidP="002250FE">
      <w:pPr>
        <w:pStyle w:val="NormalArial"/>
        <w:numPr>
          <w:ilvl w:val="0"/>
          <w:numId w:val="17"/>
        </w:numPr>
        <w:rPr>
          <w:rFonts w:ascii="Open Sans" w:eastAsia="Open Sans" w:hAnsi="Open Sans" w:cs="Open Sans"/>
        </w:rPr>
      </w:pPr>
      <w:r>
        <w:rPr>
          <w:rFonts w:ascii="Open Sans" w:eastAsia="Open Sans" w:hAnsi="Open Sans" w:cs="Open Sans"/>
        </w:rPr>
        <w:t xml:space="preserve">The medication policy has </w:t>
      </w:r>
      <w:r w:rsidR="009F1C30">
        <w:rPr>
          <w:rFonts w:ascii="Open Sans" w:eastAsia="Open Sans" w:hAnsi="Open Sans" w:cs="Open Sans"/>
        </w:rPr>
        <w:t>been revised and updated to include time sensitive medication</w:t>
      </w:r>
      <w:r w:rsidR="007D29CE">
        <w:rPr>
          <w:rFonts w:ascii="Open Sans" w:eastAsia="Open Sans" w:hAnsi="Open Sans" w:cs="Open Sans"/>
        </w:rPr>
        <w:t>. The policy provides details on the timeframes associated with the administration of time sensitive medications</w:t>
      </w:r>
      <w:r w:rsidR="00205F89">
        <w:rPr>
          <w:rFonts w:ascii="Open Sans" w:eastAsia="Open Sans" w:hAnsi="Open Sans" w:cs="Open Sans"/>
        </w:rPr>
        <w:t xml:space="preserve"> and the associated reporting processes. </w:t>
      </w:r>
    </w:p>
    <w:p w14:paraId="1A309B75" w14:textId="4D727173" w:rsidR="006666C0" w:rsidRDefault="00205F89" w:rsidP="002250FE">
      <w:pPr>
        <w:pStyle w:val="NormalArial"/>
        <w:numPr>
          <w:ilvl w:val="0"/>
          <w:numId w:val="17"/>
        </w:numPr>
        <w:rPr>
          <w:rFonts w:ascii="Open Sans" w:eastAsia="Open Sans" w:hAnsi="Open Sans" w:cs="Open Sans"/>
        </w:rPr>
      </w:pPr>
      <w:r>
        <w:rPr>
          <w:rFonts w:ascii="Open Sans" w:eastAsia="Open Sans" w:hAnsi="Open Sans" w:cs="Open Sans"/>
        </w:rPr>
        <w:t xml:space="preserve">The annual medication competency </w:t>
      </w:r>
      <w:r w:rsidR="009F5E21">
        <w:rPr>
          <w:rFonts w:ascii="Open Sans" w:eastAsia="Open Sans" w:hAnsi="Open Sans" w:cs="Open Sans"/>
        </w:rPr>
        <w:t>formally addresses tim</w:t>
      </w:r>
      <w:r w:rsidR="00803327">
        <w:rPr>
          <w:rFonts w:ascii="Open Sans" w:eastAsia="Open Sans" w:hAnsi="Open Sans" w:cs="Open Sans"/>
        </w:rPr>
        <w:t xml:space="preserve">e </w:t>
      </w:r>
      <w:r w:rsidR="009F5E21">
        <w:rPr>
          <w:rFonts w:ascii="Open Sans" w:eastAsia="Open Sans" w:hAnsi="Open Sans" w:cs="Open Sans"/>
        </w:rPr>
        <w:t>sensitive medications</w:t>
      </w:r>
      <w:r w:rsidR="00803327">
        <w:rPr>
          <w:rFonts w:ascii="Open Sans" w:eastAsia="Open Sans" w:hAnsi="Open Sans" w:cs="Open Sans"/>
        </w:rPr>
        <w:t xml:space="preserve"> </w:t>
      </w:r>
      <w:r w:rsidR="009135A2">
        <w:rPr>
          <w:rFonts w:ascii="Open Sans" w:eastAsia="Open Sans" w:hAnsi="Open Sans" w:cs="Open Sans"/>
        </w:rPr>
        <w:t>and ensures staff understand the importance</w:t>
      </w:r>
      <w:r w:rsidR="006150B4">
        <w:rPr>
          <w:rFonts w:ascii="Open Sans" w:eastAsia="Open Sans" w:hAnsi="Open Sans" w:cs="Open Sans"/>
        </w:rPr>
        <w:t xml:space="preserve"> of these medications being given at the prescribed time and the actions to take if this does not occur. </w:t>
      </w:r>
    </w:p>
    <w:p w14:paraId="73DF2B01" w14:textId="58D5EDBA" w:rsidR="00205F89" w:rsidRDefault="00442895" w:rsidP="002250FE">
      <w:pPr>
        <w:pStyle w:val="NormalArial"/>
        <w:numPr>
          <w:ilvl w:val="0"/>
          <w:numId w:val="17"/>
        </w:numPr>
        <w:rPr>
          <w:rFonts w:ascii="Open Sans" w:eastAsia="Open Sans" w:hAnsi="Open Sans" w:cs="Open Sans"/>
        </w:rPr>
      </w:pPr>
      <w:r>
        <w:rPr>
          <w:rFonts w:ascii="Open Sans" w:eastAsia="Open Sans" w:hAnsi="Open Sans" w:cs="Open Sans"/>
        </w:rPr>
        <w:t>While t</w:t>
      </w:r>
      <w:r w:rsidR="006666C0">
        <w:rPr>
          <w:rFonts w:ascii="Open Sans" w:eastAsia="Open Sans" w:hAnsi="Open Sans" w:cs="Open Sans"/>
        </w:rPr>
        <w:t xml:space="preserve">he electronic </w:t>
      </w:r>
      <w:r w:rsidR="003E3325">
        <w:rPr>
          <w:rFonts w:ascii="Open Sans" w:eastAsia="Open Sans" w:hAnsi="Open Sans" w:cs="Open Sans"/>
        </w:rPr>
        <w:t xml:space="preserve">medication </w:t>
      </w:r>
      <w:r w:rsidR="006666C0">
        <w:rPr>
          <w:rFonts w:ascii="Open Sans" w:eastAsia="Open Sans" w:hAnsi="Open Sans" w:cs="Open Sans"/>
        </w:rPr>
        <w:t>management system</w:t>
      </w:r>
      <w:r>
        <w:rPr>
          <w:rFonts w:ascii="Open Sans" w:eastAsia="Open Sans" w:hAnsi="Open Sans" w:cs="Open Sans"/>
        </w:rPr>
        <w:t xml:space="preserve"> alerted staff to those </w:t>
      </w:r>
      <w:r w:rsidR="009143AB">
        <w:rPr>
          <w:rFonts w:ascii="Open Sans" w:eastAsia="Open Sans" w:hAnsi="Open Sans" w:cs="Open Sans"/>
        </w:rPr>
        <w:t>consumers</w:t>
      </w:r>
      <w:r>
        <w:rPr>
          <w:rFonts w:ascii="Open Sans" w:eastAsia="Open Sans" w:hAnsi="Open Sans" w:cs="Open Sans"/>
        </w:rPr>
        <w:t xml:space="preserve"> requiring time sensitive medications, </w:t>
      </w:r>
      <w:r w:rsidR="009143AB">
        <w:rPr>
          <w:rFonts w:ascii="Open Sans" w:eastAsia="Open Sans" w:hAnsi="Open Sans" w:cs="Open Sans"/>
        </w:rPr>
        <w:t xml:space="preserve">additional actions have been </w:t>
      </w:r>
      <w:r w:rsidR="00DA64D3">
        <w:rPr>
          <w:rFonts w:ascii="Open Sans" w:eastAsia="Open Sans" w:hAnsi="Open Sans" w:cs="Open Sans"/>
        </w:rPr>
        <w:t>taken,</w:t>
      </w:r>
      <w:r w:rsidR="009143AB">
        <w:rPr>
          <w:rFonts w:ascii="Open Sans" w:eastAsia="Open Sans" w:hAnsi="Open Sans" w:cs="Open Sans"/>
        </w:rPr>
        <w:t xml:space="preserve"> and the </w:t>
      </w:r>
      <w:r w:rsidR="003E3325">
        <w:rPr>
          <w:rFonts w:ascii="Open Sans" w:eastAsia="Open Sans" w:hAnsi="Open Sans" w:cs="Open Sans"/>
        </w:rPr>
        <w:t xml:space="preserve">medication management system now highlights and prioritises </w:t>
      </w:r>
      <w:r w:rsidR="00F34627">
        <w:rPr>
          <w:rFonts w:ascii="Open Sans" w:eastAsia="Open Sans" w:hAnsi="Open Sans" w:cs="Open Sans"/>
        </w:rPr>
        <w:t xml:space="preserve">consumers who receive these medications. </w:t>
      </w:r>
    </w:p>
    <w:p w14:paraId="37E0F0CC" w14:textId="1C614AC9" w:rsidR="00F34627" w:rsidRDefault="002F4974" w:rsidP="002250FE">
      <w:pPr>
        <w:pStyle w:val="NormalArial"/>
        <w:numPr>
          <w:ilvl w:val="0"/>
          <w:numId w:val="17"/>
        </w:numPr>
        <w:rPr>
          <w:rFonts w:ascii="Open Sans" w:eastAsia="Open Sans" w:hAnsi="Open Sans" w:cs="Open Sans"/>
        </w:rPr>
      </w:pPr>
      <w:r>
        <w:rPr>
          <w:rFonts w:ascii="Open Sans" w:eastAsia="Open Sans" w:hAnsi="Open Sans" w:cs="Open Sans"/>
        </w:rPr>
        <w:t>Management have met with s</w:t>
      </w:r>
      <w:r w:rsidR="00F34627">
        <w:rPr>
          <w:rFonts w:ascii="Open Sans" w:eastAsia="Open Sans" w:hAnsi="Open Sans" w:cs="Open Sans"/>
        </w:rPr>
        <w:t>taff who provide medications</w:t>
      </w:r>
      <w:r w:rsidR="00483244">
        <w:rPr>
          <w:rFonts w:ascii="Open Sans" w:eastAsia="Open Sans" w:hAnsi="Open Sans" w:cs="Open Sans"/>
        </w:rPr>
        <w:t xml:space="preserve"> and </w:t>
      </w:r>
      <w:r>
        <w:rPr>
          <w:rFonts w:ascii="Open Sans" w:eastAsia="Open Sans" w:hAnsi="Open Sans" w:cs="Open Sans"/>
        </w:rPr>
        <w:t xml:space="preserve">have </w:t>
      </w:r>
      <w:r w:rsidR="000C3862">
        <w:rPr>
          <w:rFonts w:ascii="Open Sans" w:eastAsia="Open Sans" w:hAnsi="Open Sans" w:cs="Open Sans"/>
        </w:rPr>
        <w:t>provided education re</w:t>
      </w:r>
      <w:r w:rsidR="00DA64D3">
        <w:rPr>
          <w:rFonts w:ascii="Open Sans" w:eastAsia="Open Sans" w:hAnsi="Open Sans" w:cs="Open Sans"/>
        </w:rPr>
        <w:t>garding</w:t>
      </w:r>
      <w:r w:rsidR="000C3862">
        <w:rPr>
          <w:rFonts w:ascii="Open Sans" w:eastAsia="Open Sans" w:hAnsi="Open Sans" w:cs="Open Sans"/>
        </w:rPr>
        <w:t xml:space="preserve"> time sensitive medi</w:t>
      </w:r>
      <w:r w:rsidR="00DA64D3">
        <w:rPr>
          <w:rFonts w:ascii="Open Sans" w:eastAsia="Open Sans" w:hAnsi="Open Sans" w:cs="Open Sans"/>
        </w:rPr>
        <w:t>c</w:t>
      </w:r>
      <w:r w:rsidR="000C3862">
        <w:rPr>
          <w:rFonts w:ascii="Open Sans" w:eastAsia="Open Sans" w:hAnsi="Open Sans" w:cs="Open Sans"/>
        </w:rPr>
        <w:t xml:space="preserve">ations. </w:t>
      </w:r>
    </w:p>
    <w:p w14:paraId="3E99B7E9" w14:textId="291998CF" w:rsidR="00845034" w:rsidRPr="00050A1B" w:rsidRDefault="000B61D6" w:rsidP="0036130C">
      <w:pPr>
        <w:pStyle w:val="NormalArial"/>
        <w:numPr>
          <w:ilvl w:val="0"/>
          <w:numId w:val="17"/>
        </w:numPr>
        <w:rPr>
          <w:rFonts w:ascii="Open Sans" w:eastAsia="Open Sans" w:hAnsi="Open Sans" w:cs="Open Sans"/>
        </w:rPr>
      </w:pPr>
      <w:r>
        <w:rPr>
          <w:rFonts w:ascii="Open Sans" w:eastAsia="Open Sans" w:hAnsi="Open Sans" w:cs="Open Sans"/>
        </w:rPr>
        <w:lastRenderedPageBreak/>
        <w:t xml:space="preserve">Reporting to the Clinical Governance Committee now includes </w:t>
      </w:r>
      <w:r w:rsidR="00277F12">
        <w:rPr>
          <w:rFonts w:ascii="Open Sans" w:eastAsia="Open Sans" w:hAnsi="Open Sans" w:cs="Open Sans"/>
        </w:rPr>
        <w:t>time sensitive medications</w:t>
      </w:r>
      <w:r w:rsidR="00443120">
        <w:rPr>
          <w:rFonts w:ascii="Open Sans" w:eastAsia="Open Sans" w:hAnsi="Open Sans" w:cs="Open Sans"/>
        </w:rPr>
        <w:t xml:space="preserve">; clinical management staff </w:t>
      </w:r>
      <w:r w:rsidR="000F5D7C">
        <w:rPr>
          <w:rFonts w:ascii="Open Sans" w:eastAsia="Open Sans" w:hAnsi="Open Sans" w:cs="Open Sans"/>
        </w:rPr>
        <w:t xml:space="preserve">are running reports twice weekly to monitor and address any incidents. </w:t>
      </w:r>
      <w:r w:rsidR="00277F12">
        <w:rPr>
          <w:rFonts w:ascii="Open Sans" w:eastAsia="Open Sans" w:hAnsi="Open Sans" w:cs="Open Sans"/>
        </w:rPr>
        <w:t xml:space="preserve">  </w:t>
      </w:r>
    </w:p>
    <w:p w14:paraId="39F9DDF3" w14:textId="58ACF128" w:rsidR="00C823DF" w:rsidRPr="001E694D" w:rsidRDefault="00873FFF" w:rsidP="0036130C">
      <w:pPr>
        <w:pStyle w:val="NormalArial"/>
        <w:rPr>
          <w:rFonts w:ascii="Open Sans" w:hAnsi="Open Sans" w:cs="Open Sans"/>
        </w:rPr>
      </w:pPr>
      <w:r>
        <w:rPr>
          <w:rFonts w:ascii="Open Sans" w:eastAsia="Open Sans" w:hAnsi="Open Sans" w:cs="Open Sans"/>
        </w:rPr>
        <w:t>The approved provider submitted evidence of the actions it had taken</w:t>
      </w:r>
      <w:r w:rsidR="00096C2A">
        <w:rPr>
          <w:rFonts w:ascii="Open Sans" w:eastAsia="Open Sans" w:hAnsi="Open Sans" w:cs="Open Sans"/>
        </w:rPr>
        <w:t xml:space="preserve"> </w:t>
      </w:r>
      <w:r w:rsidR="00AE0996">
        <w:rPr>
          <w:rFonts w:ascii="Open Sans" w:eastAsia="Open Sans" w:hAnsi="Open Sans" w:cs="Open Sans"/>
        </w:rPr>
        <w:t>in relation to the management of time sensitive medications</w:t>
      </w:r>
      <w:r>
        <w:rPr>
          <w:rFonts w:ascii="Open Sans" w:eastAsia="Open Sans" w:hAnsi="Open Sans" w:cs="Open Sans"/>
        </w:rPr>
        <w:t xml:space="preserve">; this included </w:t>
      </w:r>
      <w:r w:rsidR="007861EE">
        <w:rPr>
          <w:rFonts w:ascii="Open Sans" w:eastAsia="Open Sans" w:hAnsi="Open Sans" w:cs="Open Sans"/>
        </w:rPr>
        <w:t>the revised template for the Care Manager’s Monthly Report, staff training records</w:t>
      </w:r>
      <w:r w:rsidR="004A646E">
        <w:rPr>
          <w:rFonts w:ascii="Open Sans" w:eastAsia="Open Sans" w:hAnsi="Open Sans" w:cs="Open Sans"/>
        </w:rPr>
        <w:t xml:space="preserve"> and competencies.</w:t>
      </w:r>
      <w:r>
        <w:rPr>
          <w:rFonts w:ascii="Open Sans" w:eastAsia="Open Sans" w:hAnsi="Open Sans" w:cs="Open Sans"/>
        </w:rPr>
        <w:t xml:space="preserve"> </w:t>
      </w:r>
      <w:r w:rsidR="00DB4EF8">
        <w:rPr>
          <w:rFonts w:ascii="Open Sans" w:eastAsia="Open Sans" w:hAnsi="Open Sans" w:cs="Open Sans"/>
        </w:rPr>
        <w:t xml:space="preserve">I </w:t>
      </w:r>
      <w:r w:rsidR="00986A5B">
        <w:rPr>
          <w:rFonts w:ascii="Open Sans" w:eastAsia="Open Sans" w:hAnsi="Open Sans" w:cs="Open Sans"/>
        </w:rPr>
        <w:t xml:space="preserve">accept the service has taken action to improve the processes associated with the provision of time sensitive medications and </w:t>
      </w:r>
      <w:r w:rsidR="00DB4EF8">
        <w:rPr>
          <w:rFonts w:ascii="Open Sans" w:eastAsia="Open Sans" w:hAnsi="Open Sans" w:cs="Open Sans"/>
        </w:rPr>
        <w:t>am satisfied that</w:t>
      </w:r>
      <w:r w:rsidR="00DA64D3">
        <w:rPr>
          <w:rFonts w:ascii="Open Sans" w:eastAsia="Open Sans" w:hAnsi="Open Sans" w:cs="Open Sans"/>
        </w:rPr>
        <w:t xml:space="preserve"> overall</w:t>
      </w:r>
      <w:r w:rsidR="00DB4EF8">
        <w:rPr>
          <w:rFonts w:ascii="Open Sans" w:eastAsia="Open Sans" w:hAnsi="Open Sans" w:cs="Open Sans"/>
        </w:rPr>
        <w:t xml:space="preserve"> high</w:t>
      </w:r>
      <w:r w:rsidR="00DA64D3">
        <w:rPr>
          <w:rFonts w:ascii="Open Sans" w:eastAsia="Open Sans" w:hAnsi="Open Sans" w:cs="Open Sans"/>
        </w:rPr>
        <w:t>-</w:t>
      </w:r>
      <w:r w:rsidR="00DB4EF8">
        <w:rPr>
          <w:rFonts w:ascii="Open Sans" w:eastAsia="Open Sans" w:hAnsi="Open Sans" w:cs="Open Sans"/>
        </w:rPr>
        <w:t xml:space="preserve"> impact and </w:t>
      </w:r>
      <w:r w:rsidR="004606C5">
        <w:rPr>
          <w:rFonts w:ascii="Open Sans" w:eastAsia="Open Sans" w:hAnsi="Open Sans" w:cs="Open Sans"/>
        </w:rPr>
        <w:t>high</w:t>
      </w:r>
      <w:r w:rsidR="00DA64D3">
        <w:rPr>
          <w:rFonts w:ascii="Open Sans" w:eastAsia="Open Sans" w:hAnsi="Open Sans" w:cs="Open Sans"/>
        </w:rPr>
        <w:t>-</w:t>
      </w:r>
      <w:r w:rsidR="004606C5">
        <w:rPr>
          <w:rFonts w:ascii="Open Sans" w:eastAsia="Open Sans" w:hAnsi="Open Sans" w:cs="Open Sans"/>
        </w:rPr>
        <w:t xml:space="preserve">prevalence risks associated with consumers’ care are being managed effectively. I </w:t>
      </w:r>
      <w:r w:rsidR="00E52725">
        <w:rPr>
          <w:rFonts w:ascii="Open Sans" w:eastAsia="Open Sans" w:hAnsi="Open Sans" w:cs="Open Sans"/>
        </w:rPr>
        <w:t xml:space="preserve">find Requirement 3(3)(b) is Compliant. </w:t>
      </w:r>
      <w:r w:rsidR="00C823DF" w:rsidRPr="001E694D">
        <w:rPr>
          <w:rFonts w:ascii="Open Sans" w:hAnsi="Open Sans" w:cs="Open Sans"/>
        </w:rPr>
        <w:br w:type="page"/>
      </w:r>
    </w:p>
    <w:p w14:paraId="0EE9F6C6" w14:textId="77777777" w:rsidR="00C823DF" w:rsidRPr="001E694D" w:rsidRDefault="00C823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D65D9" w14:paraId="15706AF1" w14:textId="77777777" w:rsidTr="00E84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40ACC08D" w14:textId="77777777" w:rsidR="00C823DF" w:rsidRPr="001E694D" w:rsidRDefault="00C823D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E63CB06" w14:textId="77777777" w:rsidR="00C823DF" w:rsidRPr="001E694D" w:rsidRDefault="00C823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5D9" w14:paraId="422720D0" w14:textId="77777777" w:rsidTr="00E84F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442B5" w14:textId="77777777" w:rsidR="00C823DF" w:rsidRPr="001E694D" w:rsidRDefault="00C823DF"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648FF53D" w14:textId="77777777" w:rsidR="00C823DF" w:rsidRPr="001E694D" w:rsidRDefault="00C823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01C01D0D" w14:textId="77777777" w:rsidR="00C823DF" w:rsidRPr="001E694D" w:rsidRDefault="007838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089007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823DF" w:rsidRPr="001E694D">
                  <w:rPr>
                    <w:rFonts w:ascii="Open Sans" w:hAnsi="Open Sans" w:cs="Open Sans"/>
                  </w:rPr>
                  <w:t>Compliant</w:t>
                </w:r>
              </w:sdtContent>
            </w:sdt>
          </w:p>
        </w:tc>
      </w:tr>
    </w:tbl>
    <w:p w14:paraId="29F6FCE6" w14:textId="77777777" w:rsidR="00C823DF" w:rsidRPr="003E162B" w:rsidRDefault="00C823DF" w:rsidP="002B0C90">
      <w:pPr>
        <w:pStyle w:val="Heading20"/>
        <w:rPr>
          <w:rFonts w:ascii="Open Sans" w:hAnsi="Open Sans" w:cs="Open Sans"/>
          <w:color w:val="781E77"/>
        </w:rPr>
      </w:pPr>
      <w:r w:rsidRPr="003E162B">
        <w:rPr>
          <w:rFonts w:ascii="Open Sans" w:hAnsi="Open Sans" w:cs="Open Sans"/>
          <w:color w:val="781E77"/>
        </w:rPr>
        <w:t>Findings</w:t>
      </w:r>
    </w:p>
    <w:p w14:paraId="16E01B18" w14:textId="4C279779" w:rsidR="00F85101" w:rsidRDefault="00F85101" w:rsidP="0036130C">
      <w:pPr>
        <w:pStyle w:val="NormalArial"/>
        <w:rPr>
          <w:rFonts w:ascii="Open Sans" w:eastAsia="Open Sans" w:hAnsi="Open Sans" w:cs="Open Sans"/>
        </w:rPr>
      </w:pPr>
      <w:r>
        <w:rPr>
          <w:rFonts w:ascii="Open Sans" w:eastAsia="Open Sans" w:hAnsi="Open Sans" w:cs="Open Sans"/>
        </w:rPr>
        <w:t>Consumers and representatives expressed confidence in staff skills and expertise.</w:t>
      </w:r>
      <w:r w:rsidR="00482657">
        <w:rPr>
          <w:rFonts w:ascii="Open Sans" w:eastAsia="Open Sans" w:hAnsi="Open Sans" w:cs="Open Sans"/>
        </w:rPr>
        <w:t xml:space="preserve"> </w:t>
      </w:r>
      <w:r w:rsidR="000F64C7">
        <w:rPr>
          <w:rFonts w:ascii="Open Sans" w:eastAsia="Open Sans" w:hAnsi="Open Sans" w:cs="Open Sans"/>
        </w:rPr>
        <w:t>Examples of f</w:t>
      </w:r>
      <w:r w:rsidR="00482657">
        <w:rPr>
          <w:rFonts w:ascii="Open Sans" w:eastAsia="Open Sans" w:hAnsi="Open Sans" w:cs="Open Sans"/>
        </w:rPr>
        <w:t>eedback provided included</w:t>
      </w:r>
      <w:r w:rsidR="000F64C7">
        <w:rPr>
          <w:rFonts w:ascii="Open Sans" w:eastAsia="Open Sans" w:hAnsi="Open Sans" w:cs="Open Sans"/>
        </w:rPr>
        <w:t>:</w:t>
      </w:r>
      <w:r w:rsidR="00482657">
        <w:rPr>
          <w:rFonts w:ascii="Open Sans" w:eastAsia="Open Sans" w:hAnsi="Open Sans" w:cs="Open Sans"/>
        </w:rPr>
        <w:t xml:space="preserve"> staff </w:t>
      </w:r>
      <w:r w:rsidR="00821E66">
        <w:rPr>
          <w:rFonts w:ascii="Open Sans" w:eastAsia="Open Sans" w:hAnsi="Open Sans" w:cs="Open Sans"/>
        </w:rPr>
        <w:t>provide excellent care</w:t>
      </w:r>
      <w:r w:rsidR="00941760">
        <w:rPr>
          <w:rFonts w:ascii="Open Sans" w:eastAsia="Open Sans" w:hAnsi="Open Sans" w:cs="Open Sans"/>
        </w:rPr>
        <w:t xml:space="preserve">, </w:t>
      </w:r>
      <w:r w:rsidR="00F62AC4">
        <w:rPr>
          <w:rFonts w:ascii="Open Sans" w:eastAsia="Open Sans" w:hAnsi="Open Sans" w:cs="Open Sans"/>
        </w:rPr>
        <w:t xml:space="preserve">look after the consumers well, and are respectful and well-trained. </w:t>
      </w:r>
    </w:p>
    <w:p w14:paraId="6A4E9D48" w14:textId="288435D1" w:rsidR="00F85101" w:rsidRDefault="00407240" w:rsidP="0036130C">
      <w:pPr>
        <w:pStyle w:val="NormalArial"/>
        <w:rPr>
          <w:rFonts w:ascii="Open Sans" w:eastAsia="Open Sans" w:hAnsi="Open Sans" w:cs="Open Sans"/>
        </w:rPr>
      </w:pPr>
      <w:r>
        <w:rPr>
          <w:rFonts w:ascii="Open Sans" w:eastAsia="Open Sans" w:hAnsi="Open Sans" w:cs="Open Sans"/>
        </w:rPr>
        <w:t>Management said staff competency is maintained through the staff training programs</w:t>
      </w:r>
      <w:r w:rsidR="002E3689">
        <w:rPr>
          <w:rFonts w:ascii="Open Sans" w:eastAsia="Open Sans" w:hAnsi="Open Sans" w:cs="Open Sans"/>
        </w:rPr>
        <w:t xml:space="preserve"> and that core competencies </w:t>
      </w:r>
      <w:r w:rsidR="00FF1B9D">
        <w:rPr>
          <w:rFonts w:ascii="Open Sans" w:eastAsia="Open Sans" w:hAnsi="Open Sans" w:cs="Open Sans"/>
        </w:rPr>
        <w:t>were</w:t>
      </w:r>
      <w:r w:rsidR="002E3689">
        <w:rPr>
          <w:rFonts w:ascii="Open Sans" w:eastAsia="Open Sans" w:hAnsi="Open Sans" w:cs="Open Sans"/>
        </w:rPr>
        <w:t xml:space="preserve"> tailored to specific roles. </w:t>
      </w:r>
      <w:r w:rsidR="0024078A" w:rsidRPr="0294AACF">
        <w:rPr>
          <w:rFonts w:ascii="Open Sans" w:eastAsia="Open Sans" w:hAnsi="Open Sans" w:cs="Open Sans"/>
        </w:rPr>
        <w:t xml:space="preserve">Staff confirmed their participation in ongoing education and regular competency assessments. Documentation showed that most staff had completed mandatory training and </w:t>
      </w:r>
      <w:r w:rsidR="0024078A">
        <w:rPr>
          <w:rFonts w:ascii="Open Sans" w:eastAsia="Open Sans" w:hAnsi="Open Sans" w:cs="Open Sans"/>
        </w:rPr>
        <w:t>had a</w:t>
      </w:r>
      <w:r w:rsidR="0024078A" w:rsidRPr="0294AACF">
        <w:rPr>
          <w:rFonts w:ascii="Open Sans" w:eastAsia="Open Sans" w:hAnsi="Open Sans" w:cs="Open Sans"/>
        </w:rPr>
        <w:t xml:space="preserve"> performance appraisal</w:t>
      </w:r>
      <w:r w:rsidR="0024078A">
        <w:rPr>
          <w:rFonts w:ascii="Open Sans" w:eastAsia="Open Sans" w:hAnsi="Open Sans" w:cs="Open Sans"/>
        </w:rPr>
        <w:t xml:space="preserve"> conducted</w:t>
      </w:r>
      <w:r w:rsidR="0024078A" w:rsidRPr="0294AACF">
        <w:rPr>
          <w:rFonts w:ascii="Open Sans" w:eastAsia="Open Sans" w:hAnsi="Open Sans" w:cs="Open Sans"/>
        </w:rPr>
        <w:t xml:space="preserve"> in line with the service’s policy.</w:t>
      </w:r>
      <w:r w:rsidR="00781660" w:rsidRPr="00781660">
        <w:rPr>
          <w:rFonts w:ascii="Open Sans" w:eastAsia="Open Sans" w:hAnsi="Open Sans" w:cs="Open Sans"/>
        </w:rPr>
        <w:t xml:space="preserve"> </w:t>
      </w:r>
      <w:r w:rsidR="00781660">
        <w:rPr>
          <w:rFonts w:ascii="Open Sans" w:eastAsia="Open Sans" w:hAnsi="Open Sans" w:cs="Open Sans"/>
        </w:rPr>
        <w:t>Care staff described their onboarding experience, including structured training, ‘buddy’ shifts and the provision of ongoing education with clinical staff support.</w:t>
      </w:r>
    </w:p>
    <w:p w14:paraId="65E80868" w14:textId="109EBB06" w:rsidR="00325267" w:rsidRDefault="00325267" w:rsidP="00325267">
      <w:pPr>
        <w:pStyle w:val="NormalArial"/>
        <w:rPr>
          <w:rFonts w:ascii="Open Sans" w:eastAsia="Open Sans" w:hAnsi="Open Sans" w:cs="Open Sans"/>
        </w:rPr>
      </w:pPr>
      <w:r>
        <w:rPr>
          <w:rFonts w:ascii="Open Sans" w:eastAsia="Open Sans" w:hAnsi="Open Sans" w:cs="Open Sans"/>
        </w:rPr>
        <w:t xml:space="preserve">Incident data informed staff training programs and there was evidence that following an incident in 2024 additional mandatory modules included risk identification, risk management and reporting, and nutrition and hydration. Staff competencies have included managing risks associated with meal supervision and </w:t>
      </w:r>
      <w:r w:rsidR="00FF1B9D">
        <w:rPr>
          <w:rFonts w:ascii="Open Sans" w:eastAsia="Open Sans" w:hAnsi="Open Sans" w:cs="Open Sans"/>
        </w:rPr>
        <w:t>provided</w:t>
      </w:r>
      <w:r>
        <w:rPr>
          <w:rFonts w:ascii="Open Sans" w:eastAsia="Open Sans" w:hAnsi="Open Sans" w:cs="Open Sans"/>
        </w:rPr>
        <w:t xml:space="preserve"> guidance on managing dysphagia and choking.  </w:t>
      </w:r>
    </w:p>
    <w:p w14:paraId="1DA29603" w14:textId="11D9B3A8" w:rsidR="00F85101" w:rsidRDefault="0024078A" w:rsidP="0036130C">
      <w:pPr>
        <w:pStyle w:val="NormalArial"/>
        <w:rPr>
          <w:rFonts w:ascii="Open Sans" w:eastAsia="Open Sans" w:hAnsi="Open Sans" w:cs="Open Sans"/>
        </w:rPr>
      </w:pPr>
      <w:r>
        <w:rPr>
          <w:rFonts w:ascii="Open Sans" w:eastAsia="Open Sans" w:hAnsi="Open Sans" w:cs="Open Sans"/>
        </w:rPr>
        <w:t>The service ha</w:t>
      </w:r>
      <w:r w:rsidR="00FF1B9D">
        <w:rPr>
          <w:rFonts w:ascii="Open Sans" w:eastAsia="Open Sans" w:hAnsi="Open Sans" w:cs="Open Sans"/>
        </w:rPr>
        <w:t>d</w:t>
      </w:r>
      <w:r>
        <w:rPr>
          <w:rFonts w:ascii="Open Sans" w:eastAsia="Open Sans" w:hAnsi="Open Sans" w:cs="Open Sans"/>
        </w:rPr>
        <w:t xml:space="preserve"> a </w:t>
      </w:r>
      <w:r w:rsidR="00996058">
        <w:rPr>
          <w:rFonts w:ascii="Open Sans" w:eastAsia="Open Sans" w:hAnsi="Open Sans" w:cs="Open Sans"/>
        </w:rPr>
        <w:t>recruitment process that include</w:t>
      </w:r>
      <w:r w:rsidR="00FF1B9D">
        <w:rPr>
          <w:rFonts w:ascii="Open Sans" w:eastAsia="Open Sans" w:hAnsi="Open Sans" w:cs="Open Sans"/>
        </w:rPr>
        <w:t>d</w:t>
      </w:r>
      <w:r w:rsidR="00996058">
        <w:rPr>
          <w:rFonts w:ascii="Open Sans" w:eastAsia="Open Sans" w:hAnsi="Open Sans" w:cs="Open Sans"/>
        </w:rPr>
        <w:t xml:space="preserve"> interview</w:t>
      </w:r>
      <w:r w:rsidR="00AF6EC9">
        <w:rPr>
          <w:rFonts w:ascii="Open Sans" w:eastAsia="Open Sans" w:hAnsi="Open Sans" w:cs="Open Sans"/>
        </w:rPr>
        <w:t xml:space="preserve">, </w:t>
      </w:r>
      <w:r w:rsidR="00DD7BBD">
        <w:rPr>
          <w:rFonts w:ascii="Open Sans" w:eastAsia="Open Sans" w:hAnsi="Open Sans" w:cs="Open Sans"/>
        </w:rPr>
        <w:t>clearly defined</w:t>
      </w:r>
      <w:r w:rsidR="00AF6EC9">
        <w:rPr>
          <w:rFonts w:ascii="Open Sans" w:eastAsia="Open Sans" w:hAnsi="Open Sans" w:cs="Open Sans"/>
        </w:rPr>
        <w:t xml:space="preserve"> key competencies</w:t>
      </w:r>
      <w:r w:rsidR="00B5403E">
        <w:rPr>
          <w:rFonts w:ascii="Open Sans" w:eastAsia="Open Sans" w:hAnsi="Open Sans" w:cs="Open Sans"/>
        </w:rPr>
        <w:t xml:space="preserve"> that </w:t>
      </w:r>
      <w:r w:rsidR="00FF1B9D">
        <w:rPr>
          <w:rFonts w:ascii="Open Sans" w:eastAsia="Open Sans" w:hAnsi="Open Sans" w:cs="Open Sans"/>
        </w:rPr>
        <w:t>were</w:t>
      </w:r>
      <w:r w:rsidR="00B5403E">
        <w:rPr>
          <w:rFonts w:ascii="Open Sans" w:eastAsia="Open Sans" w:hAnsi="Open Sans" w:cs="Open Sans"/>
        </w:rPr>
        <w:t xml:space="preserve"> outlined in position descriptions</w:t>
      </w:r>
      <w:r w:rsidR="007B606A">
        <w:rPr>
          <w:rFonts w:ascii="Open Sans" w:eastAsia="Open Sans" w:hAnsi="Open Sans" w:cs="Open Sans"/>
        </w:rPr>
        <w:t xml:space="preserve"> </w:t>
      </w:r>
      <w:r w:rsidR="00CD0180">
        <w:rPr>
          <w:rFonts w:ascii="Open Sans" w:eastAsia="Open Sans" w:hAnsi="Open Sans" w:cs="Open Sans"/>
        </w:rPr>
        <w:t>and an orientation program</w:t>
      </w:r>
      <w:r w:rsidR="00B5403E">
        <w:rPr>
          <w:rFonts w:ascii="Open Sans" w:eastAsia="Open Sans" w:hAnsi="Open Sans" w:cs="Open Sans"/>
        </w:rPr>
        <w:t xml:space="preserve">. Staff </w:t>
      </w:r>
      <w:r w:rsidR="00FF1B9D">
        <w:rPr>
          <w:rFonts w:ascii="Open Sans" w:eastAsia="Open Sans" w:hAnsi="Open Sans" w:cs="Open Sans"/>
        </w:rPr>
        <w:t>were</w:t>
      </w:r>
      <w:r w:rsidR="00B5403E">
        <w:rPr>
          <w:rFonts w:ascii="Open Sans" w:eastAsia="Open Sans" w:hAnsi="Open Sans" w:cs="Open Sans"/>
        </w:rPr>
        <w:t xml:space="preserve"> hired based on the competencies</w:t>
      </w:r>
      <w:r w:rsidR="00D51770">
        <w:rPr>
          <w:rFonts w:ascii="Open Sans" w:eastAsia="Open Sans" w:hAnsi="Open Sans" w:cs="Open Sans"/>
        </w:rPr>
        <w:t xml:space="preserve"> required for</w:t>
      </w:r>
      <w:r w:rsidR="002D406B">
        <w:rPr>
          <w:rFonts w:ascii="Open Sans" w:eastAsia="Open Sans" w:hAnsi="Open Sans" w:cs="Open Sans"/>
        </w:rPr>
        <w:t xml:space="preserve"> the role, and pre-</w:t>
      </w:r>
      <w:r w:rsidR="006D698E">
        <w:rPr>
          <w:rFonts w:ascii="Open Sans" w:eastAsia="Open Sans" w:hAnsi="Open Sans" w:cs="Open Sans"/>
        </w:rPr>
        <w:t>employment</w:t>
      </w:r>
      <w:r w:rsidR="002D406B">
        <w:rPr>
          <w:rFonts w:ascii="Open Sans" w:eastAsia="Open Sans" w:hAnsi="Open Sans" w:cs="Open Sans"/>
        </w:rPr>
        <w:t xml:space="preserve"> </w:t>
      </w:r>
      <w:r w:rsidR="006D698E">
        <w:rPr>
          <w:rFonts w:ascii="Open Sans" w:eastAsia="Open Sans" w:hAnsi="Open Sans" w:cs="Open Sans"/>
        </w:rPr>
        <w:t xml:space="preserve">checks </w:t>
      </w:r>
      <w:r w:rsidR="00FF1B9D">
        <w:rPr>
          <w:rFonts w:ascii="Open Sans" w:eastAsia="Open Sans" w:hAnsi="Open Sans" w:cs="Open Sans"/>
        </w:rPr>
        <w:t>were</w:t>
      </w:r>
      <w:r w:rsidR="006D698E">
        <w:rPr>
          <w:rFonts w:ascii="Open Sans" w:eastAsia="Open Sans" w:hAnsi="Open Sans" w:cs="Open Sans"/>
        </w:rPr>
        <w:t xml:space="preserve"> completed </w:t>
      </w:r>
      <w:r w:rsidR="00CD0180">
        <w:rPr>
          <w:rFonts w:ascii="Open Sans" w:eastAsia="Open Sans" w:hAnsi="Open Sans" w:cs="Open Sans"/>
        </w:rPr>
        <w:t xml:space="preserve">that </w:t>
      </w:r>
      <w:r w:rsidR="006D698E">
        <w:rPr>
          <w:rFonts w:ascii="Open Sans" w:eastAsia="Open Sans" w:hAnsi="Open Sans" w:cs="Open Sans"/>
        </w:rPr>
        <w:t>include</w:t>
      </w:r>
      <w:r w:rsidR="00FF1B9D">
        <w:rPr>
          <w:rFonts w:ascii="Open Sans" w:eastAsia="Open Sans" w:hAnsi="Open Sans" w:cs="Open Sans"/>
        </w:rPr>
        <w:t>d</w:t>
      </w:r>
      <w:r w:rsidR="006D698E">
        <w:rPr>
          <w:rFonts w:ascii="Open Sans" w:eastAsia="Open Sans" w:hAnsi="Open Sans" w:cs="Open Sans"/>
        </w:rPr>
        <w:t xml:space="preserve"> registrations. </w:t>
      </w:r>
    </w:p>
    <w:p w14:paraId="6494BA06" w14:textId="60F23B00" w:rsidR="001564EA" w:rsidRDefault="001564EA" w:rsidP="0036130C">
      <w:pPr>
        <w:pStyle w:val="NormalArial"/>
        <w:rPr>
          <w:rFonts w:ascii="Open Sans" w:eastAsia="Open Sans" w:hAnsi="Open Sans" w:cs="Open Sans"/>
        </w:rPr>
      </w:pPr>
      <w:r>
        <w:rPr>
          <w:rFonts w:ascii="Open Sans" w:eastAsia="Open Sans" w:hAnsi="Open Sans" w:cs="Open Sans"/>
        </w:rPr>
        <w:t xml:space="preserve">Management conducted </w:t>
      </w:r>
      <w:r w:rsidR="00852CAB">
        <w:rPr>
          <w:rFonts w:ascii="Open Sans" w:eastAsia="Open Sans" w:hAnsi="Open Sans" w:cs="Open Sans"/>
        </w:rPr>
        <w:t>audits</w:t>
      </w:r>
      <w:r>
        <w:rPr>
          <w:rFonts w:ascii="Open Sans" w:eastAsia="Open Sans" w:hAnsi="Open Sans" w:cs="Open Sans"/>
        </w:rPr>
        <w:t xml:space="preserve">, observations and performance appraisals and investigated incidents in order to identify </w:t>
      </w:r>
      <w:r w:rsidR="00852CAB">
        <w:rPr>
          <w:rFonts w:ascii="Open Sans" w:eastAsia="Open Sans" w:hAnsi="Open Sans" w:cs="Open Sans"/>
        </w:rPr>
        <w:t xml:space="preserve">gaps in staff knowledge and identify areas where additional competencies may be required. </w:t>
      </w:r>
    </w:p>
    <w:p w14:paraId="16B89A6D" w14:textId="530ECC46" w:rsidR="00180A62" w:rsidRDefault="00852CAB" w:rsidP="0036130C">
      <w:pPr>
        <w:pStyle w:val="NormalArial"/>
        <w:rPr>
          <w:rFonts w:ascii="Open Sans" w:eastAsia="Open Sans" w:hAnsi="Open Sans" w:cs="Open Sans"/>
        </w:rPr>
      </w:pPr>
      <w:r>
        <w:rPr>
          <w:rFonts w:ascii="Open Sans" w:eastAsia="Open Sans" w:hAnsi="Open Sans" w:cs="Open Sans"/>
        </w:rPr>
        <w:t xml:space="preserve">I am satisfied there are processes to ensure the </w:t>
      </w:r>
      <w:r w:rsidR="00BE6FEA" w:rsidRPr="0294AACF">
        <w:rPr>
          <w:rFonts w:ascii="Open Sans" w:eastAsia="Open Sans" w:hAnsi="Open Sans" w:cs="Open Sans"/>
        </w:rPr>
        <w:t xml:space="preserve">workforce </w:t>
      </w:r>
      <w:r>
        <w:rPr>
          <w:rFonts w:ascii="Open Sans" w:eastAsia="Open Sans" w:hAnsi="Open Sans" w:cs="Open Sans"/>
        </w:rPr>
        <w:t>is</w:t>
      </w:r>
      <w:r w:rsidR="00BE6FEA" w:rsidRPr="0294AACF">
        <w:rPr>
          <w:rFonts w:ascii="Open Sans" w:eastAsia="Open Sans" w:hAnsi="Open Sans" w:cs="Open Sans"/>
        </w:rPr>
        <w:t xml:space="preserve"> competent, with staff being knowledgeable and trained to perform their roles effectively. </w:t>
      </w:r>
      <w:r>
        <w:rPr>
          <w:rFonts w:ascii="Open Sans" w:eastAsia="Open Sans" w:hAnsi="Open Sans" w:cs="Open Sans"/>
        </w:rPr>
        <w:t xml:space="preserve">I find Requirement </w:t>
      </w:r>
      <w:r w:rsidR="00FF1B9D">
        <w:rPr>
          <w:rFonts w:ascii="Open Sans" w:eastAsia="Open Sans" w:hAnsi="Open Sans" w:cs="Open Sans"/>
        </w:rPr>
        <w:t>7</w:t>
      </w:r>
      <w:r>
        <w:rPr>
          <w:rFonts w:ascii="Open Sans" w:eastAsia="Open Sans" w:hAnsi="Open Sans" w:cs="Open Sans"/>
        </w:rPr>
        <w:t xml:space="preserve">(3)(c) is Compliant. </w:t>
      </w:r>
    </w:p>
    <w:p w14:paraId="4AFD7A68" w14:textId="6C7345F6" w:rsidR="00C823DF" w:rsidRPr="001E694D" w:rsidRDefault="00C823DF" w:rsidP="0036130C">
      <w:pPr>
        <w:pStyle w:val="NormalArial"/>
        <w:rPr>
          <w:rFonts w:ascii="Open Sans" w:hAnsi="Open Sans" w:cs="Open Sans"/>
        </w:rPr>
      </w:pPr>
      <w:r w:rsidRPr="001E694D">
        <w:rPr>
          <w:rFonts w:ascii="Open Sans" w:hAnsi="Open Sans" w:cs="Open Sans"/>
        </w:rPr>
        <w:br w:type="page"/>
      </w:r>
    </w:p>
    <w:p w14:paraId="794DB5C8" w14:textId="77777777" w:rsidR="00C823DF" w:rsidRPr="001E694D" w:rsidRDefault="00C823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D65D9" w14:paraId="335D97F9" w14:textId="77777777" w:rsidTr="00E84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3543ADDF" w14:textId="77777777" w:rsidR="00C823DF" w:rsidRPr="001E694D" w:rsidRDefault="00C823D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0072135D" w14:textId="77777777" w:rsidR="00C823DF" w:rsidRPr="001E694D" w:rsidRDefault="00C823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5D9" w14:paraId="33ABB606" w14:textId="77777777" w:rsidTr="00E84F17">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8284905" w14:textId="77777777" w:rsidR="00C823DF" w:rsidRPr="001E694D" w:rsidRDefault="00C823DF"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0C860722" w14:textId="77777777" w:rsidR="00C823DF" w:rsidRPr="001E694D" w:rsidRDefault="00C823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CCC4D51" w14:textId="77777777" w:rsidR="00C823DF" w:rsidRPr="001E694D" w:rsidRDefault="00C823D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4BEC51D" w14:textId="77777777" w:rsidR="00C823DF" w:rsidRPr="001E694D" w:rsidRDefault="00C823D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59CB536" w14:textId="77777777" w:rsidR="00C823DF" w:rsidRPr="001E694D" w:rsidRDefault="00C823D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7E0C3FE" w14:textId="77777777" w:rsidR="00C823DF" w:rsidRPr="001E694D" w:rsidRDefault="00C823D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24CBA5FE" w14:textId="77777777" w:rsidR="00C823DF" w:rsidRPr="001E694D" w:rsidRDefault="0078382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16584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823DF" w:rsidRPr="001E694D">
                  <w:rPr>
                    <w:rFonts w:ascii="Open Sans" w:hAnsi="Open Sans" w:cs="Open Sans"/>
                  </w:rPr>
                  <w:t>Compliant</w:t>
                </w:r>
              </w:sdtContent>
            </w:sdt>
          </w:p>
        </w:tc>
      </w:tr>
    </w:tbl>
    <w:p w14:paraId="0274B3BE" w14:textId="77777777" w:rsidR="00C823DF" w:rsidRPr="007A2323" w:rsidRDefault="00C823D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C230CEA" w14:textId="52AFCCDA" w:rsidR="007C073F" w:rsidRDefault="00BA523C" w:rsidP="00BA523C">
      <w:pPr>
        <w:pStyle w:val="NormalArial"/>
        <w:rPr>
          <w:rFonts w:ascii="Open Sans" w:eastAsia="Open Sans" w:hAnsi="Open Sans" w:cs="Open Sans"/>
        </w:rPr>
      </w:pPr>
      <w:r w:rsidRPr="0294AACF">
        <w:rPr>
          <w:rFonts w:ascii="Open Sans" w:eastAsia="Open Sans" w:hAnsi="Open Sans" w:cs="Open Sans"/>
        </w:rPr>
        <w:t>The organisation ha</w:t>
      </w:r>
      <w:r w:rsidR="00F34215">
        <w:rPr>
          <w:rFonts w:ascii="Open Sans" w:eastAsia="Open Sans" w:hAnsi="Open Sans" w:cs="Open Sans"/>
        </w:rPr>
        <w:t>d</w:t>
      </w:r>
      <w:r w:rsidRPr="0294AACF">
        <w:rPr>
          <w:rFonts w:ascii="Open Sans" w:eastAsia="Open Sans" w:hAnsi="Open Sans" w:cs="Open Sans"/>
        </w:rPr>
        <w:t xml:space="preserve"> a comprehensive </w:t>
      </w:r>
      <w:r w:rsidR="00594BEF">
        <w:rPr>
          <w:rFonts w:ascii="Open Sans" w:eastAsia="Open Sans" w:hAnsi="Open Sans" w:cs="Open Sans"/>
        </w:rPr>
        <w:t>risk management</w:t>
      </w:r>
      <w:r w:rsidRPr="0294AACF">
        <w:rPr>
          <w:rFonts w:ascii="Open Sans" w:eastAsia="Open Sans" w:hAnsi="Open Sans" w:cs="Open Sans"/>
        </w:rPr>
        <w:t xml:space="preserve"> framework,</w:t>
      </w:r>
      <w:r w:rsidR="00851A93">
        <w:rPr>
          <w:rFonts w:ascii="Open Sans" w:eastAsia="Open Sans" w:hAnsi="Open Sans" w:cs="Open Sans"/>
        </w:rPr>
        <w:t xml:space="preserve"> </w:t>
      </w:r>
      <w:r w:rsidR="00532815">
        <w:rPr>
          <w:rFonts w:ascii="Open Sans" w:eastAsia="Open Sans" w:hAnsi="Open Sans" w:cs="Open Sans"/>
        </w:rPr>
        <w:t xml:space="preserve">that </w:t>
      </w:r>
      <w:r w:rsidR="00851A93">
        <w:rPr>
          <w:rFonts w:ascii="Open Sans" w:eastAsia="Open Sans" w:hAnsi="Open Sans" w:cs="Open Sans"/>
        </w:rPr>
        <w:t>include</w:t>
      </w:r>
      <w:r w:rsidR="00F34215">
        <w:rPr>
          <w:rFonts w:ascii="Open Sans" w:eastAsia="Open Sans" w:hAnsi="Open Sans" w:cs="Open Sans"/>
        </w:rPr>
        <w:t>d</w:t>
      </w:r>
      <w:r w:rsidR="00851A93">
        <w:rPr>
          <w:rFonts w:ascii="Open Sans" w:eastAsia="Open Sans" w:hAnsi="Open Sans" w:cs="Open Sans"/>
        </w:rPr>
        <w:t xml:space="preserve"> policies and procedures</w:t>
      </w:r>
      <w:r w:rsidR="003D6DFF">
        <w:rPr>
          <w:rFonts w:ascii="Open Sans" w:eastAsia="Open Sans" w:hAnsi="Open Sans" w:cs="Open Sans"/>
        </w:rPr>
        <w:t>,</w:t>
      </w:r>
      <w:r w:rsidR="00851A93">
        <w:rPr>
          <w:rFonts w:ascii="Open Sans" w:eastAsia="Open Sans" w:hAnsi="Open Sans" w:cs="Open Sans"/>
        </w:rPr>
        <w:t xml:space="preserve"> </w:t>
      </w:r>
      <w:r w:rsidR="00532815">
        <w:rPr>
          <w:rFonts w:ascii="Open Sans" w:eastAsia="Open Sans" w:hAnsi="Open Sans" w:cs="Open Sans"/>
        </w:rPr>
        <w:t>outline</w:t>
      </w:r>
      <w:r w:rsidR="00F34215">
        <w:rPr>
          <w:rFonts w:ascii="Open Sans" w:eastAsia="Open Sans" w:hAnsi="Open Sans" w:cs="Open Sans"/>
        </w:rPr>
        <w:t>d</w:t>
      </w:r>
      <w:r w:rsidR="00851A93">
        <w:rPr>
          <w:rFonts w:ascii="Open Sans" w:eastAsia="Open Sans" w:hAnsi="Open Sans" w:cs="Open Sans"/>
        </w:rPr>
        <w:t xml:space="preserve"> risk management </w:t>
      </w:r>
      <w:r w:rsidR="007C073F">
        <w:rPr>
          <w:rFonts w:ascii="Open Sans" w:eastAsia="Open Sans" w:hAnsi="Open Sans" w:cs="Open Sans"/>
        </w:rPr>
        <w:t>strategies and</w:t>
      </w:r>
      <w:r w:rsidR="00725473">
        <w:rPr>
          <w:rFonts w:ascii="Open Sans" w:eastAsia="Open Sans" w:hAnsi="Open Sans" w:cs="Open Sans"/>
        </w:rPr>
        <w:t xml:space="preserve"> </w:t>
      </w:r>
      <w:r w:rsidR="00851A93">
        <w:rPr>
          <w:rFonts w:ascii="Open Sans" w:eastAsia="Open Sans" w:hAnsi="Open Sans" w:cs="Open Sans"/>
        </w:rPr>
        <w:t>define</w:t>
      </w:r>
      <w:r w:rsidR="003D6DFF">
        <w:rPr>
          <w:rFonts w:ascii="Open Sans" w:eastAsia="Open Sans" w:hAnsi="Open Sans" w:cs="Open Sans"/>
        </w:rPr>
        <w:t>d</w:t>
      </w:r>
      <w:r w:rsidR="00851A93">
        <w:rPr>
          <w:rFonts w:ascii="Open Sans" w:eastAsia="Open Sans" w:hAnsi="Open Sans" w:cs="Open Sans"/>
        </w:rPr>
        <w:t xml:space="preserve"> responsibilities</w:t>
      </w:r>
      <w:r w:rsidR="00725473">
        <w:rPr>
          <w:rFonts w:ascii="Open Sans" w:eastAsia="Open Sans" w:hAnsi="Open Sans" w:cs="Open Sans"/>
        </w:rPr>
        <w:t>.</w:t>
      </w:r>
      <w:r w:rsidR="00851A93">
        <w:rPr>
          <w:rFonts w:ascii="Open Sans" w:eastAsia="Open Sans" w:hAnsi="Open Sans" w:cs="Open Sans"/>
        </w:rPr>
        <w:t xml:space="preserve"> </w:t>
      </w:r>
      <w:r w:rsidR="0017491D">
        <w:rPr>
          <w:rFonts w:ascii="Open Sans" w:eastAsia="Open Sans" w:hAnsi="Open Sans" w:cs="Open Sans"/>
        </w:rPr>
        <w:t xml:space="preserve">The organisation had procedures for identifying and responding to elder abuse and neglect, and for ensuring compliance with the Serious Incident Response Scheme. Reporting processes were </w:t>
      </w:r>
      <w:r w:rsidR="0098636C">
        <w:rPr>
          <w:rFonts w:ascii="Open Sans" w:eastAsia="Open Sans" w:hAnsi="Open Sans" w:cs="Open Sans"/>
        </w:rPr>
        <w:t>established,</w:t>
      </w:r>
      <w:r w:rsidR="0017491D">
        <w:rPr>
          <w:rFonts w:ascii="Open Sans" w:eastAsia="Open Sans" w:hAnsi="Open Sans" w:cs="Open Sans"/>
        </w:rPr>
        <w:t xml:space="preserve"> and o</w:t>
      </w:r>
      <w:r w:rsidR="0017491D" w:rsidRPr="67554CDD">
        <w:rPr>
          <w:rFonts w:ascii="Open Sans" w:eastAsia="Open Sans" w:hAnsi="Open Sans" w:cs="Open Sans"/>
        </w:rPr>
        <w:t xml:space="preserve">rganisational oversight </w:t>
      </w:r>
      <w:r w:rsidR="0017491D">
        <w:rPr>
          <w:rFonts w:ascii="Open Sans" w:eastAsia="Open Sans" w:hAnsi="Open Sans" w:cs="Open Sans"/>
        </w:rPr>
        <w:t>was</w:t>
      </w:r>
      <w:r w:rsidR="0017491D" w:rsidRPr="67554CDD">
        <w:rPr>
          <w:rFonts w:ascii="Open Sans" w:eastAsia="Open Sans" w:hAnsi="Open Sans" w:cs="Open Sans"/>
        </w:rPr>
        <w:t xml:space="preserve"> maintained</w:t>
      </w:r>
      <w:r w:rsidR="0017491D">
        <w:rPr>
          <w:rFonts w:ascii="Open Sans" w:eastAsia="Open Sans" w:hAnsi="Open Sans" w:cs="Open Sans"/>
        </w:rPr>
        <w:t xml:space="preserve"> and</w:t>
      </w:r>
      <w:r w:rsidR="0017491D" w:rsidRPr="67554CDD">
        <w:rPr>
          <w:rFonts w:ascii="Open Sans" w:eastAsia="Open Sans" w:hAnsi="Open Sans" w:cs="Open Sans"/>
        </w:rPr>
        <w:t xml:space="preserve"> ensur</w:t>
      </w:r>
      <w:r w:rsidR="0017491D">
        <w:rPr>
          <w:rFonts w:ascii="Open Sans" w:eastAsia="Open Sans" w:hAnsi="Open Sans" w:cs="Open Sans"/>
        </w:rPr>
        <w:t>ed</w:t>
      </w:r>
      <w:r w:rsidR="0017491D" w:rsidRPr="67554CDD">
        <w:rPr>
          <w:rFonts w:ascii="Open Sans" w:eastAsia="Open Sans" w:hAnsi="Open Sans" w:cs="Open Sans"/>
        </w:rPr>
        <w:t xml:space="preserve"> trends and areas for improvement </w:t>
      </w:r>
      <w:r w:rsidR="0017491D">
        <w:rPr>
          <w:rFonts w:ascii="Open Sans" w:eastAsia="Open Sans" w:hAnsi="Open Sans" w:cs="Open Sans"/>
        </w:rPr>
        <w:t>were</w:t>
      </w:r>
      <w:r w:rsidR="0017491D" w:rsidRPr="67554CDD">
        <w:rPr>
          <w:rFonts w:ascii="Open Sans" w:eastAsia="Open Sans" w:hAnsi="Open Sans" w:cs="Open Sans"/>
        </w:rPr>
        <w:t xml:space="preserve"> identified</w:t>
      </w:r>
      <w:r w:rsidR="0017491D">
        <w:rPr>
          <w:rFonts w:ascii="Open Sans" w:eastAsia="Open Sans" w:hAnsi="Open Sans" w:cs="Open Sans"/>
        </w:rPr>
        <w:t>.</w:t>
      </w:r>
    </w:p>
    <w:p w14:paraId="23EC1F0B" w14:textId="6281A8BA" w:rsidR="002B49A9" w:rsidRDefault="007C073F" w:rsidP="00BA523C">
      <w:pPr>
        <w:pStyle w:val="NormalArial"/>
        <w:rPr>
          <w:rFonts w:ascii="Open Sans" w:eastAsia="Open Sans" w:hAnsi="Open Sans" w:cs="Open Sans"/>
        </w:rPr>
      </w:pPr>
      <w:r w:rsidRPr="67554CDD">
        <w:rPr>
          <w:rFonts w:ascii="Open Sans" w:eastAsia="Open Sans" w:hAnsi="Open Sans" w:cs="Open Sans"/>
        </w:rPr>
        <w:t xml:space="preserve">Risk management </w:t>
      </w:r>
      <w:r w:rsidR="002B49A9">
        <w:rPr>
          <w:rFonts w:ascii="Open Sans" w:eastAsia="Open Sans" w:hAnsi="Open Sans" w:cs="Open Sans"/>
        </w:rPr>
        <w:t>was</w:t>
      </w:r>
      <w:r w:rsidRPr="67554CDD">
        <w:rPr>
          <w:rFonts w:ascii="Open Sans" w:eastAsia="Open Sans" w:hAnsi="Open Sans" w:cs="Open Sans"/>
        </w:rPr>
        <w:t xml:space="preserve"> monitored at the local level by the leadership team through clinical assessments, daily reviews, ongoing monitoring, data collection and analysis, and audits</w:t>
      </w:r>
      <w:r>
        <w:rPr>
          <w:rFonts w:ascii="Open Sans" w:eastAsia="Open Sans" w:hAnsi="Open Sans" w:cs="Open Sans"/>
        </w:rPr>
        <w:t>.</w:t>
      </w:r>
      <w:r w:rsidR="002B49A9" w:rsidRPr="002B49A9">
        <w:rPr>
          <w:rFonts w:ascii="Open Sans" w:eastAsia="Open Sans" w:hAnsi="Open Sans" w:cs="Open Sans"/>
        </w:rPr>
        <w:t xml:space="preserve"> </w:t>
      </w:r>
      <w:r w:rsidR="00B36E0D">
        <w:rPr>
          <w:rFonts w:ascii="Open Sans" w:eastAsia="Open Sans" w:hAnsi="Open Sans" w:cs="Open Sans"/>
        </w:rPr>
        <w:t xml:space="preserve">Incident </w:t>
      </w:r>
      <w:r w:rsidR="00FF1273">
        <w:rPr>
          <w:rFonts w:ascii="Open Sans" w:eastAsia="Open Sans" w:hAnsi="Open Sans" w:cs="Open Sans"/>
        </w:rPr>
        <w:t>reviews</w:t>
      </w:r>
      <w:r w:rsidR="00B36E0D">
        <w:rPr>
          <w:rFonts w:ascii="Open Sans" w:eastAsia="Open Sans" w:hAnsi="Open Sans" w:cs="Open Sans"/>
        </w:rPr>
        <w:t xml:space="preserve"> and clinical data </w:t>
      </w:r>
      <w:r w:rsidR="007724C0">
        <w:rPr>
          <w:rFonts w:ascii="Open Sans" w:eastAsia="Open Sans" w:hAnsi="Open Sans" w:cs="Open Sans"/>
        </w:rPr>
        <w:t>were</w:t>
      </w:r>
      <w:r w:rsidR="00FF1273">
        <w:rPr>
          <w:rFonts w:ascii="Open Sans" w:eastAsia="Open Sans" w:hAnsi="Open Sans" w:cs="Open Sans"/>
        </w:rPr>
        <w:t xml:space="preserve"> analysed and inform</w:t>
      </w:r>
      <w:r w:rsidR="007724C0">
        <w:rPr>
          <w:rFonts w:ascii="Open Sans" w:eastAsia="Open Sans" w:hAnsi="Open Sans" w:cs="Open Sans"/>
        </w:rPr>
        <w:t>ed</w:t>
      </w:r>
      <w:r w:rsidR="00FF1273">
        <w:rPr>
          <w:rFonts w:ascii="Open Sans" w:eastAsia="Open Sans" w:hAnsi="Open Sans" w:cs="Open Sans"/>
        </w:rPr>
        <w:t xml:space="preserve"> risk identification. </w:t>
      </w:r>
      <w:r w:rsidR="007724C0">
        <w:rPr>
          <w:rFonts w:ascii="Open Sans" w:eastAsia="Open Sans" w:hAnsi="Open Sans" w:cs="Open Sans"/>
        </w:rPr>
        <w:t xml:space="preserve">Care plans included information to mitigate </w:t>
      </w:r>
      <w:r w:rsidR="0098636C">
        <w:rPr>
          <w:rFonts w:ascii="Open Sans" w:eastAsia="Open Sans" w:hAnsi="Open Sans" w:cs="Open Sans"/>
        </w:rPr>
        <w:t>risks,</w:t>
      </w:r>
      <w:r w:rsidR="007724C0">
        <w:rPr>
          <w:rFonts w:ascii="Open Sans" w:eastAsia="Open Sans" w:hAnsi="Open Sans" w:cs="Open Sans"/>
        </w:rPr>
        <w:t xml:space="preserve"> and a</w:t>
      </w:r>
      <w:r w:rsidR="00FF1273">
        <w:rPr>
          <w:rFonts w:ascii="Open Sans" w:eastAsia="Open Sans" w:hAnsi="Open Sans" w:cs="Open Sans"/>
        </w:rPr>
        <w:t xml:space="preserve"> clinical risk register </w:t>
      </w:r>
      <w:r w:rsidR="007724C0">
        <w:rPr>
          <w:rFonts w:ascii="Open Sans" w:eastAsia="Open Sans" w:hAnsi="Open Sans" w:cs="Open Sans"/>
        </w:rPr>
        <w:t>was</w:t>
      </w:r>
      <w:r w:rsidR="00FF1273">
        <w:rPr>
          <w:rFonts w:ascii="Open Sans" w:eastAsia="Open Sans" w:hAnsi="Open Sans" w:cs="Open Sans"/>
        </w:rPr>
        <w:t xml:space="preserve"> maintained</w:t>
      </w:r>
      <w:r w:rsidR="00FC77D3">
        <w:rPr>
          <w:rFonts w:ascii="Open Sans" w:eastAsia="Open Sans" w:hAnsi="Open Sans" w:cs="Open Sans"/>
        </w:rPr>
        <w:t xml:space="preserve"> and </w:t>
      </w:r>
      <w:r w:rsidR="007724C0">
        <w:rPr>
          <w:rFonts w:ascii="Open Sans" w:eastAsia="Open Sans" w:hAnsi="Open Sans" w:cs="Open Sans"/>
        </w:rPr>
        <w:t>was</w:t>
      </w:r>
      <w:r w:rsidR="00FC77D3">
        <w:rPr>
          <w:rFonts w:ascii="Open Sans" w:eastAsia="Open Sans" w:hAnsi="Open Sans" w:cs="Open Sans"/>
        </w:rPr>
        <w:t xml:space="preserve"> reviewed by the clinical leadership team.</w:t>
      </w:r>
      <w:r w:rsidR="00B37AD6">
        <w:rPr>
          <w:rFonts w:ascii="Open Sans" w:eastAsia="Open Sans" w:hAnsi="Open Sans" w:cs="Open Sans"/>
        </w:rPr>
        <w:t xml:space="preserve"> The Assessment Team’s report </w:t>
      </w:r>
      <w:r w:rsidR="004268FB">
        <w:rPr>
          <w:rFonts w:ascii="Open Sans" w:eastAsia="Open Sans" w:hAnsi="Open Sans" w:cs="Open Sans"/>
        </w:rPr>
        <w:t xml:space="preserve">included an example of how the service had revised procedures and flowcharts following an incident in 2024. </w:t>
      </w:r>
    </w:p>
    <w:p w14:paraId="0CC27ED5" w14:textId="0A4F82E3" w:rsidR="00B74864" w:rsidRDefault="00B74864" w:rsidP="00B74864">
      <w:pPr>
        <w:pStyle w:val="NormalArial"/>
        <w:rPr>
          <w:rFonts w:ascii="Open Sans" w:eastAsia="Open Sans" w:hAnsi="Open Sans" w:cs="Open Sans"/>
        </w:rPr>
      </w:pPr>
      <w:r>
        <w:rPr>
          <w:rFonts w:ascii="Open Sans" w:eastAsia="Open Sans" w:hAnsi="Open Sans" w:cs="Open Sans"/>
        </w:rPr>
        <w:t>Staff completed mandatory training in relation to the Serious Incident Response Scheme and this included root cause analysis, risk assessments, matrix reviews and case studies. Incidents had been investigated and reported to the Serious Incident Response Scheme in accordance with legislative requirements, a clinical manager review</w:t>
      </w:r>
      <w:r w:rsidR="0098636C">
        <w:rPr>
          <w:rFonts w:ascii="Open Sans" w:eastAsia="Open Sans" w:hAnsi="Open Sans" w:cs="Open Sans"/>
        </w:rPr>
        <w:t xml:space="preserve">ed </w:t>
      </w:r>
      <w:r>
        <w:rPr>
          <w:rFonts w:ascii="Open Sans" w:eastAsia="Open Sans" w:hAnsi="Open Sans" w:cs="Open Sans"/>
        </w:rPr>
        <w:t>all serious incidents</w:t>
      </w:r>
      <w:r w:rsidR="0098636C">
        <w:rPr>
          <w:rFonts w:ascii="Open Sans" w:eastAsia="Open Sans" w:hAnsi="Open Sans" w:cs="Open Sans"/>
        </w:rPr>
        <w:t>,</w:t>
      </w:r>
      <w:r>
        <w:rPr>
          <w:rFonts w:ascii="Open Sans" w:eastAsia="Open Sans" w:hAnsi="Open Sans" w:cs="Open Sans"/>
        </w:rPr>
        <w:t xml:space="preserve"> and an on-call manager was available after hours for reporting and guidance. </w:t>
      </w:r>
    </w:p>
    <w:p w14:paraId="3AE4FD4E" w14:textId="588AC80F" w:rsidR="00B74864" w:rsidRDefault="00B74864" w:rsidP="00BA523C">
      <w:pPr>
        <w:pStyle w:val="NormalArial"/>
        <w:rPr>
          <w:rFonts w:ascii="Open Sans" w:hAnsi="Open Sans" w:cs="Open Sans"/>
        </w:rPr>
      </w:pPr>
      <w:r>
        <w:rPr>
          <w:rFonts w:ascii="Open Sans" w:eastAsia="Open Sans" w:hAnsi="Open Sans" w:cs="Open Sans"/>
        </w:rPr>
        <w:t>A monthly risk and compliance meeting was conducted to review high-impact and high-prevalence risks</w:t>
      </w:r>
      <w:r w:rsidR="00082B3D">
        <w:rPr>
          <w:rFonts w:ascii="Open Sans" w:eastAsia="Open Sans" w:hAnsi="Open Sans" w:cs="Open Sans"/>
        </w:rPr>
        <w:t>, and key quality indicators.</w:t>
      </w:r>
      <w:r w:rsidR="00220AA6" w:rsidRPr="00220AA6">
        <w:rPr>
          <w:rFonts w:ascii="Open Sans" w:hAnsi="Open Sans" w:cs="Open Sans"/>
        </w:rPr>
        <w:t xml:space="preserve"> </w:t>
      </w:r>
      <w:r w:rsidR="00220AA6" w:rsidRPr="005E5C7C">
        <w:rPr>
          <w:rFonts w:ascii="Open Sans" w:hAnsi="Open Sans" w:cs="Open Sans"/>
        </w:rPr>
        <w:t xml:space="preserve">Topics such as </w:t>
      </w:r>
      <w:r w:rsidR="00220AA6" w:rsidRPr="005E5C7C">
        <w:rPr>
          <w:rFonts w:ascii="Open Sans" w:hAnsi="Open Sans" w:cs="Open Sans"/>
        </w:rPr>
        <w:lastRenderedPageBreak/>
        <w:t xml:space="preserve">psychotropic medication management, polypharmacy, deprescribing, falls, and pressure injuries </w:t>
      </w:r>
      <w:r w:rsidR="00220AA6">
        <w:rPr>
          <w:rFonts w:ascii="Open Sans" w:hAnsi="Open Sans" w:cs="Open Sans"/>
        </w:rPr>
        <w:t>were</w:t>
      </w:r>
      <w:r w:rsidR="00220AA6" w:rsidRPr="005E5C7C">
        <w:rPr>
          <w:rFonts w:ascii="Open Sans" w:hAnsi="Open Sans" w:cs="Open Sans"/>
        </w:rPr>
        <w:t xml:space="preserve"> discussed</w:t>
      </w:r>
      <w:r w:rsidR="003C6CB9">
        <w:rPr>
          <w:rFonts w:ascii="Open Sans" w:hAnsi="Open Sans" w:cs="Open Sans"/>
        </w:rPr>
        <w:t xml:space="preserve">. </w:t>
      </w:r>
      <w:r w:rsidR="003C6CB9" w:rsidRPr="005E5C7C">
        <w:rPr>
          <w:rFonts w:ascii="Open Sans" w:hAnsi="Open Sans" w:cs="Open Sans"/>
        </w:rPr>
        <w:t xml:space="preserve">The January 2025 Clinical Governance </w:t>
      </w:r>
      <w:r w:rsidR="003C6CB9">
        <w:rPr>
          <w:rFonts w:ascii="Open Sans" w:hAnsi="Open Sans" w:cs="Open Sans"/>
        </w:rPr>
        <w:t>M</w:t>
      </w:r>
      <w:r w:rsidR="003C6CB9" w:rsidRPr="005E5C7C">
        <w:rPr>
          <w:rFonts w:ascii="Open Sans" w:hAnsi="Open Sans" w:cs="Open Sans"/>
        </w:rPr>
        <w:t>eeting minutes evidence</w:t>
      </w:r>
      <w:r w:rsidR="003C6CB9">
        <w:rPr>
          <w:rFonts w:ascii="Open Sans" w:hAnsi="Open Sans" w:cs="Open Sans"/>
        </w:rPr>
        <w:t>d</w:t>
      </w:r>
      <w:r w:rsidR="003C6CB9" w:rsidRPr="005E5C7C">
        <w:rPr>
          <w:rFonts w:ascii="Open Sans" w:hAnsi="Open Sans" w:cs="Open Sans"/>
        </w:rPr>
        <w:t xml:space="preserve"> discussions </w:t>
      </w:r>
      <w:r w:rsidR="003C6CB9">
        <w:rPr>
          <w:rFonts w:ascii="Open Sans" w:hAnsi="Open Sans" w:cs="Open Sans"/>
        </w:rPr>
        <w:t>that included</w:t>
      </w:r>
      <w:r w:rsidR="001C4E8D">
        <w:rPr>
          <w:rFonts w:ascii="Open Sans" w:hAnsi="Open Sans" w:cs="Open Sans"/>
        </w:rPr>
        <w:t xml:space="preserve"> the</w:t>
      </w:r>
      <w:r w:rsidR="003C6CB9" w:rsidRPr="005E5C7C">
        <w:rPr>
          <w:rFonts w:ascii="Open Sans" w:hAnsi="Open Sans" w:cs="Open Sans"/>
        </w:rPr>
        <w:t xml:space="preserve"> analysis of trends and review of policies and flowcharts. Outcomes </w:t>
      </w:r>
      <w:r w:rsidR="001C4E8D">
        <w:rPr>
          <w:rFonts w:ascii="Open Sans" w:hAnsi="Open Sans" w:cs="Open Sans"/>
        </w:rPr>
        <w:t>were</w:t>
      </w:r>
      <w:r w:rsidR="003C6CB9" w:rsidRPr="005E5C7C">
        <w:rPr>
          <w:rFonts w:ascii="Open Sans" w:hAnsi="Open Sans" w:cs="Open Sans"/>
        </w:rPr>
        <w:t xml:space="preserve"> reported by </w:t>
      </w:r>
      <w:r w:rsidR="001C4E8D">
        <w:rPr>
          <w:rFonts w:ascii="Open Sans" w:hAnsi="Open Sans" w:cs="Open Sans"/>
        </w:rPr>
        <w:t>clinical management staff and were</w:t>
      </w:r>
      <w:r w:rsidR="003C6CB9" w:rsidRPr="005E5C7C">
        <w:rPr>
          <w:rFonts w:ascii="Open Sans" w:hAnsi="Open Sans" w:cs="Open Sans"/>
        </w:rPr>
        <w:t xml:space="preserve"> align</w:t>
      </w:r>
      <w:r w:rsidR="001C4E8D">
        <w:rPr>
          <w:rFonts w:ascii="Open Sans" w:hAnsi="Open Sans" w:cs="Open Sans"/>
        </w:rPr>
        <w:t>ed</w:t>
      </w:r>
      <w:r w:rsidR="003C6CB9" w:rsidRPr="005E5C7C">
        <w:rPr>
          <w:rFonts w:ascii="Open Sans" w:hAnsi="Open Sans" w:cs="Open Sans"/>
        </w:rPr>
        <w:t xml:space="preserve"> with the organisation’s quality governance framework</w:t>
      </w:r>
      <w:r w:rsidR="001C4E8D">
        <w:rPr>
          <w:rFonts w:ascii="Open Sans" w:hAnsi="Open Sans" w:cs="Open Sans"/>
        </w:rPr>
        <w:t>.</w:t>
      </w:r>
    </w:p>
    <w:p w14:paraId="1528BE8E" w14:textId="010DEEF4" w:rsidR="00725473" w:rsidRDefault="00826E36" w:rsidP="00BA523C">
      <w:pPr>
        <w:pStyle w:val="NormalArial"/>
        <w:rPr>
          <w:rFonts w:ascii="Open Sans" w:eastAsia="Open Sans" w:hAnsi="Open Sans" w:cs="Open Sans"/>
        </w:rPr>
      </w:pPr>
      <w:r>
        <w:rPr>
          <w:rFonts w:ascii="Open Sans" w:hAnsi="Open Sans" w:cs="Open Sans"/>
        </w:rPr>
        <w:t>Should a consumer wish to engage in an activity that involve</w:t>
      </w:r>
      <w:r w:rsidR="00E80D37">
        <w:rPr>
          <w:rFonts w:ascii="Open Sans" w:hAnsi="Open Sans" w:cs="Open Sans"/>
        </w:rPr>
        <w:t>d</w:t>
      </w:r>
      <w:r>
        <w:rPr>
          <w:rFonts w:ascii="Open Sans" w:hAnsi="Open Sans" w:cs="Open Sans"/>
        </w:rPr>
        <w:t xml:space="preserve"> risk</w:t>
      </w:r>
      <w:r w:rsidR="0052112E">
        <w:rPr>
          <w:rFonts w:ascii="Open Sans" w:hAnsi="Open Sans" w:cs="Open Sans"/>
        </w:rPr>
        <w:t xml:space="preserve">, a consultation process </w:t>
      </w:r>
      <w:r w:rsidR="00E80D37">
        <w:rPr>
          <w:rFonts w:ascii="Open Sans" w:hAnsi="Open Sans" w:cs="Open Sans"/>
        </w:rPr>
        <w:t>was</w:t>
      </w:r>
      <w:r w:rsidR="0052112E">
        <w:rPr>
          <w:rFonts w:ascii="Open Sans" w:hAnsi="Open Sans" w:cs="Open Sans"/>
        </w:rPr>
        <w:t xml:space="preserve"> initiated to assess and discuss the risk with the consumer. </w:t>
      </w:r>
      <w:r w:rsidR="00182BCB">
        <w:rPr>
          <w:rFonts w:ascii="Open Sans" w:hAnsi="Open Sans" w:cs="Open Sans"/>
        </w:rPr>
        <w:t xml:space="preserve">A risk assessment </w:t>
      </w:r>
      <w:r w:rsidR="00F34215">
        <w:rPr>
          <w:rFonts w:ascii="Open Sans" w:hAnsi="Open Sans" w:cs="Open Sans"/>
        </w:rPr>
        <w:t>was</w:t>
      </w:r>
      <w:r w:rsidR="00182BCB">
        <w:rPr>
          <w:rFonts w:ascii="Open Sans" w:hAnsi="Open Sans" w:cs="Open Sans"/>
        </w:rPr>
        <w:t xml:space="preserve"> </w:t>
      </w:r>
      <w:r w:rsidR="00CA50E8">
        <w:rPr>
          <w:rFonts w:ascii="Open Sans" w:hAnsi="Open Sans" w:cs="Open Sans"/>
        </w:rPr>
        <w:t>completed,</w:t>
      </w:r>
      <w:r w:rsidR="00182BCB">
        <w:rPr>
          <w:rFonts w:ascii="Open Sans" w:hAnsi="Open Sans" w:cs="Open Sans"/>
        </w:rPr>
        <w:t xml:space="preserve"> and specialist input </w:t>
      </w:r>
      <w:r w:rsidR="00E80D37">
        <w:rPr>
          <w:rFonts w:ascii="Open Sans" w:hAnsi="Open Sans" w:cs="Open Sans"/>
        </w:rPr>
        <w:t>was</w:t>
      </w:r>
      <w:r w:rsidR="00182BCB">
        <w:rPr>
          <w:rFonts w:ascii="Open Sans" w:hAnsi="Open Sans" w:cs="Open Sans"/>
        </w:rPr>
        <w:t xml:space="preserve"> sought as required, for example</w:t>
      </w:r>
      <w:r w:rsidR="00D74A1B">
        <w:rPr>
          <w:rFonts w:ascii="Open Sans" w:hAnsi="Open Sans" w:cs="Open Sans"/>
        </w:rPr>
        <w:t xml:space="preserve"> a speech pathologist </w:t>
      </w:r>
      <w:r w:rsidR="00E80D37">
        <w:rPr>
          <w:rFonts w:ascii="Open Sans" w:hAnsi="Open Sans" w:cs="Open Sans"/>
        </w:rPr>
        <w:t>would</w:t>
      </w:r>
      <w:r w:rsidR="00D74A1B">
        <w:rPr>
          <w:rFonts w:ascii="Open Sans" w:hAnsi="Open Sans" w:cs="Open Sans"/>
        </w:rPr>
        <w:t xml:space="preserve"> be accessed if there </w:t>
      </w:r>
      <w:r w:rsidR="00E80D37">
        <w:rPr>
          <w:rFonts w:ascii="Open Sans" w:hAnsi="Open Sans" w:cs="Open Sans"/>
        </w:rPr>
        <w:t>were</w:t>
      </w:r>
      <w:r w:rsidR="00D74A1B">
        <w:rPr>
          <w:rFonts w:ascii="Open Sans" w:hAnsi="Open Sans" w:cs="Open Sans"/>
        </w:rPr>
        <w:t xml:space="preserve"> risks associated with eating and drinking. </w:t>
      </w:r>
      <w:r w:rsidR="00887C96">
        <w:rPr>
          <w:rFonts w:ascii="Open Sans" w:hAnsi="Open Sans" w:cs="Open Sans"/>
        </w:rPr>
        <w:t xml:space="preserve">Following this, an informed risk management plan </w:t>
      </w:r>
      <w:r w:rsidR="00E80D37">
        <w:rPr>
          <w:rFonts w:ascii="Open Sans" w:hAnsi="Open Sans" w:cs="Open Sans"/>
        </w:rPr>
        <w:t>was</w:t>
      </w:r>
      <w:r w:rsidR="00887C96">
        <w:rPr>
          <w:rFonts w:ascii="Open Sans" w:hAnsi="Open Sans" w:cs="Open Sans"/>
        </w:rPr>
        <w:t xml:space="preserve"> completed. </w:t>
      </w:r>
    </w:p>
    <w:p w14:paraId="52202A82" w14:textId="27B35407" w:rsidR="00C823DF" w:rsidRPr="007A2323" w:rsidRDefault="00BA523C" w:rsidP="00BA523C">
      <w:pPr>
        <w:pStyle w:val="NormalArial"/>
        <w:rPr>
          <w:rFonts w:ascii="Open Sans" w:hAnsi="Open Sans" w:cs="Open Sans"/>
          <w:color w:val="auto"/>
        </w:rPr>
      </w:pPr>
      <w:r w:rsidRPr="0294AACF">
        <w:rPr>
          <w:rFonts w:ascii="Open Sans" w:eastAsia="Open Sans" w:hAnsi="Open Sans" w:cs="Open Sans"/>
        </w:rPr>
        <w:t>The service is adequately identifying, managing, and preventing</w:t>
      </w:r>
      <w:r>
        <w:rPr>
          <w:rFonts w:ascii="Open Sans" w:eastAsia="Open Sans" w:hAnsi="Open Sans" w:cs="Open Sans"/>
        </w:rPr>
        <w:t xml:space="preserve"> </w:t>
      </w:r>
      <w:r w:rsidRPr="0294AACF">
        <w:rPr>
          <w:rFonts w:ascii="Open Sans" w:eastAsia="Open Sans" w:hAnsi="Open Sans" w:cs="Open Sans"/>
        </w:rPr>
        <w:t>high-impact, high-prevalence risks for consumers and has effective clinical oversight to minimise risks to their health, safety, and well-being</w:t>
      </w:r>
      <w:r w:rsidR="00411C65">
        <w:rPr>
          <w:rFonts w:ascii="Open Sans" w:eastAsia="Open Sans" w:hAnsi="Open Sans" w:cs="Open Sans"/>
        </w:rPr>
        <w:t xml:space="preserve">. </w:t>
      </w:r>
      <w:r w:rsidR="007E0C7B">
        <w:rPr>
          <w:rFonts w:ascii="Open Sans" w:eastAsia="Open Sans" w:hAnsi="Open Sans" w:cs="Open Sans"/>
        </w:rPr>
        <w:t xml:space="preserve">Additionally, following the Assessment Contact, the approved provider took action to enhance </w:t>
      </w:r>
      <w:r w:rsidR="00D3444A">
        <w:rPr>
          <w:rFonts w:ascii="Open Sans" w:eastAsia="Open Sans" w:hAnsi="Open Sans" w:cs="Open Sans"/>
        </w:rPr>
        <w:t>processes relating to the provision of time sensitive medication</w:t>
      </w:r>
      <w:r w:rsidR="00D35309">
        <w:rPr>
          <w:rFonts w:ascii="Open Sans" w:eastAsia="Open Sans" w:hAnsi="Open Sans" w:cs="Open Sans"/>
        </w:rPr>
        <w:t>; further information relating to this is detailed under Requirement 3(3)(b)</w:t>
      </w:r>
      <w:r w:rsidR="00D3444A">
        <w:rPr>
          <w:rFonts w:ascii="Open Sans" w:eastAsia="Open Sans" w:hAnsi="Open Sans" w:cs="Open Sans"/>
        </w:rPr>
        <w:t>. I am satisfied</w:t>
      </w:r>
      <w:r w:rsidR="00A34319">
        <w:rPr>
          <w:rFonts w:ascii="Open Sans" w:eastAsia="Open Sans" w:hAnsi="Open Sans" w:cs="Open Sans"/>
        </w:rPr>
        <w:t xml:space="preserve"> that Requirement 8(3)(d) is Compliant. </w:t>
      </w:r>
    </w:p>
    <w:sectPr w:rsidR="00C823DF"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130C" w14:textId="77777777" w:rsidR="007E7F81" w:rsidRDefault="007E7F81">
      <w:pPr>
        <w:spacing w:after="0"/>
      </w:pPr>
      <w:r>
        <w:separator/>
      </w:r>
    </w:p>
  </w:endnote>
  <w:endnote w:type="continuationSeparator" w:id="0">
    <w:p w14:paraId="7670CD33" w14:textId="77777777" w:rsidR="007E7F81" w:rsidRDefault="007E7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C29E" w14:textId="77777777" w:rsidR="00C823DF" w:rsidRPr="00DF37F2" w:rsidRDefault="00C823D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Bethel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54D0FEC" w14:textId="77777777" w:rsidR="00C823DF" w:rsidRPr="00DF37F2" w:rsidRDefault="00C823D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3872</w:t>
    </w:r>
    <w:bookmarkEnd w:id="1"/>
    <w:r w:rsidRPr="00DF37F2">
      <w:rPr>
        <w:rStyle w:val="FooterBold"/>
        <w:rFonts w:ascii="Arial" w:hAnsi="Arial"/>
        <w:b w:val="0"/>
      </w:rPr>
      <w:tab/>
      <w:t xml:space="preserve">OFFICIAL: Sensitive </w:t>
    </w:r>
  </w:p>
  <w:p w14:paraId="2868B990" w14:textId="77777777" w:rsidR="00C823DF" w:rsidRPr="00DF37F2" w:rsidRDefault="00C823D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47B6" w14:textId="77777777" w:rsidR="00C823DF" w:rsidRDefault="00C823D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F015" w14:textId="77777777" w:rsidR="007E7F81" w:rsidRDefault="007E7F81" w:rsidP="00D71F88">
      <w:pPr>
        <w:spacing w:after="0"/>
      </w:pPr>
      <w:r>
        <w:separator/>
      </w:r>
    </w:p>
  </w:footnote>
  <w:footnote w:type="continuationSeparator" w:id="0">
    <w:p w14:paraId="65C46E3B" w14:textId="77777777" w:rsidR="007E7F81" w:rsidRDefault="007E7F81" w:rsidP="00D71F88">
      <w:pPr>
        <w:spacing w:after="0"/>
      </w:pPr>
      <w:r>
        <w:continuationSeparator/>
      </w:r>
    </w:p>
  </w:footnote>
  <w:footnote w:id="1">
    <w:p w14:paraId="5AEC9693" w14:textId="217E6AAC" w:rsidR="00C823DF" w:rsidRPr="00CD134B" w:rsidRDefault="00C823DF" w:rsidP="000078F8">
      <w:pPr>
        <w:pStyle w:val="FootnoteText"/>
        <w:rPr>
          <w:rFonts w:ascii="Arial" w:hAnsi="Arial"/>
          <w:color w:val="0D0D0D" w:themeColor="text1" w:themeTint="F2"/>
          <w:sz w:val="20"/>
          <w:szCs w:val="20"/>
        </w:rPr>
      </w:pPr>
      <w:r>
        <w:rPr>
          <w:rStyle w:val="FootnoteReference"/>
        </w:rPr>
        <w:footnoteRef/>
      </w:r>
      <w:r>
        <w:t xml:space="preserve"> </w:t>
      </w:r>
      <w:r w:rsidRPr="00443CA4">
        <w:rPr>
          <w:rFonts w:ascii="Arial" w:hAnsi="Arial"/>
          <w:sz w:val="20"/>
          <w:szCs w:val="20"/>
        </w:rPr>
        <w:t xml:space="preserve">The preparation of the </w:t>
      </w:r>
      <w:r w:rsidRPr="00CD134B">
        <w:rPr>
          <w:rFonts w:ascii="Arial" w:hAnsi="Arial"/>
          <w:color w:val="0D0D0D" w:themeColor="text1" w:themeTint="F2"/>
          <w:sz w:val="20"/>
          <w:szCs w:val="20"/>
        </w:rPr>
        <w:t>performance report is in accordance with section 68A</w:t>
      </w:r>
      <w:r w:rsidRPr="00CD134B">
        <w:rPr>
          <w:rFonts w:ascii="Arial" w:hAnsi="Arial"/>
          <w:b/>
          <w:color w:val="0D0D0D" w:themeColor="text1" w:themeTint="F2"/>
          <w:sz w:val="20"/>
          <w:szCs w:val="20"/>
        </w:rPr>
        <w:t xml:space="preserve"> </w:t>
      </w:r>
      <w:r w:rsidRPr="00CD134B">
        <w:rPr>
          <w:rFonts w:ascii="Arial" w:hAnsi="Arial"/>
          <w:color w:val="0D0D0D" w:themeColor="text1" w:themeTint="F2"/>
          <w:sz w:val="20"/>
          <w:szCs w:val="20"/>
        </w:rPr>
        <w:t>of the Aged Care Quality and Safety Commission Rules 2018.</w:t>
      </w:r>
    </w:p>
    <w:p w14:paraId="41596FE0" w14:textId="77777777" w:rsidR="00C823DF" w:rsidRDefault="00C823D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83EC" w14:textId="77777777" w:rsidR="00C823DF" w:rsidRDefault="00C823DF">
    <w:pPr>
      <w:pStyle w:val="Header"/>
    </w:pPr>
    <w:r>
      <w:rPr>
        <w:noProof/>
        <w:color w:val="2B579A"/>
        <w:shd w:val="clear" w:color="auto" w:fill="E6E6E6"/>
        <w:lang w:val="en-US"/>
      </w:rPr>
      <w:drawing>
        <wp:anchor distT="0" distB="0" distL="114300" distR="114300" simplePos="0" relativeHeight="251658241" behindDoc="1" locked="0" layoutInCell="1" allowOverlap="1" wp14:anchorId="6AFD6163" wp14:editId="158E071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9B4C" w14:textId="77777777" w:rsidR="00C823DF" w:rsidRDefault="00C823DF">
    <w:pPr>
      <w:pStyle w:val="Header"/>
    </w:pPr>
    <w:r>
      <w:rPr>
        <w:noProof/>
      </w:rPr>
      <w:drawing>
        <wp:anchor distT="0" distB="0" distL="114300" distR="114300" simplePos="0" relativeHeight="251658240" behindDoc="0" locked="0" layoutInCell="1" allowOverlap="1" wp14:anchorId="04B35F45" wp14:editId="705A7FF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8AE0C88">
      <w:start w:val="1"/>
      <w:numFmt w:val="lowerRoman"/>
      <w:lvlText w:val="(%1)"/>
      <w:lvlJc w:val="left"/>
      <w:pPr>
        <w:ind w:left="1080" w:hanging="720"/>
      </w:pPr>
      <w:rPr>
        <w:rFonts w:hint="default"/>
      </w:rPr>
    </w:lvl>
    <w:lvl w:ilvl="1" w:tplc="09985290" w:tentative="1">
      <w:start w:val="1"/>
      <w:numFmt w:val="lowerLetter"/>
      <w:lvlText w:val="%2."/>
      <w:lvlJc w:val="left"/>
      <w:pPr>
        <w:ind w:left="1440" w:hanging="360"/>
      </w:pPr>
    </w:lvl>
    <w:lvl w:ilvl="2" w:tplc="C31A6CC6" w:tentative="1">
      <w:start w:val="1"/>
      <w:numFmt w:val="lowerRoman"/>
      <w:lvlText w:val="%3."/>
      <w:lvlJc w:val="right"/>
      <w:pPr>
        <w:ind w:left="2160" w:hanging="180"/>
      </w:pPr>
    </w:lvl>
    <w:lvl w:ilvl="3" w:tplc="5C92DA26" w:tentative="1">
      <w:start w:val="1"/>
      <w:numFmt w:val="decimal"/>
      <w:lvlText w:val="%4."/>
      <w:lvlJc w:val="left"/>
      <w:pPr>
        <w:ind w:left="2880" w:hanging="360"/>
      </w:pPr>
    </w:lvl>
    <w:lvl w:ilvl="4" w:tplc="7EA28140" w:tentative="1">
      <w:start w:val="1"/>
      <w:numFmt w:val="lowerLetter"/>
      <w:lvlText w:val="%5."/>
      <w:lvlJc w:val="left"/>
      <w:pPr>
        <w:ind w:left="3600" w:hanging="360"/>
      </w:pPr>
    </w:lvl>
    <w:lvl w:ilvl="5" w:tplc="F38A9514" w:tentative="1">
      <w:start w:val="1"/>
      <w:numFmt w:val="lowerRoman"/>
      <w:lvlText w:val="%6."/>
      <w:lvlJc w:val="right"/>
      <w:pPr>
        <w:ind w:left="4320" w:hanging="180"/>
      </w:pPr>
    </w:lvl>
    <w:lvl w:ilvl="6" w:tplc="B4EE8D8A" w:tentative="1">
      <w:start w:val="1"/>
      <w:numFmt w:val="decimal"/>
      <w:lvlText w:val="%7."/>
      <w:lvlJc w:val="left"/>
      <w:pPr>
        <w:ind w:left="5040" w:hanging="360"/>
      </w:pPr>
    </w:lvl>
    <w:lvl w:ilvl="7" w:tplc="7EF4EDF6" w:tentative="1">
      <w:start w:val="1"/>
      <w:numFmt w:val="lowerLetter"/>
      <w:lvlText w:val="%8."/>
      <w:lvlJc w:val="left"/>
      <w:pPr>
        <w:ind w:left="5760" w:hanging="360"/>
      </w:pPr>
    </w:lvl>
    <w:lvl w:ilvl="8" w:tplc="86B6974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E926A38">
      <w:start w:val="1"/>
      <w:numFmt w:val="lowerRoman"/>
      <w:lvlText w:val="(%1)"/>
      <w:lvlJc w:val="left"/>
      <w:pPr>
        <w:ind w:left="1080" w:hanging="720"/>
      </w:pPr>
      <w:rPr>
        <w:rFonts w:hint="default"/>
      </w:rPr>
    </w:lvl>
    <w:lvl w:ilvl="1" w:tplc="6F20B436" w:tentative="1">
      <w:start w:val="1"/>
      <w:numFmt w:val="lowerLetter"/>
      <w:lvlText w:val="%2."/>
      <w:lvlJc w:val="left"/>
      <w:pPr>
        <w:ind w:left="1440" w:hanging="360"/>
      </w:pPr>
    </w:lvl>
    <w:lvl w:ilvl="2" w:tplc="F554521C" w:tentative="1">
      <w:start w:val="1"/>
      <w:numFmt w:val="lowerRoman"/>
      <w:lvlText w:val="%3."/>
      <w:lvlJc w:val="right"/>
      <w:pPr>
        <w:ind w:left="2160" w:hanging="180"/>
      </w:pPr>
    </w:lvl>
    <w:lvl w:ilvl="3" w:tplc="91B2CE0E" w:tentative="1">
      <w:start w:val="1"/>
      <w:numFmt w:val="decimal"/>
      <w:lvlText w:val="%4."/>
      <w:lvlJc w:val="left"/>
      <w:pPr>
        <w:ind w:left="2880" w:hanging="360"/>
      </w:pPr>
    </w:lvl>
    <w:lvl w:ilvl="4" w:tplc="6A98E442" w:tentative="1">
      <w:start w:val="1"/>
      <w:numFmt w:val="lowerLetter"/>
      <w:lvlText w:val="%5."/>
      <w:lvlJc w:val="left"/>
      <w:pPr>
        <w:ind w:left="3600" w:hanging="360"/>
      </w:pPr>
    </w:lvl>
    <w:lvl w:ilvl="5" w:tplc="55A04E86" w:tentative="1">
      <w:start w:val="1"/>
      <w:numFmt w:val="lowerRoman"/>
      <w:lvlText w:val="%6."/>
      <w:lvlJc w:val="right"/>
      <w:pPr>
        <w:ind w:left="4320" w:hanging="180"/>
      </w:pPr>
    </w:lvl>
    <w:lvl w:ilvl="6" w:tplc="BEE0090E" w:tentative="1">
      <w:start w:val="1"/>
      <w:numFmt w:val="decimal"/>
      <w:lvlText w:val="%7."/>
      <w:lvlJc w:val="left"/>
      <w:pPr>
        <w:ind w:left="5040" w:hanging="360"/>
      </w:pPr>
    </w:lvl>
    <w:lvl w:ilvl="7" w:tplc="B01488B8" w:tentative="1">
      <w:start w:val="1"/>
      <w:numFmt w:val="lowerLetter"/>
      <w:lvlText w:val="%8."/>
      <w:lvlJc w:val="left"/>
      <w:pPr>
        <w:ind w:left="5760" w:hanging="360"/>
      </w:pPr>
    </w:lvl>
    <w:lvl w:ilvl="8" w:tplc="79CABC9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4BA7C78">
      <w:start w:val="1"/>
      <w:numFmt w:val="lowerRoman"/>
      <w:lvlText w:val="(%1)"/>
      <w:lvlJc w:val="left"/>
      <w:pPr>
        <w:ind w:left="1080" w:hanging="720"/>
      </w:pPr>
      <w:rPr>
        <w:rFonts w:hint="default"/>
      </w:rPr>
    </w:lvl>
    <w:lvl w:ilvl="1" w:tplc="ACCE0528" w:tentative="1">
      <w:start w:val="1"/>
      <w:numFmt w:val="lowerLetter"/>
      <w:lvlText w:val="%2."/>
      <w:lvlJc w:val="left"/>
      <w:pPr>
        <w:ind w:left="1440" w:hanging="360"/>
      </w:pPr>
    </w:lvl>
    <w:lvl w:ilvl="2" w:tplc="53BA98B4" w:tentative="1">
      <w:start w:val="1"/>
      <w:numFmt w:val="lowerRoman"/>
      <w:lvlText w:val="%3."/>
      <w:lvlJc w:val="right"/>
      <w:pPr>
        <w:ind w:left="2160" w:hanging="180"/>
      </w:pPr>
    </w:lvl>
    <w:lvl w:ilvl="3" w:tplc="D076CA9E" w:tentative="1">
      <w:start w:val="1"/>
      <w:numFmt w:val="decimal"/>
      <w:lvlText w:val="%4."/>
      <w:lvlJc w:val="left"/>
      <w:pPr>
        <w:ind w:left="2880" w:hanging="360"/>
      </w:pPr>
    </w:lvl>
    <w:lvl w:ilvl="4" w:tplc="B5BC66A2" w:tentative="1">
      <w:start w:val="1"/>
      <w:numFmt w:val="lowerLetter"/>
      <w:lvlText w:val="%5."/>
      <w:lvlJc w:val="left"/>
      <w:pPr>
        <w:ind w:left="3600" w:hanging="360"/>
      </w:pPr>
    </w:lvl>
    <w:lvl w:ilvl="5" w:tplc="AD984CAE" w:tentative="1">
      <w:start w:val="1"/>
      <w:numFmt w:val="lowerRoman"/>
      <w:lvlText w:val="%6."/>
      <w:lvlJc w:val="right"/>
      <w:pPr>
        <w:ind w:left="4320" w:hanging="180"/>
      </w:pPr>
    </w:lvl>
    <w:lvl w:ilvl="6" w:tplc="162E6A16" w:tentative="1">
      <w:start w:val="1"/>
      <w:numFmt w:val="decimal"/>
      <w:lvlText w:val="%7."/>
      <w:lvlJc w:val="left"/>
      <w:pPr>
        <w:ind w:left="5040" w:hanging="360"/>
      </w:pPr>
    </w:lvl>
    <w:lvl w:ilvl="7" w:tplc="5EE879CE" w:tentative="1">
      <w:start w:val="1"/>
      <w:numFmt w:val="lowerLetter"/>
      <w:lvlText w:val="%8."/>
      <w:lvlJc w:val="left"/>
      <w:pPr>
        <w:ind w:left="5760" w:hanging="360"/>
      </w:pPr>
    </w:lvl>
    <w:lvl w:ilvl="8" w:tplc="4D926E0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ED4F91A">
      <w:start w:val="1"/>
      <w:numFmt w:val="bullet"/>
      <w:lvlText w:val=""/>
      <w:lvlJc w:val="left"/>
      <w:pPr>
        <w:ind w:left="720" w:hanging="360"/>
      </w:pPr>
      <w:rPr>
        <w:rFonts w:ascii="Symbol" w:hAnsi="Symbol" w:hint="default"/>
        <w:color w:val="auto"/>
        <w:sz w:val="24"/>
        <w:szCs w:val="24"/>
      </w:rPr>
    </w:lvl>
    <w:lvl w:ilvl="1" w:tplc="FC82BEB4" w:tentative="1">
      <w:start w:val="1"/>
      <w:numFmt w:val="bullet"/>
      <w:lvlText w:val="o"/>
      <w:lvlJc w:val="left"/>
      <w:pPr>
        <w:ind w:left="1440" w:hanging="360"/>
      </w:pPr>
      <w:rPr>
        <w:rFonts w:ascii="Courier New" w:hAnsi="Courier New" w:cs="Courier New" w:hint="default"/>
      </w:rPr>
    </w:lvl>
    <w:lvl w:ilvl="2" w:tplc="9920DAF4" w:tentative="1">
      <w:start w:val="1"/>
      <w:numFmt w:val="bullet"/>
      <w:lvlText w:val=""/>
      <w:lvlJc w:val="left"/>
      <w:pPr>
        <w:ind w:left="2160" w:hanging="360"/>
      </w:pPr>
      <w:rPr>
        <w:rFonts w:ascii="Wingdings" w:hAnsi="Wingdings" w:hint="default"/>
      </w:rPr>
    </w:lvl>
    <w:lvl w:ilvl="3" w:tplc="425E903C" w:tentative="1">
      <w:start w:val="1"/>
      <w:numFmt w:val="bullet"/>
      <w:lvlText w:val=""/>
      <w:lvlJc w:val="left"/>
      <w:pPr>
        <w:ind w:left="2880" w:hanging="360"/>
      </w:pPr>
      <w:rPr>
        <w:rFonts w:ascii="Symbol" w:hAnsi="Symbol" w:hint="default"/>
      </w:rPr>
    </w:lvl>
    <w:lvl w:ilvl="4" w:tplc="F0BE6482" w:tentative="1">
      <w:start w:val="1"/>
      <w:numFmt w:val="bullet"/>
      <w:lvlText w:val="o"/>
      <w:lvlJc w:val="left"/>
      <w:pPr>
        <w:ind w:left="3600" w:hanging="360"/>
      </w:pPr>
      <w:rPr>
        <w:rFonts w:ascii="Courier New" w:hAnsi="Courier New" w:cs="Courier New" w:hint="default"/>
      </w:rPr>
    </w:lvl>
    <w:lvl w:ilvl="5" w:tplc="25989250" w:tentative="1">
      <w:start w:val="1"/>
      <w:numFmt w:val="bullet"/>
      <w:lvlText w:val=""/>
      <w:lvlJc w:val="left"/>
      <w:pPr>
        <w:ind w:left="4320" w:hanging="360"/>
      </w:pPr>
      <w:rPr>
        <w:rFonts w:ascii="Wingdings" w:hAnsi="Wingdings" w:hint="default"/>
      </w:rPr>
    </w:lvl>
    <w:lvl w:ilvl="6" w:tplc="ABD220DE" w:tentative="1">
      <w:start w:val="1"/>
      <w:numFmt w:val="bullet"/>
      <w:lvlText w:val=""/>
      <w:lvlJc w:val="left"/>
      <w:pPr>
        <w:ind w:left="5040" w:hanging="360"/>
      </w:pPr>
      <w:rPr>
        <w:rFonts w:ascii="Symbol" w:hAnsi="Symbol" w:hint="default"/>
      </w:rPr>
    </w:lvl>
    <w:lvl w:ilvl="7" w:tplc="4022D27C" w:tentative="1">
      <w:start w:val="1"/>
      <w:numFmt w:val="bullet"/>
      <w:lvlText w:val="o"/>
      <w:lvlJc w:val="left"/>
      <w:pPr>
        <w:ind w:left="5760" w:hanging="360"/>
      </w:pPr>
      <w:rPr>
        <w:rFonts w:ascii="Courier New" w:hAnsi="Courier New" w:cs="Courier New" w:hint="default"/>
      </w:rPr>
    </w:lvl>
    <w:lvl w:ilvl="8" w:tplc="972A9D3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70464A2">
      <w:start w:val="1"/>
      <w:numFmt w:val="lowerRoman"/>
      <w:lvlText w:val="(%1)"/>
      <w:lvlJc w:val="left"/>
      <w:pPr>
        <w:ind w:left="1080" w:hanging="720"/>
      </w:pPr>
      <w:rPr>
        <w:rFonts w:hint="default"/>
      </w:rPr>
    </w:lvl>
    <w:lvl w:ilvl="1" w:tplc="F432A29A" w:tentative="1">
      <w:start w:val="1"/>
      <w:numFmt w:val="lowerLetter"/>
      <w:lvlText w:val="%2."/>
      <w:lvlJc w:val="left"/>
      <w:pPr>
        <w:ind w:left="1440" w:hanging="360"/>
      </w:pPr>
    </w:lvl>
    <w:lvl w:ilvl="2" w:tplc="6EE6DA0E" w:tentative="1">
      <w:start w:val="1"/>
      <w:numFmt w:val="lowerRoman"/>
      <w:lvlText w:val="%3."/>
      <w:lvlJc w:val="right"/>
      <w:pPr>
        <w:ind w:left="2160" w:hanging="180"/>
      </w:pPr>
    </w:lvl>
    <w:lvl w:ilvl="3" w:tplc="D7B61890" w:tentative="1">
      <w:start w:val="1"/>
      <w:numFmt w:val="decimal"/>
      <w:lvlText w:val="%4."/>
      <w:lvlJc w:val="left"/>
      <w:pPr>
        <w:ind w:left="2880" w:hanging="360"/>
      </w:pPr>
    </w:lvl>
    <w:lvl w:ilvl="4" w:tplc="AD04E7F0" w:tentative="1">
      <w:start w:val="1"/>
      <w:numFmt w:val="lowerLetter"/>
      <w:lvlText w:val="%5."/>
      <w:lvlJc w:val="left"/>
      <w:pPr>
        <w:ind w:left="3600" w:hanging="360"/>
      </w:pPr>
    </w:lvl>
    <w:lvl w:ilvl="5" w:tplc="91D87B5E" w:tentative="1">
      <w:start w:val="1"/>
      <w:numFmt w:val="lowerRoman"/>
      <w:lvlText w:val="%6."/>
      <w:lvlJc w:val="right"/>
      <w:pPr>
        <w:ind w:left="4320" w:hanging="180"/>
      </w:pPr>
    </w:lvl>
    <w:lvl w:ilvl="6" w:tplc="2596348C" w:tentative="1">
      <w:start w:val="1"/>
      <w:numFmt w:val="decimal"/>
      <w:lvlText w:val="%7."/>
      <w:lvlJc w:val="left"/>
      <w:pPr>
        <w:ind w:left="5040" w:hanging="360"/>
      </w:pPr>
    </w:lvl>
    <w:lvl w:ilvl="7" w:tplc="6CA2E8F8" w:tentative="1">
      <w:start w:val="1"/>
      <w:numFmt w:val="lowerLetter"/>
      <w:lvlText w:val="%8."/>
      <w:lvlJc w:val="left"/>
      <w:pPr>
        <w:ind w:left="5760" w:hanging="360"/>
      </w:pPr>
    </w:lvl>
    <w:lvl w:ilvl="8" w:tplc="0B063BB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208743E">
      <w:start w:val="1"/>
      <w:numFmt w:val="lowerRoman"/>
      <w:lvlText w:val="(%1)"/>
      <w:lvlJc w:val="left"/>
      <w:pPr>
        <w:ind w:left="1080" w:hanging="720"/>
      </w:pPr>
      <w:rPr>
        <w:rFonts w:hint="default"/>
      </w:rPr>
    </w:lvl>
    <w:lvl w:ilvl="1" w:tplc="0D1EAA94" w:tentative="1">
      <w:start w:val="1"/>
      <w:numFmt w:val="lowerLetter"/>
      <w:lvlText w:val="%2."/>
      <w:lvlJc w:val="left"/>
      <w:pPr>
        <w:ind w:left="1440" w:hanging="360"/>
      </w:pPr>
    </w:lvl>
    <w:lvl w:ilvl="2" w:tplc="9428599C" w:tentative="1">
      <w:start w:val="1"/>
      <w:numFmt w:val="lowerRoman"/>
      <w:lvlText w:val="%3."/>
      <w:lvlJc w:val="right"/>
      <w:pPr>
        <w:ind w:left="2160" w:hanging="180"/>
      </w:pPr>
    </w:lvl>
    <w:lvl w:ilvl="3" w:tplc="1FF8E8E8" w:tentative="1">
      <w:start w:val="1"/>
      <w:numFmt w:val="decimal"/>
      <w:lvlText w:val="%4."/>
      <w:lvlJc w:val="left"/>
      <w:pPr>
        <w:ind w:left="2880" w:hanging="360"/>
      </w:pPr>
    </w:lvl>
    <w:lvl w:ilvl="4" w:tplc="B8E6C9F8" w:tentative="1">
      <w:start w:val="1"/>
      <w:numFmt w:val="lowerLetter"/>
      <w:lvlText w:val="%5."/>
      <w:lvlJc w:val="left"/>
      <w:pPr>
        <w:ind w:left="3600" w:hanging="360"/>
      </w:pPr>
    </w:lvl>
    <w:lvl w:ilvl="5" w:tplc="CCF6B000" w:tentative="1">
      <w:start w:val="1"/>
      <w:numFmt w:val="lowerRoman"/>
      <w:lvlText w:val="%6."/>
      <w:lvlJc w:val="right"/>
      <w:pPr>
        <w:ind w:left="4320" w:hanging="180"/>
      </w:pPr>
    </w:lvl>
    <w:lvl w:ilvl="6" w:tplc="805E065A" w:tentative="1">
      <w:start w:val="1"/>
      <w:numFmt w:val="decimal"/>
      <w:lvlText w:val="%7."/>
      <w:lvlJc w:val="left"/>
      <w:pPr>
        <w:ind w:left="5040" w:hanging="360"/>
      </w:pPr>
    </w:lvl>
    <w:lvl w:ilvl="7" w:tplc="E32A5E92" w:tentative="1">
      <w:start w:val="1"/>
      <w:numFmt w:val="lowerLetter"/>
      <w:lvlText w:val="%8."/>
      <w:lvlJc w:val="left"/>
      <w:pPr>
        <w:ind w:left="5760" w:hanging="360"/>
      </w:pPr>
    </w:lvl>
    <w:lvl w:ilvl="8" w:tplc="86F0090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5A8BDE6">
      <w:start w:val="1"/>
      <w:numFmt w:val="lowerRoman"/>
      <w:lvlText w:val="(%1)"/>
      <w:lvlJc w:val="left"/>
      <w:pPr>
        <w:ind w:left="1080" w:hanging="720"/>
      </w:pPr>
      <w:rPr>
        <w:rFonts w:hint="default"/>
      </w:rPr>
    </w:lvl>
    <w:lvl w:ilvl="1" w:tplc="9DBA7DC0" w:tentative="1">
      <w:start w:val="1"/>
      <w:numFmt w:val="lowerLetter"/>
      <w:lvlText w:val="%2."/>
      <w:lvlJc w:val="left"/>
      <w:pPr>
        <w:ind w:left="1440" w:hanging="360"/>
      </w:pPr>
    </w:lvl>
    <w:lvl w:ilvl="2" w:tplc="D5966EB6" w:tentative="1">
      <w:start w:val="1"/>
      <w:numFmt w:val="lowerRoman"/>
      <w:lvlText w:val="%3."/>
      <w:lvlJc w:val="right"/>
      <w:pPr>
        <w:ind w:left="2160" w:hanging="180"/>
      </w:pPr>
    </w:lvl>
    <w:lvl w:ilvl="3" w:tplc="9AEE10A2" w:tentative="1">
      <w:start w:val="1"/>
      <w:numFmt w:val="decimal"/>
      <w:lvlText w:val="%4."/>
      <w:lvlJc w:val="left"/>
      <w:pPr>
        <w:ind w:left="2880" w:hanging="360"/>
      </w:pPr>
    </w:lvl>
    <w:lvl w:ilvl="4" w:tplc="8AB47CE8" w:tentative="1">
      <w:start w:val="1"/>
      <w:numFmt w:val="lowerLetter"/>
      <w:lvlText w:val="%5."/>
      <w:lvlJc w:val="left"/>
      <w:pPr>
        <w:ind w:left="3600" w:hanging="360"/>
      </w:pPr>
    </w:lvl>
    <w:lvl w:ilvl="5" w:tplc="49106490" w:tentative="1">
      <w:start w:val="1"/>
      <w:numFmt w:val="lowerRoman"/>
      <w:lvlText w:val="%6."/>
      <w:lvlJc w:val="right"/>
      <w:pPr>
        <w:ind w:left="4320" w:hanging="180"/>
      </w:pPr>
    </w:lvl>
    <w:lvl w:ilvl="6" w:tplc="68E8E27E" w:tentative="1">
      <w:start w:val="1"/>
      <w:numFmt w:val="decimal"/>
      <w:lvlText w:val="%7."/>
      <w:lvlJc w:val="left"/>
      <w:pPr>
        <w:ind w:left="5040" w:hanging="360"/>
      </w:pPr>
    </w:lvl>
    <w:lvl w:ilvl="7" w:tplc="A6E0502C" w:tentative="1">
      <w:start w:val="1"/>
      <w:numFmt w:val="lowerLetter"/>
      <w:lvlText w:val="%8."/>
      <w:lvlJc w:val="left"/>
      <w:pPr>
        <w:ind w:left="5760" w:hanging="360"/>
      </w:pPr>
    </w:lvl>
    <w:lvl w:ilvl="8" w:tplc="07466774" w:tentative="1">
      <w:start w:val="1"/>
      <w:numFmt w:val="lowerRoman"/>
      <w:lvlText w:val="%9."/>
      <w:lvlJc w:val="right"/>
      <w:pPr>
        <w:ind w:left="6480" w:hanging="180"/>
      </w:pPr>
    </w:lvl>
  </w:abstractNum>
  <w:abstractNum w:abstractNumId="8" w15:restartNumberingAfterBreak="0">
    <w:nsid w:val="347077BB"/>
    <w:multiLevelType w:val="hybridMultilevel"/>
    <w:tmpl w:val="26561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F1448E"/>
    <w:multiLevelType w:val="hybridMultilevel"/>
    <w:tmpl w:val="D0AE350E"/>
    <w:lvl w:ilvl="0" w:tplc="5D8E8794">
      <w:start w:val="1"/>
      <w:numFmt w:val="lowerRoman"/>
      <w:lvlText w:val="(%1)"/>
      <w:lvlJc w:val="left"/>
      <w:pPr>
        <w:ind w:left="1080" w:hanging="720"/>
      </w:pPr>
      <w:rPr>
        <w:rFonts w:hint="default"/>
      </w:rPr>
    </w:lvl>
    <w:lvl w:ilvl="1" w:tplc="CC3CCE1E" w:tentative="1">
      <w:start w:val="1"/>
      <w:numFmt w:val="lowerLetter"/>
      <w:lvlText w:val="%2."/>
      <w:lvlJc w:val="left"/>
      <w:pPr>
        <w:ind w:left="1440" w:hanging="360"/>
      </w:pPr>
    </w:lvl>
    <w:lvl w:ilvl="2" w:tplc="ED125FB8" w:tentative="1">
      <w:start w:val="1"/>
      <w:numFmt w:val="lowerRoman"/>
      <w:lvlText w:val="%3."/>
      <w:lvlJc w:val="right"/>
      <w:pPr>
        <w:ind w:left="2160" w:hanging="180"/>
      </w:pPr>
    </w:lvl>
    <w:lvl w:ilvl="3" w:tplc="81D2C248" w:tentative="1">
      <w:start w:val="1"/>
      <w:numFmt w:val="decimal"/>
      <w:lvlText w:val="%4."/>
      <w:lvlJc w:val="left"/>
      <w:pPr>
        <w:ind w:left="2880" w:hanging="360"/>
      </w:pPr>
    </w:lvl>
    <w:lvl w:ilvl="4" w:tplc="D3923B9C" w:tentative="1">
      <w:start w:val="1"/>
      <w:numFmt w:val="lowerLetter"/>
      <w:lvlText w:val="%5."/>
      <w:lvlJc w:val="left"/>
      <w:pPr>
        <w:ind w:left="3600" w:hanging="360"/>
      </w:pPr>
    </w:lvl>
    <w:lvl w:ilvl="5" w:tplc="62BE7BE2" w:tentative="1">
      <w:start w:val="1"/>
      <w:numFmt w:val="lowerRoman"/>
      <w:lvlText w:val="%6."/>
      <w:lvlJc w:val="right"/>
      <w:pPr>
        <w:ind w:left="4320" w:hanging="180"/>
      </w:pPr>
    </w:lvl>
    <w:lvl w:ilvl="6" w:tplc="06764762" w:tentative="1">
      <w:start w:val="1"/>
      <w:numFmt w:val="decimal"/>
      <w:lvlText w:val="%7."/>
      <w:lvlJc w:val="left"/>
      <w:pPr>
        <w:ind w:left="5040" w:hanging="360"/>
      </w:pPr>
    </w:lvl>
    <w:lvl w:ilvl="7" w:tplc="F124A1D2" w:tentative="1">
      <w:start w:val="1"/>
      <w:numFmt w:val="lowerLetter"/>
      <w:lvlText w:val="%8."/>
      <w:lvlJc w:val="left"/>
      <w:pPr>
        <w:ind w:left="5760" w:hanging="360"/>
      </w:pPr>
    </w:lvl>
    <w:lvl w:ilvl="8" w:tplc="87FA1A5E" w:tentative="1">
      <w:start w:val="1"/>
      <w:numFmt w:val="lowerRoman"/>
      <w:lvlText w:val="%9."/>
      <w:lvlJc w:val="right"/>
      <w:pPr>
        <w:ind w:left="6480" w:hanging="180"/>
      </w:pPr>
    </w:lvl>
  </w:abstractNum>
  <w:abstractNum w:abstractNumId="10" w15:restartNumberingAfterBreak="0">
    <w:nsid w:val="3AFD4B9F"/>
    <w:multiLevelType w:val="hybridMultilevel"/>
    <w:tmpl w:val="C67C2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1E090F"/>
    <w:multiLevelType w:val="hybridMultilevel"/>
    <w:tmpl w:val="5596D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95616A"/>
    <w:multiLevelType w:val="hybridMultilevel"/>
    <w:tmpl w:val="790C5C02"/>
    <w:lvl w:ilvl="0" w:tplc="85AEC746">
      <w:start w:val="1"/>
      <w:numFmt w:val="lowerRoman"/>
      <w:lvlText w:val="(%1)"/>
      <w:lvlJc w:val="left"/>
      <w:pPr>
        <w:ind w:left="1080" w:hanging="720"/>
      </w:pPr>
      <w:rPr>
        <w:rFonts w:hint="default"/>
      </w:rPr>
    </w:lvl>
    <w:lvl w:ilvl="1" w:tplc="60F2A0A8" w:tentative="1">
      <w:start w:val="1"/>
      <w:numFmt w:val="lowerLetter"/>
      <w:lvlText w:val="%2."/>
      <w:lvlJc w:val="left"/>
      <w:pPr>
        <w:ind w:left="1440" w:hanging="360"/>
      </w:pPr>
    </w:lvl>
    <w:lvl w:ilvl="2" w:tplc="EF5ADA76" w:tentative="1">
      <w:start w:val="1"/>
      <w:numFmt w:val="lowerRoman"/>
      <w:lvlText w:val="%3."/>
      <w:lvlJc w:val="right"/>
      <w:pPr>
        <w:ind w:left="2160" w:hanging="180"/>
      </w:pPr>
    </w:lvl>
    <w:lvl w:ilvl="3" w:tplc="9B00DDDC" w:tentative="1">
      <w:start w:val="1"/>
      <w:numFmt w:val="decimal"/>
      <w:lvlText w:val="%4."/>
      <w:lvlJc w:val="left"/>
      <w:pPr>
        <w:ind w:left="2880" w:hanging="360"/>
      </w:pPr>
    </w:lvl>
    <w:lvl w:ilvl="4" w:tplc="DA688B5E" w:tentative="1">
      <w:start w:val="1"/>
      <w:numFmt w:val="lowerLetter"/>
      <w:lvlText w:val="%5."/>
      <w:lvlJc w:val="left"/>
      <w:pPr>
        <w:ind w:left="3600" w:hanging="360"/>
      </w:pPr>
    </w:lvl>
    <w:lvl w:ilvl="5" w:tplc="24F2CCEE" w:tentative="1">
      <w:start w:val="1"/>
      <w:numFmt w:val="lowerRoman"/>
      <w:lvlText w:val="%6."/>
      <w:lvlJc w:val="right"/>
      <w:pPr>
        <w:ind w:left="4320" w:hanging="180"/>
      </w:pPr>
    </w:lvl>
    <w:lvl w:ilvl="6" w:tplc="731C5FAA" w:tentative="1">
      <w:start w:val="1"/>
      <w:numFmt w:val="decimal"/>
      <w:lvlText w:val="%7."/>
      <w:lvlJc w:val="left"/>
      <w:pPr>
        <w:ind w:left="5040" w:hanging="360"/>
      </w:pPr>
    </w:lvl>
    <w:lvl w:ilvl="7" w:tplc="5ADACE9C" w:tentative="1">
      <w:start w:val="1"/>
      <w:numFmt w:val="lowerLetter"/>
      <w:lvlText w:val="%8."/>
      <w:lvlJc w:val="left"/>
      <w:pPr>
        <w:ind w:left="5760" w:hanging="360"/>
      </w:pPr>
    </w:lvl>
    <w:lvl w:ilvl="8" w:tplc="B27821C8" w:tentative="1">
      <w:start w:val="1"/>
      <w:numFmt w:val="lowerRoman"/>
      <w:lvlText w:val="%9."/>
      <w:lvlJc w:val="right"/>
      <w:pPr>
        <w:ind w:left="6480" w:hanging="180"/>
      </w:pPr>
    </w:lvl>
  </w:abstractNum>
  <w:abstractNum w:abstractNumId="13" w15:restartNumberingAfterBreak="0">
    <w:nsid w:val="704C5705"/>
    <w:multiLevelType w:val="hybridMultilevel"/>
    <w:tmpl w:val="C7521458"/>
    <w:lvl w:ilvl="0" w:tplc="55E215C2">
      <w:start w:val="1"/>
      <w:numFmt w:val="lowerRoman"/>
      <w:lvlText w:val="(%1)"/>
      <w:lvlJc w:val="left"/>
      <w:pPr>
        <w:ind w:left="1080" w:hanging="720"/>
      </w:pPr>
      <w:rPr>
        <w:rFonts w:hint="default"/>
      </w:rPr>
    </w:lvl>
    <w:lvl w:ilvl="1" w:tplc="FBB62688" w:tentative="1">
      <w:start w:val="1"/>
      <w:numFmt w:val="lowerLetter"/>
      <w:lvlText w:val="%2."/>
      <w:lvlJc w:val="left"/>
      <w:pPr>
        <w:ind w:left="1440" w:hanging="360"/>
      </w:pPr>
    </w:lvl>
    <w:lvl w:ilvl="2" w:tplc="8FFC3366" w:tentative="1">
      <w:start w:val="1"/>
      <w:numFmt w:val="lowerRoman"/>
      <w:lvlText w:val="%3."/>
      <w:lvlJc w:val="right"/>
      <w:pPr>
        <w:ind w:left="2160" w:hanging="180"/>
      </w:pPr>
    </w:lvl>
    <w:lvl w:ilvl="3" w:tplc="1C0092A6" w:tentative="1">
      <w:start w:val="1"/>
      <w:numFmt w:val="decimal"/>
      <w:lvlText w:val="%4."/>
      <w:lvlJc w:val="left"/>
      <w:pPr>
        <w:ind w:left="2880" w:hanging="360"/>
      </w:pPr>
    </w:lvl>
    <w:lvl w:ilvl="4" w:tplc="648481AC" w:tentative="1">
      <w:start w:val="1"/>
      <w:numFmt w:val="lowerLetter"/>
      <w:lvlText w:val="%5."/>
      <w:lvlJc w:val="left"/>
      <w:pPr>
        <w:ind w:left="3600" w:hanging="360"/>
      </w:pPr>
    </w:lvl>
    <w:lvl w:ilvl="5" w:tplc="3E6C3A32" w:tentative="1">
      <w:start w:val="1"/>
      <w:numFmt w:val="lowerRoman"/>
      <w:lvlText w:val="%6."/>
      <w:lvlJc w:val="right"/>
      <w:pPr>
        <w:ind w:left="4320" w:hanging="180"/>
      </w:pPr>
    </w:lvl>
    <w:lvl w:ilvl="6" w:tplc="1FD0E03E" w:tentative="1">
      <w:start w:val="1"/>
      <w:numFmt w:val="decimal"/>
      <w:lvlText w:val="%7."/>
      <w:lvlJc w:val="left"/>
      <w:pPr>
        <w:ind w:left="5040" w:hanging="360"/>
      </w:pPr>
    </w:lvl>
    <w:lvl w:ilvl="7" w:tplc="4D1EEFBC" w:tentative="1">
      <w:start w:val="1"/>
      <w:numFmt w:val="lowerLetter"/>
      <w:lvlText w:val="%8."/>
      <w:lvlJc w:val="left"/>
      <w:pPr>
        <w:ind w:left="5760" w:hanging="360"/>
      </w:pPr>
    </w:lvl>
    <w:lvl w:ilvl="8" w:tplc="A7807124"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43086706">
    <w:abstractNumId w:val="14"/>
  </w:num>
  <w:num w:numId="2" w16cid:durableId="673722266">
    <w:abstractNumId w:val="4"/>
  </w:num>
  <w:num w:numId="3" w16cid:durableId="1525710264">
    <w:abstractNumId w:val="2"/>
  </w:num>
  <w:num w:numId="4" w16cid:durableId="194271888">
    <w:abstractNumId w:val="7"/>
  </w:num>
  <w:num w:numId="5" w16cid:durableId="1466697143">
    <w:abstractNumId w:val="6"/>
  </w:num>
  <w:num w:numId="6" w16cid:durableId="1566910121">
    <w:abstractNumId w:val="1"/>
  </w:num>
  <w:num w:numId="7" w16cid:durableId="129136914">
    <w:abstractNumId w:val="12"/>
  </w:num>
  <w:num w:numId="8" w16cid:durableId="1144589487">
    <w:abstractNumId w:val="5"/>
  </w:num>
  <w:num w:numId="9" w16cid:durableId="899362057">
    <w:abstractNumId w:val="9"/>
  </w:num>
  <w:num w:numId="10" w16cid:durableId="1684628805">
    <w:abstractNumId w:val="3"/>
  </w:num>
  <w:num w:numId="11" w16cid:durableId="1053309988">
    <w:abstractNumId w:val="13"/>
  </w:num>
  <w:num w:numId="12" w16cid:durableId="1092894347">
    <w:abstractNumId w:val="0"/>
  </w:num>
  <w:num w:numId="13" w16cid:durableId="344064655">
    <w:abstractNumId w:val="14"/>
  </w:num>
  <w:num w:numId="14" w16cid:durableId="921723092">
    <w:abstractNumId w:val="14"/>
  </w:num>
  <w:num w:numId="15" w16cid:durableId="22286981">
    <w:abstractNumId w:val="10"/>
  </w:num>
  <w:num w:numId="16" w16cid:durableId="41906925">
    <w:abstractNumId w:val="8"/>
  </w:num>
  <w:num w:numId="17" w16cid:durableId="148719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D9"/>
    <w:rsid w:val="0001613D"/>
    <w:rsid w:val="00022901"/>
    <w:rsid w:val="00031BA2"/>
    <w:rsid w:val="000426F9"/>
    <w:rsid w:val="00050A1B"/>
    <w:rsid w:val="00082B3D"/>
    <w:rsid w:val="00084EDD"/>
    <w:rsid w:val="00096C2A"/>
    <w:rsid w:val="000B152D"/>
    <w:rsid w:val="000B61D6"/>
    <w:rsid w:val="000C3862"/>
    <w:rsid w:val="000E5A9D"/>
    <w:rsid w:val="000F5D7C"/>
    <w:rsid w:val="000F64C7"/>
    <w:rsid w:val="001164AA"/>
    <w:rsid w:val="00125B45"/>
    <w:rsid w:val="00130475"/>
    <w:rsid w:val="00144F63"/>
    <w:rsid w:val="001511E3"/>
    <w:rsid w:val="001564EA"/>
    <w:rsid w:val="00157791"/>
    <w:rsid w:val="0017491D"/>
    <w:rsid w:val="00180A62"/>
    <w:rsid w:val="00182BCB"/>
    <w:rsid w:val="001A0A95"/>
    <w:rsid w:val="001B1463"/>
    <w:rsid w:val="001C04B2"/>
    <w:rsid w:val="001C4E8D"/>
    <w:rsid w:val="001E6758"/>
    <w:rsid w:val="001F3964"/>
    <w:rsid w:val="00205F89"/>
    <w:rsid w:val="00220AA6"/>
    <w:rsid w:val="002250FE"/>
    <w:rsid w:val="00231A28"/>
    <w:rsid w:val="0024078A"/>
    <w:rsid w:val="00262C0B"/>
    <w:rsid w:val="00265DE1"/>
    <w:rsid w:val="00277808"/>
    <w:rsid w:val="00277F12"/>
    <w:rsid w:val="00281975"/>
    <w:rsid w:val="0029239F"/>
    <w:rsid w:val="002B49A9"/>
    <w:rsid w:val="002D2912"/>
    <w:rsid w:val="002D406B"/>
    <w:rsid w:val="002E3689"/>
    <w:rsid w:val="002F4974"/>
    <w:rsid w:val="00303AE8"/>
    <w:rsid w:val="00304920"/>
    <w:rsid w:val="003233FF"/>
    <w:rsid w:val="00325267"/>
    <w:rsid w:val="003318E0"/>
    <w:rsid w:val="003375C4"/>
    <w:rsid w:val="003719E7"/>
    <w:rsid w:val="003733DC"/>
    <w:rsid w:val="00373DD4"/>
    <w:rsid w:val="00391785"/>
    <w:rsid w:val="00392EC8"/>
    <w:rsid w:val="003A549D"/>
    <w:rsid w:val="003B40A8"/>
    <w:rsid w:val="003C354F"/>
    <w:rsid w:val="003C6CB9"/>
    <w:rsid w:val="003D6DFF"/>
    <w:rsid w:val="003E3325"/>
    <w:rsid w:val="003E4636"/>
    <w:rsid w:val="00401B35"/>
    <w:rsid w:val="00407240"/>
    <w:rsid w:val="00411C65"/>
    <w:rsid w:val="004129AD"/>
    <w:rsid w:val="004268FB"/>
    <w:rsid w:val="00442895"/>
    <w:rsid w:val="00443120"/>
    <w:rsid w:val="004448F6"/>
    <w:rsid w:val="00451FEE"/>
    <w:rsid w:val="004521D8"/>
    <w:rsid w:val="004606C5"/>
    <w:rsid w:val="00482657"/>
    <w:rsid w:val="00483244"/>
    <w:rsid w:val="00495A2A"/>
    <w:rsid w:val="004A646E"/>
    <w:rsid w:val="004B67DD"/>
    <w:rsid w:val="004C01F2"/>
    <w:rsid w:val="004F1351"/>
    <w:rsid w:val="004F174C"/>
    <w:rsid w:val="005201B9"/>
    <w:rsid w:val="0052112E"/>
    <w:rsid w:val="005243D3"/>
    <w:rsid w:val="00531C07"/>
    <w:rsid w:val="00532815"/>
    <w:rsid w:val="00572C3F"/>
    <w:rsid w:val="00576974"/>
    <w:rsid w:val="00576ECA"/>
    <w:rsid w:val="00577673"/>
    <w:rsid w:val="00577933"/>
    <w:rsid w:val="00583CDD"/>
    <w:rsid w:val="00594BEF"/>
    <w:rsid w:val="005A4B40"/>
    <w:rsid w:val="005B0E65"/>
    <w:rsid w:val="005E5EA4"/>
    <w:rsid w:val="006034B5"/>
    <w:rsid w:val="006150B4"/>
    <w:rsid w:val="0062336E"/>
    <w:rsid w:val="006337DD"/>
    <w:rsid w:val="00647902"/>
    <w:rsid w:val="00650BAF"/>
    <w:rsid w:val="006560F4"/>
    <w:rsid w:val="006666C0"/>
    <w:rsid w:val="00674733"/>
    <w:rsid w:val="0068564C"/>
    <w:rsid w:val="00694B3B"/>
    <w:rsid w:val="006A0BF2"/>
    <w:rsid w:val="006C04A5"/>
    <w:rsid w:val="006C17E2"/>
    <w:rsid w:val="006D698E"/>
    <w:rsid w:val="006E78D1"/>
    <w:rsid w:val="006F7BAF"/>
    <w:rsid w:val="0071586D"/>
    <w:rsid w:val="0072506C"/>
    <w:rsid w:val="00725473"/>
    <w:rsid w:val="00730E57"/>
    <w:rsid w:val="00735D5D"/>
    <w:rsid w:val="00742B95"/>
    <w:rsid w:val="00750A13"/>
    <w:rsid w:val="00761AA2"/>
    <w:rsid w:val="007724C0"/>
    <w:rsid w:val="00774DE1"/>
    <w:rsid w:val="00781660"/>
    <w:rsid w:val="007861EE"/>
    <w:rsid w:val="007B606A"/>
    <w:rsid w:val="007C073F"/>
    <w:rsid w:val="007D29CE"/>
    <w:rsid w:val="007D4024"/>
    <w:rsid w:val="007D45CD"/>
    <w:rsid w:val="007D4D64"/>
    <w:rsid w:val="007D6CDE"/>
    <w:rsid w:val="007E0C7B"/>
    <w:rsid w:val="007E7F81"/>
    <w:rsid w:val="007F5B4E"/>
    <w:rsid w:val="00803327"/>
    <w:rsid w:val="00810FCB"/>
    <w:rsid w:val="00817BBD"/>
    <w:rsid w:val="00820964"/>
    <w:rsid w:val="00821E66"/>
    <w:rsid w:val="00826510"/>
    <w:rsid w:val="00826E36"/>
    <w:rsid w:val="0083083B"/>
    <w:rsid w:val="00843A7A"/>
    <w:rsid w:val="008441F8"/>
    <w:rsid w:val="00845034"/>
    <w:rsid w:val="00851A93"/>
    <w:rsid w:val="00852CAB"/>
    <w:rsid w:val="00857D8E"/>
    <w:rsid w:val="008724B9"/>
    <w:rsid w:val="00872D44"/>
    <w:rsid w:val="008734FC"/>
    <w:rsid w:val="00873FFF"/>
    <w:rsid w:val="0087509C"/>
    <w:rsid w:val="00887C96"/>
    <w:rsid w:val="0089659C"/>
    <w:rsid w:val="008F3682"/>
    <w:rsid w:val="00906573"/>
    <w:rsid w:val="009135A2"/>
    <w:rsid w:val="009143AB"/>
    <w:rsid w:val="0092346F"/>
    <w:rsid w:val="00941760"/>
    <w:rsid w:val="009455D6"/>
    <w:rsid w:val="00985A2E"/>
    <w:rsid w:val="0098636C"/>
    <w:rsid w:val="00986A5B"/>
    <w:rsid w:val="009870B7"/>
    <w:rsid w:val="0099007D"/>
    <w:rsid w:val="009919F1"/>
    <w:rsid w:val="00996058"/>
    <w:rsid w:val="009B1BDA"/>
    <w:rsid w:val="009C1925"/>
    <w:rsid w:val="009C4FB7"/>
    <w:rsid w:val="009D6ABF"/>
    <w:rsid w:val="009F168A"/>
    <w:rsid w:val="009F1A77"/>
    <w:rsid w:val="009F1C30"/>
    <w:rsid w:val="009F5E21"/>
    <w:rsid w:val="00A05E7B"/>
    <w:rsid w:val="00A1541C"/>
    <w:rsid w:val="00A2190E"/>
    <w:rsid w:val="00A2358A"/>
    <w:rsid w:val="00A34319"/>
    <w:rsid w:val="00A36702"/>
    <w:rsid w:val="00A4012D"/>
    <w:rsid w:val="00A70403"/>
    <w:rsid w:val="00AB1F96"/>
    <w:rsid w:val="00AC6451"/>
    <w:rsid w:val="00AE0996"/>
    <w:rsid w:val="00AF6EC9"/>
    <w:rsid w:val="00B26861"/>
    <w:rsid w:val="00B272F0"/>
    <w:rsid w:val="00B36E0D"/>
    <w:rsid w:val="00B37AD6"/>
    <w:rsid w:val="00B37B76"/>
    <w:rsid w:val="00B46058"/>
    <w:rsid w:val="00B517E1"/>
    <w:rsid w:val="00B5403E"/>
    <w:rsid w:val="00B706FD"/>
    <w:rsid w:val="00B736E4"/>
    <w:rsid w:val="00B74864"/>
    <w:rsid w:val="00B75E08"/>
    <w:rsid w:val="00B82C84"/>
    <w:rsid w:val="00B82DF1"/>
    <w:rsid w:val="00BA523C"/>
    <w:rsid w:val="00BA5B11"/>
    <w:rsid w:val="00BB0A61"/>
    <w:rsid w:val="00BB2151"/>
    <w:rsid w:val="00BD0E10"/>
    <w:rsid w:val="00BE6FEA"/>
    <w:rsid w:val="00C04906"/>
    <w:rsid w:val="00C0632A"/>
    <w:rsid w:val="00C15A89"/>
    <w:rsid w:val="00C24AFA"/>
    <w:rsid w:val="00C32D0C"/>
    <w:rsid w:val="00C40690"/>
    <w:rsid w:val="00C42558"/>
    <w:rsid w:val="00C7437A"/>
    <w:rsid w:val="00C823DF"/>
    <w:rsid w:val="00C90EEA"/>
    <w:rsid w:val="00CA50E8"/>
    <w:rsid w:val="00CB498A"/>
    <w:rsid w:val="00CD0180"/>
    <w:rsid w:val="00CD134B"/>
    <w:rsid w:val="00CE3C2F"/>
    <w:rsid w:val="00CF0B88"/>
    <w:rsid w:val="00CF6F3A"/>
    <w:rsid w:val="00D06D53"/>
    <w:rsid w:val="00D10632"/>
    <w:rsid w:val="00D3444A"/>
    <w:rsid w:val="00D35309"/>
    <w:rsid w:val="00D402D2"/>
    <w:rsid w:val="00D51770"/>
    <w:rsid w:val="00D700CE"/>
    <w:rsid w:val="00D74A1B"/>
    <w:rsid w:val="00D80DF8"/>
    <w:rsid w:val="00D80E97"/>
    <w:rsid w:val="00D84037"/>
    <w:rsid w:val="00D8612B"/>
    <w:rsid w:val="00D95B24"/>
    <w:rsid w:val="00D97DD6"/>
    <w:rsid w:val="00DA64D3"/>
    <w:rsid w:val="00DB297B"/>
    <w:rsid w:val="00DB4EF8"/>
    <w:rsid w:val="00DD2AD1"/>
    <w:rsid w:val="00DD7BBD"/>
    <w:rsid w:val="00E04B2D"/>
    <w:rsid w:val="00E05D1D"/>
    <w:rsid w:val="00E07209"/>
    <w:rsid w:val="00E14376"/>
    <w:rsid w:val="00E2300F"/>
    <w:rsid w:val="00E31D63"/>
    <w:rsid w:val="00E52725"/>
    <w:rsid w:val="00E60397"/>
    <w:rsid w:val="00E723BE"/>
    <w:rsid w:val="00E80D37"/>
    <w:rsid w:val="00E84A2B"/>
    <w:rsid w:val="00E84F17"/>
    <w:rsid w:val="00E96FE4"/>
    <w:rsid w:val="00EA1057"/>
    <w:rsid w:val="00EC3D6C"/>
    <w:rsid w:val="00ED65D9"/>
    <w:rsid w:val="00F117D0"/>
    <w:rsid w:val="00F1262A"/>
    <w:rsid w:val="00F14EB8"/>
    <w:rsid w:val="00F34215"/>
    <w:rsid w:val="00F34325"/>
    <w:rsid w:val="00F34627"/>
    <w:rsid w:val="00F35A66"/>
    <w:rsid w:val="00F44A11"/>
    <w:rsid w:val="00F54BED"/>
    <w:rsid w:val="00F62AC4"/>
    <w:rsid w:val="00F70925"/>
    <w:rsid w:val="00F81FB9"/>
    <w:rsid w:val="00F85101"/>
    <w:rsid w:val="00F9341B"/>
    <w:rsid w:val="00FA1499"/>
    <w:rsid w:val="00FB1598"/>
    <w:rsid w:val="00FC77D3"/>
    <w:rsid w:val="00FE63B7"/>
    <w:rsid w:val="00FF04BD"/>
    <w:rsid w:val="00FF1266"/>
    <w:rsid w:val="00FF1273"/>
    <w:rsid w:val="00FF12F7"/>
    <w:rsid w:val="00FF1B9D"/>
    <w:rsid w:val="00FF58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F791"/>
  <w15:docId w15:val="{4BB68A4D-DA83-4F47-A380-B79F604F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C6173" w:rsidRDefault="007C6173">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C6173" w:rsidRDefault="007C6173"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C6173" w:rsidRDefault="007C6173" w:rsidP="00AF0AC5">
          <w:pPr>
            <w:pStyle w:val="B49FA1BBEF644AB6B201ADBCD49F2011"/>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C6173" w:rsidRDefault="007C6173"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C6173" w:rsidRDefault="007C6173"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6173"/>
    <w:rsid w:val="000E5A9D"/>
    <w:rsid w:val="002239F6"/>
    <w:rsid w:val="00265DE1"/>
    <w:rsid w:val="00451FEE"/>
    <w:rsid w:val="00606672"/>
    <w:rsid w:val="006337DD"/>
    <w:rsid w:val="007C6173"/>
    <w:rsid w:val="00826510"/>
    <w:rsid w:val="008A06CE"/>
    <w:rsid w:val="00D10632"/>
    <w:rsid w:val="00E27608"/>
    <w:rsid w:val="00E334B2"/>
    <w:rsid w:val="00F117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2526</Words>
  <Characters>14399</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2025-03-12T00:43:00Z</dcterms:created>
  <dcterms:modified xsi:type="dcterms:W3CDTF">2025-03-12T00:43:00Z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