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9BC0" w14:textId="26E52653" w:rsidR="00E61645" w:rsidRDefault="008A17F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E0D92A3" wp14:editId="6C1CC602">
                <wp:simplePos x="0" y="0"/>
                <wp:positionH relativeFrom="column">
                  <wp:posOffset>-895350</wp:posOffset>
                </wp:positionH>
                <wp:positionV relativeFrom="paragraph">
                  <wp:posOffset>722630</wp:posOffset>
                </wp:positionV>
                <wp:extent cx="5686425" cy="1727200"/>
                <wp:effectExtent l="0" t="0" r="0" b="0"/>
                <wp:wrapSquare wrapText="bothSides"/>
                <wp:docPr id="1155375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1E0D9" w14:textId="77777777" w:rsidR="00E61645" w:rsidRDefault="00E6164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F9BA606" w14:textId="77777777" w:rsidR="00E61645" w:rsidRPr="001E694D" w:rsidRDefault="00E6164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13CE8B4" w14:textId="77777777" w:rsidR="00E61645" w:rsidRPr="001E694D" w:rsidRDefault="00E61645" w:rsidP="009504D0">
                            <w:pPr>
                              <w:pStyle w:val="ContactNumber"/>
                              <w:spacing w:after="600"/>
                              <w:rPr>
                                <w:rFonts w:ascii="Open Sans" w:hAnsi="Open Sans" w:cs="Open Sans"/>
                              </w:rPr>
                            </w:pPr>
                            <w:r w:rsidRPr="001E694D">
                              <w:rPr>
                                <w:rFonts w:ascii="Open Sans" w:hAnsi="Open Sans" w:cs="Open Sans"/>
                              </w:rPr>
                              <w:t>Agedcarequality.gov.au</w:t>
                            </w:r>
                          </w:p>
                          <w:p w14:paraId="78B827E4" w14:textId="77777777" w:rsidR="00E61645" w:rsidRDefault="00E616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D92A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681E0D9" w14:textId="77777777" w:rsidR="00E61645" w:rsidRDefault="00E6164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F9BA606" w14:textId="77777777" w:rsidR="00E61645" w:rsidRPr="001E694D" w:rsidRDefault="00E6164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13CE8B4" w14:textId="77777777" w:rsidR="00E61645" w:rsidRPr="001E694D" w:rsidRDefault="00E61645" w:rsidP="009504D0">
                      <w:pPr>
                        <w:pStyle w:val="ContactNumber"/>
                        <w:spacing w:after="600"/>
                        <w:rPr>
                          <w:rFonts w:ascii="Open Sans" w:hAnsi="Open Sans" w:cs="Open Sans"/>
                        </w:rPr>
                      </w:pPr>
                      <w:r w:rsidRPr="001E694D">
                        <w:rPr>
                          <w:rFonts w:ascii="Open Sans" w:hAnsi="Open Sans" w:cs="Open Sans"/>
                        </w:rPr>
                        <w:t>Agedcarequality.gov.au</w:t>
                      </w:r>
                    </w:p>
                    <w:p w14:paraId="78B827E4" w14:textId="77777777" w:rsidR="00E61645" w:rsidRDefault="00E61645"/>
                  </w:txbxContent>
                </v:textbox>
                <w10:wrap type="square"/>
              </v:shape>
            </w:pict>
          </mc:Fallback>
        </mc:AlternateContent>
      </w:r>
      <w:r w:rsidR="00E61645">
        <w:rPr>
          <w:noProof/>
        </w:rPr>
        <w:drawing>
          <wp:anchor distT="360045" distB="180340" distL="114300" distR="114300" simplePos="0" relativeHeight="251659264" behindDoc="1" locked="0" layoutInCell="1" allowOverlap="1" wp14:anchorId="79BF4BCE" wp14:editId="3ACC20D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F8DDDBA" w14:textId="77777777" w:rsidR="00E61645" w:rsidRPr="001E694D" w:rsidRDefault="00E61645" w:rsidP="001E694D">
      <w:pPr>
        <w:tabs>
          <w:tab w:val="left" w:pos="4569"/>
        </w:tabs>
        <w:rPr>
          <w:rFonts w:ascii="Open Sans" w:hAnsi="Open Sans" w:cs="Open Sans"/>
          <w:color w:val="FFFFFF" w:themeColor="background1"/>
          <w:sz w:val="66"/>
          <w:szCs w:val="66"/>
        </w:rPr>
      </w:pPr>
    </w:p>
    <w:p w14:paraId="008025A1" w14:textId="77777777" w:rsidR="00E61645" w:rsidRDefault="00E61645" w:rsidP="00372ED2">
      <w:pPr>
        <w:spacing w:after="0"/>
        <w:rPr>
          <w:rFonts w:ascii="Open Sans" w:hAnsi="Open Sans" w:cs="Open Sans"/>
          <w:b/>
          <w:bCs/>
          <w:color w:val="FFFFFF" w:themeColor="background1"/>
          <w:sz w:val="66"/>
          <w:szCs w:val="66"/>
        </w:rPr>
      </w:pPr>
    </w:p>
    <w:p w14:paraId="4F304B1C" w14:textId="77777777" w:rsidR="00E61645" w:rsidRDefault="00E61645" w:rsidP="00372ED2">
      <w:pPr>
        <w:spacing w:after="0"/>
        <w:rPr>
          <w:rFonts w:ascii="Open Sans" w:hAnsi="Open Sans" w:cs="Open Sans"/>
          <w:b/>
          <w:bCs/>
          <w:color w:val="FFFFFF" w:themeColor="background1"/>
          <w:sz w:val="66"/>
          <w:szCs w:val="66"/>
        </w:rPr>
      </w:pPr>
    </w:p>
    <w:p w14:paraId="0ABE3ECD" w14:textId="77777777" w:rsidR="00E61645" w:rsidRPr="00412FC5" w:rsidRDefault="00E6164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923B31" w14:paraId="7C7642E0" w14:textId="77777777" w:rsidTr="00923B31">
        <w:tc>
          <w:tcPr>
            <w:cnfStyle w:val="001000000000" w:firstRow="0" w:lastRow="0" w:firstColumn="1" w:lastColumn="0" w:oddVBand="0" w:evenVBand="0" w:oddHBand="0" w:evenHBand="0" w:firstRowFirstColumn="0" w:firstRowLastColumn="0" w:lastRowFirstColumn="0" w:lastRowLastColumn="0"/>
            <w:tcW w:w="3227" w:type="dxa"/>
          </w:tcPr>
          <w:p w14:paraId="3F7C044E" w14:textId="77777777" w:rsidR="00E61645" w:rsidRPr="001E694D" w:rsidRDefault="00E6164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3BE0944" w14:textId="77777777" w:rsidR="00E61645" w:rsidRPr="001E694D" w:rsidRDefault="00E6164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Calare (PKA - Calare Residential Aged Care Facility)</w:t>
            </w:r>
          </w:p>
        </w:tc>
      </w:tr>
      <w:tr w:rsidR="00923B31" w14:paraId="18D44EEC" w14:textId="77777777" w:rsidTr="00923B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F08F06" w14:textId="77777777" w:rsidR="00E61645" w:rsidRPr="001E694D" w:rsidRDefault="00E6164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AABB891" w14:textId="77777777" w:rsidR="00E61645" w:rsidRPr="001E694D" w:rsidRDefault="00E6164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2591</w:t>
            </w:r>
          </w:p>
        </w:tc>
      </w:tr>
      <w:tr w:rsidR="00923B31" w14:paraId="5126BA16" w14:textId="77777777" w:rsidTr="00923B3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E468B6" w14:textId="77777777" w:rsidR="00E61645" w:rsidRPr="001E694D" w:rsidRDefault="00E6164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C91D1B5" w14:textId="77777777" w:rsidR="00E61645" w:rsidRPr="001E694D" w:rsidRDefault="00E6164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124 March</w:t>
            </w:r>
            <w:r w:rsidRPr="001E694D">
              <w:rPr>
                <w:rFonts w:ascii="Open Sans" w:eastAsia="Times New Roman" w:hAnsi="Open Sans" w:cs="Open Sans"/>
                <w:lang w:eastAsia="en-AU"/>
              </w:rPr>
              <w:t xml:space="preserve"> Street, ORANGE, New South Wales, 2800</w:t>
            </w:r>
          </w:p>
        </w:tc>
      </w:tr>
      <w:tr w:rsidR="00923B31" w14:paraId="584C6420" w14:textId="77777777" w:rsidTr="00923B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5BDB3B6" w14:textId="77777777" w:rsidR="00E61645" w:rsidRPr="001E694D" w:rsidRDefault="00E6164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9A41F29" w14:textId="77777777" w:rsidR="00E61645" w:rsidRPr="001E694D" w:rsidRDefault="00E6164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923B31" w14:paraId="0ACD3158" w14:textId="77777777" w:rsidTr="00923B3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A9FF9D" w14:textId="77777777" w:rsidR="00E61645" w:rsidRPr="001E694D" w:rsidRDefault="00E6164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5BFD14C" w14:textId="77777777" w:rsidR="00E61645" w:rsidRPr="001E694D" w:rsidRDefault="00E6164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5 March 2025</w:t>
            </w:r>
          </w:p>
        </w:tc>
      </w:tr>
      <w:tr w:rsidR="00923B31" w14:paraId="658EBA93" w14:textId="77777777" w:rsidTr="00923B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CEAC38C" w14:textId="77777777" w:rsidR="00E61645" w:rsidRPr="001E694D" w:rsidRDefault="00E6164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09626876"/>
            <w:placeholder>
              <w:docPart w:val="DefaultPlaceholder_-1854013437"/>
            </w:placeholder>
            <w:date w:fullDate="2025-03-28T00:00:00Z">
              <w:dateFormat w:val="d MMMM yyyy"/>
              <w:lid w:val="en-AU"/>
              <w:storeMappedDataAs w:val="dateTime"/>
              <w:calendar w:val="gregorian"/>
            </w:date>
          </w:sdtPr>
          <w:sdtEndPr/>
          <w:sdtContent>
            <w:tc>
              <w:tcPr>
                <w:tcW w:w="7114" w:type="dxa"/>
                <w:shd w:val="clear" w:color="auto" w:fill="FFFFFF" w:themeFill="background1"/>
              </w:tcPr>
              <w:p w14:paraId="555CD61B" w14:textId="235AB050" w:rsidR="00E61645" w:rsidRPr="001E694D" w:rsidRDefault="00D512B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28 March 2025</w:t>
                </w:r>
              </w:p>
            </w:tc>
          </w:sdtContent>
        </w:sdt>
      </w:tr>
      <w:tr w:rsidR="00923B31" w14:paraId="31A12223" w14:textId="77777777" w:rsidTr="00923B3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F988167" w14:textId="77777777" w:rsidR="00E61645" w:rsidRPr="001E694D" w:rsidRDefault="00E6164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8A92AC2" w14:textId="77777777" w:rsidR="00E61645" w:rsidRPr="001E694D" w:rsidRDefault="00E6164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5CD9FBE3" w14:textId="77777777" w:rsidR="00E61645" w:rsidRPr="001E694D" w:rsidRDefault="00E6164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961 Bolton Clarke Calare (PKA - Calare Residential Aged Care Facility)</w:t>
            </w:r>
          </w:p>
        </w:tc>
      </w:tr>
    </w:tbl>
    <w:bookmarkEnd w:id="0"/>
    <w:p w14:paraId="0DA7570F" w14:textId="77777777" w:rsidR="00E61645" w:rsidRPr="001E694D" w:rsidRDefault="00E6164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7C392B8" w14:textId="77777777" w:rsidR="00E61645" w:rsidRPr="003E162B" w:rsidRDefault="00E6164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4E0867E" w14:textId="77777777" w:rsidR="00E61645" w:rsidRPr="001E694D" w:rsidRDefault="00E6164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Calare (PKA - Calare Residential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4946DF5" w14:textId="77777777" w:rsidR="00E61645" w:rsidRPr="001E694D" w:rsidRDefault="00E6164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D4B3636" w14:textId="77777777" w:rsidR="00E61645" w:rsidRPr="001E694D" w:rsidRDefault="00E6164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96B5FCE" w14:textId="77777777" w:rsidR="00E61645" w:rsidRPr="003E162B" w:rsidRDefault="00E6164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7471F6D" w14:textId="77777777" w:rsidR="00E61645" w:rsidRPr="001E694D" w:rsidRDefault="00E6164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E8D7E47" w14:textId="26A5A77B" w:rsidR="00E61645" w:rsidRPr="00FA191C" w:rsidRDefault="00E61645" w:rsidP="00712752">
      <w:pPr>
        <w:pStyle w:val="ListParagraph"/>
        <w:numPr>
          <w:ilvl w:val="0"/>
          <w:numId w:val="2"/>
        </w:numPr>
        <w:spacing w:line="240" w:lineRule="atLeast"/>
        <w:ind w:left="714" w:hanging="357"/>
        <w:contextualSpacing w:val="0"/>
        <w:rPr>
          <w:rFonts w:ascii="Open Sans" w:hAnsi="Open Sans" w:cs="Open Sans"/>
          <w:color w:val="auto"/>
        </w:rPr>
      </w:pPr>
      <w:r w:rsidRPr="00FA191C">
        <w:rPr>
          <w:rFonts w:ascii="Open Sans" w:hAnsi="Open Sans" w:cs="Open Sans"/>
          <w:color w:val="auto"/>
        </w:rPr>
        <w:t xml:space="preserve">the </w:t>
      </w:r>
      <w:r w:rsidR="000F7F1F" w:rsidRPr="00FA191C">
        <w:rPr>
          <w:rFonts w:ascii="Open Sans" w:hAnsi="Open Sans" w:cs="Open Sans"/>
          <w:color w:val="auto"/>
        </w:rPr>
        <w:t>A</w:t>
      </w:r>
      <w:r w:rsidRPr="00FA191C">
        <w:rPr>
          <w:rFonts w:ascii="Open Sans" w:hAnsi="Open Sans" w:cs="Open Sans"/>
          <w:color w:val="auto"/>
        </w:rPr>
        <w:t xml:space="preserve">ssessment </w:t>
      </w:r>
      <w:r w:rsidR="000F7F1F" w:rsidRPr="00FA191C">
        <w:rPr>
          <w:rFonts w:ascii="Open Sans" w:hAnsi="Open Sans" w:cs="Open Sans"/>
          <w:color w:val="auto"/>
        </w:rPr>
        <w:t>T</w:t>
      </w:r>
      <w:r w:rsidRPr="00FA191C">
        <w:rPr>
          <w:rFonts w:ascii="Open Sans" w:hAnsi="Open Sans" w:cs="Open Sans"/>
          <w:color w:val="auto"/>
        </w:rPr>
        <w:t>eam’s report for the Assessment contact (performance assessment) – site report was informed by a site assessment, observations at the service, review of documents and interviews with staff, older people/representatives and others</w:t>
      </w:r>
    </w:p>
    <w:p w14:paraId="51657189" w14:textId="72405019" w:rsidR="00E61645" w:rsidRPr="001E694D" w:rsidRDefault="00050372" w:rsidP="00712752">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 xml:space="preserve">other information and intelligence held by the Commission in relation to the service. </w:t>
      </w:r>
    </w:p>
    <w:p w14:paraId="081EB871" w14:textId="1EA9E902" w:rsidR="00E61645" w:rsidRPr="001E694D" w:rsidRDefault="00E61645"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D9671EA" w14:textId="77777777" w:rsidR="00E61645" w:rsidRPr="003E162B" w:rsidRDefault="00E6164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23B31" w14:paraId="44E35DAB" w14:textId="77777777" w:rsidTr="00923B3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599E87B" w14:textId="77777777" w:rsidR="00E61645" w:rsidRPr="001E694D" w:rsidRDefault="00E61645"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FA191C">
              <w:rPr>
                <w:rFonts w:ascii="Open Sans" w:hAnsi="Open Sans" w:cs="Open Sans"/>
                <w:b w:val="0"/>
                <w:bCs/>
              </w:rPr>
              <w:t>Ongoing assessment and planning with consumers</w:t>
            </w:r>
          </w:p>
        </w:tc>
        <w:tc>
          <w:tcPr>
            <w:tcW w:w="1060" w:type="pct"/>
            <w:shd w:val="clear" w:color="auto" w:fill="auto"/>
          </w:tcPr>
          <w:p w14:paraId="4C7879BE" w14:textId="1CC164B3" w:rsidR="00E61645" w:rsidRPr="001E694D" w:rsidRDefault="00FA191C"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 xml:space="preserve">Not applicable as </w:t>
            </w:r>
            <w:r w:rsidR="00A5796D">
              <w:rPr>
                <w:rFonts w:ascii="Open Sans" w:hAnsi="Open Sans" w:cs="Open Sans"/>
                <w:bCs/>
              </w:rPr>
              <w:t>n</w:t>
            </w:r>
            <w:r>
              <w:rPr>
                <w:rFonts w:ascii="Open Sans" w:hAnsi="Open Sans" w:cs="Open Sans"/>
                <w:bCs/>
              </w:rPr>
              <w:t>ot all Requirements were assessed</w:t>
            </w:r>
          </w:p>
        </w:tc>
      </w:tr>
      <w:tr w:rsidR="00923B31" w14:paraId="15A875ED" w14:textId="77777777" w:rsidTr="00923B3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8D3552" w14:textId="77777777" w:rsidR="00E61645" w:rsidRPr="001E694D" w:rsidRDefault="00E6164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1438095" w14:textId="4CCEFB40" w:rsidR="00E61645" w:rsidRPr="001E694D" w:rsidRDefault="00205D3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205D36">
              <w:rPr>
                <w:rFonts w:ascii="Open Sans" w:hAnsi="Open Sans" w:cs="Open Sans"/>
                <w:b/>
                <w:bCs/>
              </w:rPr>
              <w:t xml:space="preserve">Not applicable as </w:t>
            </w:r>
            <w:r w:rsidR="00A5796D">
              <w:rPr>
                <w:rFonts w:ascii="Open Sans" w:hAnsi="Open Sans" w:cs="Open Sans"/>
                <w:b/>
                <w:bCs/>
              </w:rPr>
              <w:t>n</w:t>
            </w:r>
            <w:r w:rsidRPr="00205D36">
              <w:rPr>
                <w:rFonts w:ascii="Open Sans" w:hAnsi="Open Sans" w:cs="Open Sans"/>
                <w:b/>
                <w:bCs/>
              </w:rPr>
              <w:t xml:space="preserve">ot all Requirements were assessed </w:t>
            </w:r>
          </w:p>
        </w:tc>
      </w:tr>
      <w:tr w:rsidR="00923B31" w14:paraId="704FCD37" w14:textId="77777777" w:rsidTr="00923B3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F3A1D1" w14:textId="77777777" w:rsidR="00E61645" w:rsidRPr="001E694D" w:rsidRDefault="00E6164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693D49A" w14:textId="2B36B3DD" w:rsidR="00E61645" w:rsidRPr="001E694D" w:rsidRDefault="00205D3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205D36">
              <w:rPr>
                <w:rFonts w:ascii="Open Sans" w:hAnsi="Open Sans" w:cs="Open Sans"/>
                <w:b/>
                <w:bCs/>
              </w:rPr>
              <w:t xml:space="preserve">Not applicable as </w:t>
            </w:r>
            <w:r w:rsidR="00A5796D">
              <w:rPr>
                <w:rFonts w:ascii="Open Sans" w:hAnsi="Open Sans" w:cs="Open Sans"/>
                <w:b/>
                <w:bCs/>
              </w:rPr>
              <w:t>n</w:t>
            </w:r>
            <w:r w:rsidRPr="00205D36">
              <w:rPr>
                <w:rFonts w:ascii="Open Sans" w:hAnsi="Open Sans" w:cs="Open Sans"/>
                <w:b/>
                <w:bCs/>
              </w:rPr>
              <w:t xml:space="preserve">ot all Requirements were assessed </w:t>
            </w:r>
          </w:p>
        </w:tc>
      </w:tr>
    </w:tbl>
    <w:p w14:paraId="4080BCCD" w14:textId="77777777" w:rsidR="00E61645" w:rsidRPr="001E694D" w:rsidRDefault="00E6164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5D7EE33" w14:textId="77777777" w:rsidR="00E61645" w:rsidRPr="003E162B" w:rsidRDefault="00E6164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B72DA82" w14:textId="77777777" w:rsidR="00E61645" w:rsidRPr="001E694D" w:rsidRDefault="00E6164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181B78F" w14:textId="2B80163A" w:rsidR="00E61645" w:rsidRPr="001E694D" w:rsidRDefault="00E61645" w:rsidP="0036130C">
      <w:pPr>
        <w:pStyle w:val="NormalArial"/>
        <w:rPr>
          <w:rFonts w:ascii="Open Sans" w:hAnsi="Open Sans" w:cs="Open Sans"/>
        </w:rPr>
      </w:pPr>
      <w:r w:rsidRPr="001E694D">
        <w:rPr>
          <w:rFonts w:ascii="Open Sans" w:hAnsi="Open Sans" w:cs="Open Sans"/>
        </w:rPr>
        <w:br w:type="page"/>
      </w:r>
    </w:p>
    <w:p w14:paraId="56A1C3CF" w14:textId="77777777" w:rsidR="00E61645" w:rsidRPr="001E694D" w:rsidRDefault="00E6164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923B31" w14:paraId="3CF35371" w14:textId="77777777" w:rsidTr="00B73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16E1AEB3" w14:textId="77777777" w:rsidR="00E61645" w:rsidRPr="001E694D" w:rsidRDefault="00E6164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6AF7BBFA" w14:textId="77777777" w:rsidR="00E61645" w:rsidRPr="001E694D" w:rsidRDefault="00E6164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23B31" w14:paraId="045A0D43" w14:textId="77777777" w:rsidTr="00B736EF">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4B41D721" w14:textId="77777777" w:rsidR="00E61645" w:rsidRPr="001E694D" w:rsidRDefault="00E61645" w:rsidP="002C5FA9">
            <w:pPr>
              <w:spacing w:line="22" w:lineRule="atLeast"/>
              <w:rPr>
                <w:rFonts w:ascii="Open Sans" w:hAnsi="Open Sans" w:cs="Open Sans"/>
              </w:rPr>
            </w:pPr>
            <w:r w:rsidRPr="001E694D">
              <w:rPr>
                <w:rFonts w:ascii="Open Sans" w:hAnsi="Open Sans" w:cs="Open Sans"/>
              </w:rPr>
              <w:t>Requirement 2(3)(b)</w:t>
            </w:r>
          </w:p>
        </w:tc>
        <w:tc>
          <w:tcPr>
            <w:tcW w:w="3181" w:type="pct"/>
            <w:shd w:val="clear" w:color="auto" w:fill="auto"/>
          </w:tcPr>
          <w:p w14:paraId="37E6FB6F" w14:textId="77777777" w:rsidR="00E61645" w:rsidRPr="001E694D" w:rsidRDefault="00E61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12" w:type="pct"/>
            <w:shd w:val="clear" w:color="auto" w:fill="auto"/>
          </w:tcPr>
          <w:p w14:paraId="3348A120" w14:textId="77777777" w:rsidR="00E61645" w:rsidRPr="001E694D" w:rsidRDefault="008A17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667987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61645" w:rsidRPr="001E694D">
                  <w:rPr>
                    <w:rFonts w:ascii="Open Sans" w:hAnsi="Open Sans" w:cs="Open Sans"/>
                  </w:rPr>
                  <w:t>Compliant</w:t>
                </w:r>
              </w:sdtContent>
            </w:sdt>
          </w:p>
        </w:tc>
      </w:tr>
    </w:tbl>
    <w:p w14:paraId="45F9D2CF" w14:textId="77777777" w:rsidR="00E61645" w:rsidRPr="003E162B" w:rsidRDefault="00E61645" w:rsidP="00D87E7C">
      <w:pPr>
        <w:pStyle w:val="Heading20"/>
        <w:rPr>
          <w:rFonts w:ascii="Open Sans" w:hAnsi="Open Sans" w:cs="Open Sans"/>
          <w:color w:val="781E77"/>
        </w:rPr>
      </w:pPr>
      <w:r w:rsidRPr="003E162B">
        <w:rPr>
          <w:rFonts w:ascii="Open Sans" w:hAnsi="Open Sans" w:cs="Open Sans"/>
          <w:color w:val="781E77"/>
        </w:rPr>
        <w:t>Findings</w:t>
      </w:r>
    </w:p>
    <w:p w14:paraId="0608BF3C" w14:textId="77777777" w:rsidR="00881632" w:rsidRDefault="00037E26" w:rsidP="0036130C">
      <w:pPr>
        <w:pStyle w:val="NormalArial"/>
        <w:rPr>
          <w:rFonts w:ascii="Open Sans" w:hAnsi="Open Sans" w:cs="Open Sans"/>
        </w:rPr>
      </w:pPr>
      <w:r>
        <w:rPr>
          <w:rFonts w:ascii="Open Sans" w:hAnsi="Open Sans" w:cs="Open Sans"/>
        </w:rPr>
        <w:t>C</w:t>
      </w:r>
      <w:r w:rsidRPr="00037E26">
        <w:rPr>
          <w:rFonts w:ascii="Open Sans" w:hAnsi="Open Sans" w:cs="Open Sans"/>
        </w:rPr>
        <w:t xml:space="preserve">onsumers’ assessment and planning </w:t>
      </w:r>
      <w:r>
        <w:rPr>
          <w:rFonts w:ascii="Open Sans" w:hAnsi="Open Sans" w:cs="Open Sans"/>
        </w:rPr>
        <w:t>was</w:t>
      </w:r>
      <w:r w:rsidRPr="00037E26">
        <w:rPr>
          <w:rFonts w:ascii="Open Sans" w:hAnsi="Open Sans" w:cs="Open Sans"/>
        </w:rPr>
        <w:t xml:space="preserve"> reflective of the consumers’ current needs, goals and preferences, including advance care planning, end of life planning and COVID-19 vaccinations. Staff describe</w:t>
      </w:r>
      <w:r>
        <w:rPr>
          <w:rFonts w:ascii="Open Sans" w:hAnsi="Open Sans" w:cs="Open Sans"/>
        </w:rPr>
        <w:t>d</w:t>
      </w:r>
      <w:r w:rsidRPr="00037E26">
        <w:rPr>
          <w:rFonts w:ascii="Open Sans" w:hAnsi="Open Sans" w:cs="Open Sans"/>
        </w:rPr>
        <w:t xml:space="preserve"> what </w:t>
      </w:r>
      <w:r>
        <w:rPr>
          <w:rFonts w:ascii="Open Sans" w:hAnsi="Open Sans" w:cs="Open Sans"/>
        </w:rPr>
        <w:t>was</w:t>
      </w:r>
      <w:r w:rsidRPr="00037E26">
        <w:rPr>
          <w:rFonts w:ascii="Open Sans" w:hAnsi="Open Sans" w:cs="Open Sans"/>
        </w:rPr>
        <w:t xml:space="preserve"> important to the consumer in terms of how their care </w:t>
      </w:r>
      <w:r w:rsidR="009A1276">
        <w:rPr>
          <w:rFonts w:ascii="Open Sans" w:hAnsi="Open Sans" w:cs="Open Sans"/>
        </w:rPr>
        <w:t>was</w:t>
      </w:r>
      <w:r w:rsidRPr="00037E26">
        <w:rPr>
          <w:rFonts w:ascii="Open Sans" w:hAnsi="Open Sans" w:cs="Open Sans"/>
        </w:rPr>
        <w:t xml:space="preserve"> delivered. </w:t>
      </w:r>
      <w:r w:rsidR="009A1276">
        <w:rPr>
          <w:rFonts w:ascii="Open Sans" w:hAnsi="Open Sans" w:cs="Open Sans"/>
        </w:rPr>
        <w:t>E</w:t>
      </w:r>
      <w:r w:rsidRPr="00037E26">
        <w:rPr>
          <w:rFonts w:ascii="Open Sans" w:hAnsi="Open Sans" w:cs="Open Sans"/>
        </w:rPr>
        <w:t xml:space="preserve">nd of life care planning discussions </w:t>
      </w:r>
      <w:r w:rsidR="009A1276">
        <w:rPr>
          <w:rFonts w:ascii="Open Sans" w:hAnsi="Open Sans" w:cs="Open Sans"/>
        </w:rPr>
        <w:t>were</w:t>
      </w:r>
      <w:r w:rsidRPr="00037E26">
        <w:rPr>
          <w:rFonts w:ascii="Open Sans" w:hAnsi="Open Sans" w:cs="Open Sans"/>
        </w:rPr>
        <w:t xml:space="preserve"> offered with consumers and representatives on entry to the service or when the consumers condition changes. </w:t>
      </w:r>
    </w:p>
    <w:p w14:paraId="0B01DF54" w14:textId="77777777" w:rsidR="002D486A" w:rsidRDefault="00881632" w:rsidP="0036130C">
      <w:pPr>
        <w:pStyle w:val="NormalArial"/>
        <w:rPr>
          <w:rFonts w:ascii="Open Sans" w:hAnsi="Open Sans" w:cs="Open Sans"/>
        </w:rPr>
      </w:pPr>
      <w:r w:rsidRPr="00881632">
        <w:rPr>
          <w:rFonts w:ascii="Open Sans" w:hAnsi="Open Sans" w:cs="Open Sans"/>
        </w:rPr>
        <w:t>The Service introduced a COVID-19 vaccination consent form which provide</w:t>
      </w:r>
      <w:r>
        <w:rPr>
          <w:rFonts w:ascii="Open Sans" w:hAnsi="Open Sans" w:cs="Open Sans"/>
        </w:rPr>
        <w:t>d</w:t>
      </w:r>
      <w:r w:rsidRPr="00881632">
        <w:rPr>
          <w:rFonts w:ascii="Open Sans" w:hAnsi="Open Sans" w:cs="Open Sans"/>
        </w:rPr>
        <w:t xml:space="preserve"> information to the consumer and representatives regarding the current vaccination recommendations including age related guidelines. The consent form ha</w:t>
      </w:r>
      <w:r w:rsidR="003D7F72">
        <w:rPr>
          <w:rFonts w:ascii="Open Sans" w:hAnsi="Open Sans" w:cs="Open Sans"/>
        </w:rPr>
        <w:t>d</w:t>
      </w:r>
      <w:r w:rsidRPr="00881632">
        <w:rPr>
          <w:rFonts w:ascii="Open Sans" w:hAnsi="Open Sans" w:cs="Open Sans"/>
        </w:rPr>
        <w:t xml:space="preserve"> assessment questions designed to screen the consumer for potential risks of receiving the vaccination. </w:t>
      </w:r>
      <w:r w:rsidR="003D7F72">
        <w:rPr>
          <w:rFonts w:ascii="Open Sans" w:hAnsi="Open Sans" w:cs="Open Sans"/>
        </w:rPr>
        <w:t>C</w:t>
      </w:r>
      <w:r w:rsidRPr="00881632">
        <w:rPr>
          <w:rFonts w:ascii="Open Sans" w:hAnsi="Open Sans" w:cs="Open Sans"/>
        </w:rPr>
        <w:t>onsumer files</w:t>
      </w:r>
      <w:r w:rsidR="003D7F72">
        <w:rPr>
          <w:rFonts w:ascii="Open Sans" w:hAnsi="Open Sans" w:cs="Open Sans"/>
        </w:rPr>
        <w:t xml:space="preserve"> evidenced </w:t>
      </w:r>
      <w:r w:rsidRPr="00881632">
        <w:rPr>
          <w:rFonts w:ascii="Open Sans" w:hAnsi="Open Sans" w:cs="Open Sans"/>
        </w:rPr>
        <w:t xml:space="preserve">consent forms </w:t>
      </w:r>
      <w:r w:rsidR="003D7F72">
        <w:rPr>
          <w:rFonts w:ascii="Open Sans" w:hAnsi="Open Sans" w:cs="Open Sans"/>
        </w:rPr>
        <w:t xml:space="preserve">were </w:t>
      </w:r>
      <w:r w:rsidRPr="00881632">
        <w:rPr>
          <w:rFonts w:ascii="Open Sans" w:hAnsi="Open Sans" w:cs="Open Sans"/>
        </w:rPr>
        <w:t xml:space="preserve">in place demonstrating written or verbal consent was obtained before the consumer received the COVID-19 vaccination. </w:t>
      </w:r>
    </w:p>
    <w:p w14:paraId="2FE82034" w14:textId="77777777" w:rsidR="00F73684" w:rsidRDefault="002D486A" w:rsidP="0036130C">
      <w:pPr>
        <w:pStyle w:val="NormalArial"/>
        <w:rPr>
          <w:rFonts w:ascii="Open Sans" w:hAnsi="Open Sans" w:cs="Open Sans"/>
        </w:rPr>
      </w:pPr>
      <w:r w:rsidRPr="002D486A">
        <w:rPr>
          <w:rFonts w:ascii="Open Sans" w:hAnsi="Open Sans" w:cs="Open Sans"/>
        </w:rPr>
        <w:t xml:space="preserve">Management </w:t>
      </w:r>
      <w:r>
        <w:rPr>
          <w:rFonts w:ascii="Open Sans" w:hAnsi="Open Sans" w:cs="Open Sans"/>
        </w:rPr>
        <w:t xml:space="preserve">committed to </w:t>
      </w:r>
      <w:r w:rsidRPr="002D486A">
        <w:rPr>
          <w:rFonts w:ascii="Open Sans" w:hAnsi="Open Sans" w:cs="Open Sans"/>
        </w:rPr>
        <w:t>conduct</w:t>
      </w:r>
      <w:r>
        <w:rPr>
          <w:rFonts w:ascii="Open Sans" w:hAnsi="Open Sans" w:cs="Open Sans"/>
        </w:rPr>
        <w:t>ing</w:t>
      </w:r>
      <w:r w:rsidRPr="002D486A">
        <w:rPr>
          <w:rFonts w:ascii="Open Sans" w:hAnsi="Open Sans" w:cs="Open Sans"/>
        </w:rPr>
        <w:t xml:space="preserve"> a follow up with the consumers and representative who refused the COVID-19 vaccinations in the near future to ensure they have not changed their preference. Management </w:t>
      </w:r>
      <w:r w:rsidR="00F73684">
        <w:rPr>
          <w:rFonts w:ascii="Open Sans" w:hAnsi="Open Sans" w:cs="Open Sans"/>
        </w:rPr>
        <w:t xml:space="preserve">stated </w:t>
      </w:r>
      <w:r w:rsidRPr="002D486A">
        <w:rPr>
          <w:rFonts w:ascii="Open Sans" w:hAnsi="Open Sans" w:cs="Open Sans"/>
        </w:rPr>
        <w:t>consent w</w:t>
      </w:r>
      <w:r w:rsidR="00F73684">
        <w:rPr>
          <w:rFonts w:ascii="Open Sans" w:hAnsi="Open Sans" w:cs="Open Sans"/>
        </w:rPr>
        <w:t>ould</w:t>
      </w:r>
      <w:r w:rsidRPr="002D486A">
        <w:rPr>
          <w:rFonts w:ascii="Open Sans" w:hAnsi="Open Sans" w:cs="Open Sans"/>
        </w:rPr>
        <w:t xml:space="preserve"> be sought and documented before each vaccination clinic in the future.</w:t>
      </w:r>
    </w:p>
    <w:p w14:paraId="0A9349F7" w14:textId="6DF9DDB1" w:rsidR="00E61645" w:rsidRPr="001E694D" w:rsidRDefault="0013009D" w:rsidP="0036130C">
      <w:pPr>
        <w:pStyle w:val="NormalArial"/>
        <w:rPr>
          <w:rFonts w:ascii="Open Sans" w:hAnsi="Open Sans" w:cs="Open Sans"/>
        </w:rPr>
      </w:pPr>
      <w:r>
        <w:rPr>
          <w:rFonts w:ascii="Open Sans" w:hAnsi="Open Sans" w:cs="Open Sans"/>
        </w:rPr>
        <w:t>Assessment and planning processes identified and addressed the current needs of the consumer including their preference</w:t>
      </w:r>
      <w:r w:rsidR="00D23A6F">
        <w:rPr>
          <w:rFonts w:ascii="Open Sans" w:hAnsi="Open Sans" w:cs="Open Sans"/>
        </w:rPr>
        <w:t>s</w:t>
      </w:r>
      <w:r w:rsidR="00FB776A">
        <w:rPr>
          <w:rFonts w:ascii="Open Sans" w:hAnsi="Open Sans" w:cs="Open Sans"/>
        </w:rPr>
        <w:t xml:space="preserve"> relating to COVID-19 vacci</w:t>
      </w:r>
      <w:r w:rsidR="004765C2">
        <w:rPr>
          <w:rFonts w:ascii="Open Sans" w:hAnsi="Open Sans" w:cs="Open Sans"/>
        </w:rPr>
        <w:t xml:space="preserve">nations, therefore this Requirement is Compliant. </w:t>
      </w:r>
      <w:r w:rsidR="00E61645" w:rsidRPr="001E694D">
        <w:rPr>
          <w:rFonts w:ascii="Open Sans" w:hAnsi="Open Sans" w:cs="Open Sans"/>
        </w:rPr>
        <w:br w:type="page"/>
      </w:r>
    </w:p>
    <w:p w14:paraId="4F894858" w14:textId="77777777" w:rsidR="00E61645" w:rsidRPr="001E694D" w:rsidRDefault="00E6164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923B31" w14:paraId="4CDE917C" w14:textId="77777777" w:rsidTr="00B73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60A939F9" w14:textId="77777777" w:rsidR="00E61645" w:rsidRPr="001E694D" w:rsidRDefault="00E6164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5721F5C6" w14:textId="77777777" w:rsidR="00E61645" w:rsidRPr="001E694D" w:rsidRDefault="00E6164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23B31" w14:paraId="18CBE64E" w14:textId="77777777" w:rsidTr="00B73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F2FBB" w14:textId="77777777" w:rsidR="00E61645" w:rsidRPr="001E694D" w:rsidRDefault="00E61645" w:rsidP="002C5FA9">
            <w:pPr>
              <w:spacing w:line="22" w:lineRule="atLeast"/>
              <w:rPr>
                <w:rFonts w:ascii="Open Sans" w:hAnsi="Open Sans" w:cs="Open Sans"/>
              </w:rPr>
            </w:pPr>
            <w:r w:rsidRPr="001E694D">
              <w:rPr>
                <w:rFonts w:ascii="Open Sans" w:hAnsi="Open Sans" w:cs="Open Sans"/>
              </w:rPr>
              <w:t>Requirement 3(3)(e)</w:t>
            </w:r>
          </w:p>
        </w:tc>
        <w:tc>
          <w:tcPr>
            <w:tcW w:w="5694" w:type="dxa"/>
            <w:shd w:val="clear" w:color="auto" w:fill="auto"/>
          </w:tcPr>
          <w:p w14:paraId="3186F16D" w14:textId="77777777" w:rsidR="00E61645" w:rsidRPr="001E694D" w:rsidRDefault="00E61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871" w:type="dxa"/>
            <w:shd w:val="clear" w:color="auto" w:fill="auto"/>
          </w:tcPr>
          <w:p w14:paraId="20E8A9EE" w14:textId="77777777" w:rsidR="00E61645" w:rsidRPr="001E694D" w:rsidRDefault="008A17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213056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61645" w:rsidRPr="001E694D">
                  <w:rPr>
                    <w:rFonts w:ascii="Open Sans" w:hAnsi="Open Sans" w:cs="Open Sans"/>
                  </w:rPr>
                  <w:t>Compliant</w:t>
                </w:r>
              </w:sdtContent>
            </w:sdt>
          </w:p>
        </w:tc>
      </w:tr>
    </w:tbl>
    <w:p w14:paraId="2E3FD9F0" w14:textId="77777777" w:rsidR="00E61645" w:rsidRPr="003E162B" w:rsidRDefault="00E61645" w:rsidP="00D87E7C">
      <w:pPr>
        <w:pStyle w:val="Heading20"/>
        <w:rPr>
          <w:rFonts w:ascii="Open Sans" w:hAnsi="Open Sans" w:cs="Open Sans"/>
          <w:color w:val="781E77"/>
        </w:rPr>
      </w:pPr>
      <w:r w:rsidRPr="003E162B">
        <w:rPr>
          <w:rFonts w:ascii="Open Sans" w:hAnsi="Open Sans" w:cs="Open Sans"/>
          <w:color w:val="781E77"/>
        </w:rPr>
        <w:t>Findings</w:t>
      </w:r>
    </w:p>
    <w:p w14:paraId="596D8A92" w14:textId="77777777" w:rsidR="00EF35FE" w:rsidRDefault="00841E1C" w:rsidP="0036130C">
      <w:pPr>
        <w:pStyle w:val="NormalArial"/>
        <w:rPr>
          <w:rFonts w:ascii="Open Sans" w:hAnsi="Open Sans" w:cs="Open Sans"/>
        </w:rPr>
      </w:pPr>
      <w:r w:rsidRPr="00841E1C">
        <w:rPr>
          <w:rFonts w:ascii="Open Sans" w:hAnsi="Open Sans" w:cs="Open Sans"/>
        </w:rPr>
        <w:t xml:space="preserve">Documentation and interviews with consumers, representatives and staff </w:t>
      </w:r>
      <w:r>
        <w:rPr>
          <w:rFonts w:ascii="Open Sans" w:hAnsi="Open Sans" w:cs="Open Sans"/>
        </w:rPr>
        <w:t>evidenced</w:t>
      </w:r>
      <w:r w:rsidRPr="00841E1C">
        <w:rPr>
          <w:rFonts w:ascii="Open Sans" w:hAnsi="Open Sans" w:cs="Open Sans"/>
        </w:rPr>
        <w:t xml:space="preserve"> information about the condition, needs and preferences of consumers </w:t>
      </w:r>
      <w:r>
        <w:rPr>
          <w:rFonts w:ascii="Open Sans" w:hAnsi="Open Sans" w:cs="Open Sans"/>
        </w:rPr>
        <w:t>was</w:t>
      </w:r>
      <w:r w:rsidRPr="00841E1C">
        <w:rPr>
          <w:rFonts w:ascii="Open Sans" w:hAnsi="Open Sans" w:cs="Open Sans"/>
        </w:rPr>
        <w:t xml:space="preserve"> communicated among staff and with others where responsibility for care </w:t>
      </w:r>
      <w:r w:rsidR="000A012D">
        <w:rPr>
          <w:rFonts w:ascii="Open Sans" w:hAnsi="Open Sans" w:cs="Open Sans"/>
        </w:rPr>
        <w:t>was</w:t>
      </w:r>
      <w:r w:rsidRPr="00841E1C">
        <w:rPr>
          <w:rFonts w:ascii="Open Sans" w:hAnsi="Open Sans" w:cs="Open Sans"/>
        </w:rPr>
        <w:t xml:space="preserve"> shared.</w:t>
      </w:r>
      <w:r w:rsidR="00C150AC">
        <w:rPr>
          <w:rFonts w:ascii="Open Sans" w:hAnsi="Open Sans" w:cs="Open Sans"/>
        </w:rPr>
        <w:t xml:space="preserve"> </w:t>
      </w:r>
      <w:r w:rsidR="00C150AC" w:rsidRPr="00C150AC">
        <w:rPr>
          <w:rFonts w:ascii="Open Sans" w:hAnsi="Open Sans" w:cs="Open Sans"/>
        </w:rPr>
        <w:t xml:space="preserve">Consumer care plans and handover meetings </w:t>
      </w:r>
      <w:r w:rsidR="00C150AC">
        <w:rPr>
          <w:rFonts w:ascii="Open Sans" w:hAnsi="Open Sans" w:cs="Open Sans"/>
        </w:rPr>
        <w:t xml:space="preserve">demonstrated </w:t>
      </w:r>
      <w:r w:rsidR="00A938A6">
        <w:rPr>
          <w:rFonts w:ascii="Open Sans" w:hAnsi="Open Sans" w:cs="Open Sans"/>
        </w:rPr>
        <w:t>t</w:t>
      </w:r>
      <w:r w:rsidR="00C150AC" w:rsidRPr="00C150AC">
        <w:rPr>
          <w:rFonts w:ascii="Open Sans" w:hAnsi="Open Sans" w:cs="Open Sans"/>
        </w:rPr>
        <w:t xml:space="preserve">here </w:t>
      </w:r>
      <w:r w:rsidR="00A938A6">
        <w:rPr>
          <w:rFonts w:ascii="Open Sans" w:hAnsi="Open Sans" w:cs="Open Sans"/>
        </w:rPr>
        <w:t>was</w:t>
      </w:r>
      <w:r w:rsidR="00C150AC" w:rsidRPr="00C150AC">
        <w:rPr>
          <w:rFonts w:ascii="Open Sans" w:hAnsi="Open Sans" w:cs="Open Sans"/>
        </w:rPr>
        <w:t xml:space="preserve"> communication between registered nurses and care staff about the condition, needs and preferences of consumers. </w:t>
      </w:r>
    </w:p>
    <w:p w14:paraId="082733A9" w14:textId="77777777" w:rsidR="00096433" w:rsidRDefault="00EF35FE" w:rsidP="0036130C">
      <w:pPr>
        <w:pStyle w:val="NormalArial"/>
        <w:rPr>
          <w:rFonts w:ascii="Open Sans" w:hAnsi="Open Sans" w:cs="Open Sans"/>
        </w:rPr>
      </w:pPr>
      <w:r w:rsidRPr="00EF35FE">
        <w:rPr>
          <w:rFonts w:ascii="Open Sans" w:hAnsi="Open Sans" w:cs="Open Sans"/>
        </w:rPr>
        <w:t xml:space="preserve">Allied health services have access to the consumers’ </w:t>
      </w:r>
      <w:r>
        <w:rPr>
          <w:rFonts w:ascii="Open Sans" w:hAnsi="Open Sans" w:cs="Open Sans"/>
        </w:rPr>
        <w:t xml:space="preserve">electronic </w:t>
      </w:r>
      <w:r w:rsidR="00861946">
        <w:rPr>
          <w:rFonts w:ascii="Open Sans" w:hAnsi="Open Sans" w:cs="Open Sans"/>
        </w:rPr>
        <w:t xml:space="preserve">care management system </w:t>
      </w:r>
      <w:r w:rsidRPr="00EF35FE">
        <w:rPr>
          <w:rFonts w:ascii="Open Sans" w:hAnsi="Open Sans" w:cs="Open Sans"/>
        </w:rPr>
        <w:t xml:space="preserve">where they </w:t>
      </w:r>
      <w:r w:rsidR="00861946">
        <w:rPr>
          <w:rFonts w:ascii="Open Sans" w:hAnsi="Open Sans" w:cs="Open Sans"/>
        </w:rPr>
        <w:t>a</w:t>
      </w:r>
      <w:r w:rsidRPr="00EF35FE">
        <w:rPr>
          <w:rFonts w:ascii="Open Sans" w:hAnsi="Open Sans" w:cs="Open Sans"/>
        </w:rPr>
        <w:t xml:space="preserve">dd progress notes or conduct assessments as appropriate. </w:t>
      </w:r>
      <w:r w:rsidR="00AC76AC">
        <w:rPr>
          <w:rFonts w:ascii="Open Sans" w:hAnsi="Open Sans" w:cs="Open Sans"/>
        </w:rPr>
        <w:t>R</w:t>
      </w:r>
      <w:r w:rsidR="00AC76AC" w:rsidRPr="00AC76AC">
        <w:rPr>
          <w:rFonts w:ascii="Open Sans" w:hAnsi="Open Sans" w:cs="Open Sans"/>
        </w:rPr>
        <w:t xml:space="preserve">epresentatives felt consumer’s needs and preferences were being effectively communicated between staff. They </w:t>
      </w:r>
      <w:r w:rsidR="00AC76AC">
        <w:rPr>
          <w:rFonts w:ascii="Open Sans" w:hAnsi="Open Sans" w:cs="Open Sans"/>
        </w:rPr>
        <w:t xml:space="preserve">confirmed </w:t>
      </w:r>
      <w:r w:rsidR="00AC76AC" w:rsidRPr="00AC76AC">
        <w:rPr>
          <w:rFonts w:ascii="Open Sans" w:hAnsi="Open Sans" w:cs="Open Sans"/>
        </w:rPr>
        <w:t xml:space="preserve">staff </w:t>
      </w:r>
      <w:r w:rsidR="00AC76AC">
        <w:rPr>
          <w:rFonts w:ascii="Open Sans" w:hAnsi="Open Sans" w:cs="Open Sans"/>
        </w:rPr>
        <w:t>were</w:t>
      </w:r>
      <w:r w:rsidR="00AC76AC" w:rsidRPr="00AC76AC">
        <w:rPr>
          <w:rFonts w:ascii="Open Sans" w:hAnsi="Open Sans" w:cs="Open Sans"/>
        </w:rPr>
        <w:t xml:space="preserve"> familiar with their relative’s care needs and </w:t>
      </w:r>
      <w:r w:rsidR="00AC76AC">
        <w:rPr>
          <w:rFonts w:ascii="Open Sans" w:hAnsi="Open Sans" w:cs="Open Sans"/>
        </w:rPr>
        <w:t>were</w:t>
      </w:r>
      <w:r w:rsidR="00AC76AC" w:rsidRPr="00AC76AC">
        <w:rPr>
          <w:rFonts w:ascii="Open Sans" w:hAnsi="Open Sans" w:cs="Open Sans"/>
        </w:rPr>
        <w:t xml:space="preserve"> aware when care needs change</w:t>
      </w:r>
      <w:r w:rsidR="00CD1010">
        <w:rPr>
          <w:rFonts w:ascii="Open Sans" w:hAnsi="Open Sans" w:cs="Open Sans"/>
        </w:rPr>
        <w:t xml:space="preserve">, and </w:t>
      </w:r>
      <w:r w:rsidR="00515CC8">
        <w:rPr>
          <w:rFonts w:ascii="Open Sans" w:hAnsi="Open Sans" w:cs="Open Sans"/>
        </w:rPr>
        <w:t>st</w:t>
      </w:r>
      <w:r w:rsidR="00AC76AC" w:rsidRPr="00AC76AC">
        <w:rPr>
          <w:rFonts w:ascii="Open Sans" w:hAnsi="Open Sans" w:cs="Open Sans"/>
        </w:rPr>
        <w:t xml:space="preserve">aff notify them of any changes in their relative’s health immediately. </w:t>
      </w:r>
    </w:p>
    <w:p w14:paraId="0A8FA415" w14:textId="77777777" w:rsidR="00F25F94" w:rsidRDefault="00096433" w:rsidP="0036130C">
      <w:pPr>
        <w:pStyle w:val="NormalArial"/>
        <w:rPr>
          <w:rFonts w:ascii="Open Sans" w:hAnsi="Open Sans" w:cs="Open Sans"/>
        </w:rPr>
      </w:pPr>
      <w:r w:rsidRPr="00096433">
        <w:rPr>
          <w:rFonts w:ascii="Open Sans" w:hAnsi="Open Sans" w:cs="Open Sans"/>
        </w:rPr>
        <w:t xml:space="preserve">The service records consumer or their representative preferences to have or refuse the COVID-19 vaccination in the consumers’ </w:t>
      </w:r>
      <w:r w:rsidR="00E75391">
        <w:rPr>
          <w:rFonts w:ascii="Open Sans" w:hAnsi="Open Sans" w:cs="Open Sans"/>
        </w:rPr>
        <w:t>electronic care system</w:t>
      </w:r>
      <w:r w:rsidRPr="00096433">
        <w:rPr>
          <w:rFonts w:ascii="Open Sans" w:hAnsi="Open Sans" w:cs="Open Sans"/>
        </w:rPr>
        <w:t>, including in the progress notes, electronic medication administration system and in a COVID-19 vaccination folder. However, the consumers’ preference was not recorded in their care plan</w:t>
      </w:r>
      <w:r w:rsidR="000C216C">
        <w:rPr>
          <w:rFonts w:ascii="Open Sans" w:hAnsi="Open Sans" w:cs="Open Sans"/>
        </w:rPr>
        <w:t>, management committed to considering</w:t>
      </w:r>
      <w:r w:rsidRPr="00096433">
        <w:rPr>
          <w:rFonts w:ascii="Open Sans" w:hAnsi="Open Sans" w:cs="Open Sans"/>
        </w:rPr>
        <w:t xml:space="preserve"> adding this information to the consumers’ care plan.</w:t>
      </w:r>
    </w:p>
    <w:p w14:paraId="0D31F00F" w14:textId="77777777" w:rsidR="006D04E5" w:rsidRDefault="00F25F94" w:rsidP="0036130C">
      <w:pPr>
        <w:pStyle w:val="NormalArial"/>
        <w:rPr>
          <w:rFonts w:ascii="Open Sans" w:hAnsi="Open Sans" w:cs="Open Sans"/>
        </w:rPr>
      </w:pPr>
      <w:r>
        <w:rPr>
          <w:rFonts w:ascii="Open Sans" w:hAnsi="Open Sans" w:cs="Open Sans"/>
        </w:rPr>
        <w:t>T</w:t>
      </w:r>
      <w:r w:rsidRPr="00F25F94">
        <w:rPr>
          <w:rFonts w:ascii="Open Sans" w:hAnsi="Open Sans" w:cs="Open Sans"/>
        </w:rPr>
        <w:t xml:space="preserve">he local pharmacist agreed to conduct immunisation clinics this year when the influenza vaccine becomes available. </w:t>
      </w:r>
      <w:r>
        <w:rPr>
          <w:rFonts w:ascii="Open Sans" w:hAnsi="Open Sans" w:cs="Open Sans"/>
        </w:rPr>
        <w:t>C</w:t>
      </w:r>
      <w:r w:rsidRPr="00F25F94">
        <w:rPr>
          <w:rFonts w:ascii="Open Sans" w:hAnsi="Open Sans" w:cs="Open Sans"/>
        </w:rPr>
        <w:t>onsumers and their representatives will be provided with information about the vaccine to enable informed consent at that time.</w:t>
      </w:r>
    </w:p>
    <w:p w14:paraId="13F78F6E" w14:textId="77777777" w:rsidR="00976F28" w:rsidRDefault="006D04E5" w:rsidP="0036130C">
      <w:pPr>
        <w:pStyle w:val="NormalArial"/>
        <w:rPr>
          <w:rFonts w:ascii="Open Sans" w:hAnsi="Open Sans" w:cs="Open Sans"/>
        </w:rPr>
      </w:pPr>
      <w:r w:rsidRPr="006D04E5">
        <w:rPr>
          <w:rFonts w:ascii="Open Sans" w:hAnsi="Open Sans" w:cs="Open Sans"/>
        </w:rPr>
        <w:t xml:space="preserve">Management had discussions with consumers and their representatives regarding the use of antiviral medication in the event of a COVID-19 infection. </w:t>
      </w:r>
      <w:r>
        <w:rPr>
          <w:rFonts w:ascii="Open Sans" w:hAnsi="Open Sans" w:cs="Open Sans"/>
        </w:rPr>
        <w:t>S</w:t>
      </w:r>
      <w:r w:rsidRPr="006D04E5">
        <w:rPr>
          <w:rFonts w:ascii="Open Sans" w:hAnsi="Open Sans" w:cs="Open Sans"/>
        </w:rPr>
        <w:t xml:space="preserve">tock is held by the pharmacy and available at short notice. The medical officers will chart the antiviral medication if required and the service will seek consent to use the medication each time it is required to ensure consumers’ preferences has not changed. </w:t>
      </w:r>
    </w:p>
    <w:p w14:paraId="14293799" w14:textId="78A71D86" w:rsidR="00E61645" w:rsidRPr="001E694D" w:rsidRDefault="00976F28" w:rsidP="0036130C">
      <w:pPr>
        <w:pStyle w:val="NormalArial"/>
        <w:rPr>
          <w:rFonts w:ascii="Open Sans" w:hAnsi="Open Sans" w:cs="Open Sans"/>
        </w:rPr>
      </w:pPr>
      <w:r>
        <w:rPr>
          <w:rFonts w:ascii="Open Sans" w:hAnsi="Open Sans" w:cs="Open Sans"/>
        </w:rPr>
        <w:t>Information regarding consumers’ needs and pref</w:t>
      </w:r>
      <w:r w:rsidR="00D732AF">
        <w:rPr>
          <w:rFonts w:ascii="Open Sans" w:hAnsi="Open Sans" w:cs="Open Sans"/>
        </w:rPr>
        <w:t>erences</w:t>
      </w:r>
      <w:r w:rsidR="00DF273E">
        <w:rPr>
          <w:rFonts w:ascii="Open Sans" w:hAnsi="Open Sans" w:cs="Open Sans"/>
        </w:rPr>
        <w:t xml:space="preserve">, including their preferences for COVID-19 vaccinations was shared effectively, therefore this Requirement is Compliant. </w:t>
      </w:r>
      <w:r w:rsidR="00E61645" w:rsidRPr="001E694D">
        <w:rPr>
          <w:rFonts w:ascii="Open Sans" w:hAnsi="Open Sans" w:cs="Open Sans"/>
        </w:rPr>
        <w:br w:type="page"/>
      </w:r>
    </w:p>
    <w:p w14:paraId="2820AE6B" w14:textId="5043E7CD" w:rsidR="00E61645" w:rsidRPr="001E694D" w:rsidRDefault="00E61645" w:rsidP="0036130C">
      <w:pPr>
        <w:pStyle w:val="NormalArial"/>
        <w:rPr>
          <w:rFonts w:ascii="Open Sans" w:hAnsi="Open Sans" w:cs="Open Sans"/>
        </w:rPr>
      </w:pPr>
    </w:p>
    <w:p w14:paraId="75820B63" w14:textId="77777777" w:rsidR="00E61645" w:rsidRPr="001E694D" w:rsidRDefault="00E61645" w:rsidP="00FC045E">
      <w:pPr>
        <w:pStyle w:val="Heading1"/>
        <w:spacing w:before="120" w:after="240" w:line="22" w:lineRule="atLeast"/>
        <w:rPr>
          <w:rFonts w:ascii="Open Sans" w:hAnsi="Open Sans" w:cs="Open Sans"/>
        </w:rPr>
      </w:pPr>
      <w:r w:rsidRPr="001E694D">
        <w:rPr>
          <w:rFonts w:ascii="Open Sans" w:hAnsi="Open Sans" w:cs="Open Sans"/>
        </w:rPr>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923B31" w14:paraId="446AE2FF" w14:textId="77777777" w:rsidTr="00B73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18FBC463" w14:textId="77777777" w:rsidR="00E61645" w:rsidRPr="001E694D" w:rsidRDefault="00E6164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0DA9C157" w14:textId="77777777" w:rsidR="00E61645" w:rsidRPr="001E694D" w:rsidRDefault="00E6164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23B31" w14:paraId="0DDE1D67" w14:textId="77777777" w:rsidTr="00B736E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95C012E" w14:textId="77777777" w:rsidR="00E61645" w:rsidRPr="001E694D" w:rsidRDefault="00E61645"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79A606DE" w14:textId="77777777" w:rsidR="00E61645" w:rsidRPr="001E694D" w:rsidRDefault="00E61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1626596" w14:textId="77777777" w:rsidR="00E61645" w:rsidRPr="001E694D" w:rsidRDefault="00E6164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6E01DE8" w14:textId="77777777" w:rsidR="00E61645" w:rsidRPr="001E694D" w:rsidRDefault="00E6164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EE83535" w14:textId="77777777" w:rsidR="00E61645" w:rsidRPr="001E694D" w:rsidRDefault="00E6164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D4E099E" w14:textId="77777777" w:rsidR="00E61645" w:rsidRPr="001E694D" w:rsidRDefault="00E6164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65D3EAA8" w14:textId="77777777" w:rsidR="00E61645" w:rsidRPr="001E694D" w:rsidRDefault="008A17F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244061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61645" w:rsidRPr="001E694D">
                  <w:rPr>
                    <w:rFonts w:ascii="Open Sans" w:hAnsi="Open Sans" w:cs="Open Sans"/>
                  </w:rPr>
                  <w:t>Compliant</w:t>
                </w:r>
              </w:sdtContent>
            </w:sdt>
          </w:p>
        </w:tc>
      </w:tr>
    </w:tbl>
    <w:p w14:paraId="281F756D" w14:textId="77777777" w:rsidR="00E61645" w:rsidRPr="007A2323" w:rsidRDefault="00E61645"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9E8ABA4" w14:textId="0826BFC8" w:rsidR="00E61645" w:rsidRDefault="00582FEA" w:rsidP="0036130C">
      <w:pPr>
        <w:pStyle w:val="NormalArial"/>
        <w:rPr>
          <w:rFonts w:ascii="Open Sans" w:hAnsi="Open Sans" w:cs="Open Sans"/>
          <w:color w:val="auto"/>
        </w:rPr>
      </w:pPr>
      <w:r w:rsidRPr="00582FEA">
        <w:rPr>
          <w:rFonts w:ascii="Open Sans" w:hAnsi="Open Sans" w:cs="Open Sans"/>
          <w:color w:val="auto"/>
        </w:rPr>
        <w:t>The organisation demonstrated risk management systems were effective in managing risks, including in relation to infection prevention and control. Policies and procedures existed to guide staff in management of risk at an operational level, and detailed roles and responsibilities up to the governing body level. Regional support roles worked with the service to identify and assess risks, apply interventions, monitor their effectiveness and report to the governing body. Systems were in place for staff to identify and manage consumer high impact high prevalence risks. An incident management system was used to document incidents, escalate to the governing body where appropriate, and drive and influence continuous improvement. The organisation trained all staff in incident management processes, and clinical trends identified influenced workforce education.</w:t>
      </w:r>
    </w:p>
    <w:p w14:paraId="751C6E15" w14:textId="536BFC97" w:rsidR="00C04AC3" w:rsidRDefault="00C04AC3" w:rsidP="008573F2">
      <w:pPr>
        <w:pStyle w:val="NormalArial"/>
        <w:rPr>
          <w:rFonts w:ascii="Open Sans" w:hAnsi="Open Sans" w:cs="Open Sans"/>
          <w:color w:val="auto"/>
        </w:rPr>
      </w:pPr>
      <w:r w:rsidRPr="00C04AC3">
        <w:rPr>
          <w:rFonts w:ascii="Open Sans" w:hAnsi="Open Sans" w:cs="Open Sans"/>
          <w:color w:val="auto"/>
        </w:rPr>
        <w:t>The governing body and management team stated a coordinated vaccination program had not taken place at the service in 2024, with the last clinic occurring in June 2023. The governing body and service had commenced putting measures in place to address this deficit.</w:t>
      </w:r>
      <w:r w:rsidR="00C63172" w:rsidRPr="00C63172">
        <w:t xml:space="preserve"> </w:t>
      </w:r>
      <w:r w:rsidR="00C63172" w:rsidRPr="00C63172">
        <w:rPr>
          <w:rFonts w:ascii="Open Sans" w:hAnsi="Open Sans" w:cs="Open Sans"/>
          <w:color w:val="auto"/>
        </w:rPr>
        <w:t xml:space="preserve">Meeting minutes dated 13 February 2025 </w:t>
      </w:r>
      <w:r w:rsidR="00C63172">
        <w:rPr>
          <w:rFonts w:ascii="Open Sans" w:hAnsi="Open Sans" w:cs="Open Sans"/>
          <w:color w:val="auto"/>
        </w:rPr>
        <w:t>evidenced</w:t>
      </w:r>
      <w:r w:rsidR="00C63172" w:rsidRPr="00C63172">
        <w:rPr>
          <w:rFonts w:ascii="Open Sans" w:hAnsi="Open Sans" w:cs="Open Sans"/>
          <w:color w:val="auto"/>
        </w:rPr>
        <w:t xml:space="preserve"> the governing body issu</w:t>
      </w:r>
      <w:r w:rsidR="00C63172">
        <w:rPr>
          <w:rFonts w:ascii="Open Sans" w:hAnsi="Open Sans" w:cs="Open Sans"/>
          <w:color w:val="auto"/>
        </w:rPr>
        <w:t>ed</w:t>
      </w:r>
      <w:r w:rsidR="00C63172" w:rsidRPr="00C63172">
        <w:rPr>
          <w:rFonts w:ascii="Open Sans" w:hAnsi="Open Sans" w:cs="Open Sans"/>
          <w:color w:val="auto"/>
        </w:rPr>
        <w:t xml:space="preserve"> directives to service managers through their organisational Consumer Outcomes and Risk Meeting, attended by members of the governing body and representatives from the Board sub-committee on clinical governance. The minutes showed the governing body directing services to be aware of the new recommendations for </w:t>
      </w:r>
      <w:r w:rsidR="00865AC1" w:rsidRPr="00C63172">
        <w:rPr>
          <w:rFonts w:ascii="Open Sans" w:hAnsi="Open Sans" w:cs="Open Sans"/>
          <w:color w:val="auto"/>
        </w:rPr>
        <w:t>vaccinations and</w:t>
      </w:r>
      <w:r w:rsidR="00C63172" w:rsidRPr="00C63172">
        <w:rPr>
          <w:rFonts w:ascii="Open Sans" w:hAnsi="Open Sans" w:cs="Open Sans"/>
          <w:color w:val="auto"/>
        </w:rPr>
        <w:t xml:space="preserve"> directing them to</w:t>
      </w:r>
      <w:r w:rsidR="008573F2" w:rsidRPr="008573F2">
        <w:t xml:space="preserve"> </w:t>
      </w:r>
      <w:r w:rsidR="008573F2" w:rsidRPr="008573F2">
        <w:rPr>
          <w:rFonts w:ascii="Open Sans" w:hAnsi="Open Sans" w:cs="Open Sans"/>
          <w:color w:val="auto"/>
        </w:rPr>
        <w:t xml:space="preserve">maintain up to date vaccination evidence and document this in the </w:t>
      </w:r>
      <w:r w:rsidR="008573F2">
        <w:rPr>
          <w:rFonts w:ascii="Open Sans" w:hAnsi="Open Sans" w:cs="Open Sans"/>
          <w:color w:val="auto"/>
        </w:rPr>
        <w:t xml:space="preserve">electronic care management system, </w:t>
      </w:r>
      <w:r w:rsidR="008573F2" w:rsidRPr="008573F2">
        <w:rPr>
          <w:rFonts w:ascii="Open Sans" w:hAnsi="Open Sans" w:cs="Open Sans"/>
          <w:color w:val="auto"/>
        </w:rPr>
        <w:t xml:space="preserve">document declination and refusal for </w:t>
      </w:r>
      <w:r w:rsidR="008573F2" w:rsidRPr="008573F2">
        <w:rPr>
          <w:rFonts w:ascii="Open Sans" w:hAnsi="Open Sans" w:cs="Open Sans"/>
          <w:color w:val="auto"/>
        </w:rPr>
        <w:lastRenderedPageBreak/>
        <w:t>vaccination in progress notes</w:t>
      </w:r>
      <w:r w:rsidR="002B4D87">
        <w:rPr>
          <w:rFonts w:ascii="Open Sans" w:hAnsi="Open Sans" w:cs="Open Sans"/>
          <w:color w:val="auto"/>
        </w:rPr>
        <w:t xml:space="preserve"> and </w:t>
      </w:r>
      <w:r w:rsidR="008573F2" w:rsidRPr="008573F2">
        <w:rPr>
          <w:rFonts w:ascii="Open Sans" w:hAnsi="Open Sans" w:cs="Open Sans"/>
          <w:color w:val="auto"/>
        </w:rPr>
        <w:t>offer vaccination clinics and share dates with consumers and representatives.</w:t>
      </w:r>
      <w:r w:rsidR="001B6C2B" w:rsidRPr="001B6C2B">
        <w:t xml:space="preserve"> </w:t>
      </w:r>
      <w:r w:rsidR="001B6C2B">
        <w:t>C</w:t>
      </w:r>
      <w:r w:rsidR="001B6C2B" w:rsidRPr="001B6C2B">
        <w:rPr>
          <w:rFonts w:ascii="Open Sans" w:hAnsi="Open Sans" w:cs="Open Sans"/>
          <w:color w:val="auto"/>
        </w:rPr>
        <w:t xml:space="preserve">onsumer and relative meeting minutes </w:t>
      </w:r>
      <w:r w:rsidR="001B6C2B">
        <w:rPr>
          <w:rFonts w:ascii="Open Sans" w:hAnsi="Open Sans" w:cs="Open Sans"/>
          <w:color w:val="auto"/>
        </w:rPr>
        <w:t xml:space="preserve">evidenced </w:t>
      </w:r>
      <w:r w:rsidR="001B6C2B" w:rsidRPr="001B6C2B">
        <w:rPr>
          <w:rFonts w:ascii="Open Sans" w:hAnsi="Open Sans" w:cs="Open Sans"/>
          <w:color w:val="auto"/>
        </w:rPr>
        <w:t>the service raised awareness of the importance of vaccinations at meetings on 21 November 2024 and 25 February 2025.</w:t>
      </w:r>
      <w:r w:rsidR="00BA3BF0" w:rsidRPr="00BA3BF0">
        <w:t xml:space="preserve"> </w:t>
      </w:r>
      <w:r w:rsidR="00BA3BF0" w:rsidRPr="00BA3BF0">
        <w:rPr>
          <w:rFonts w:ascii="Open Sans" w:hAnsi="Open Sans" w:cs="Open Sans"/>
          <w:color w:val="auto"/>
        </w:rPr>
        <w:t>A vaccination clinic had been provided by the local pharmacy at the service on 22 January 2025 and a further clinic was planned for July 2025.</w:t>
      </w:r>
    </w:p>
    <w:p w14:paraId="40F9F54E" w14:textId="73BC8E5B" w:rsidR="00865AC1" w:rsidRDefault="00865AC1" w:rsidP="008573F2">
      <w:pPr>
        <w:pStyle w:val="NormalArial"/>
        <w:rPr>
          <w:rFonts w:ascii="Open Sans" w:hAnsi="Open Sans" w:cs="Open Sans"/>
          <w:color w:val="auto"/>
        </w:rPr>
      </w:pPr>
      <w:r w:rsidRPr="00865AC1">
        <w:rPr>
          <w:rFonts w:ascii="Open Sans" w:hAnsi="Open Sans" w:cs="Open Sans"/>
          <w:color w:val="auto"/>
        </w:rPr>
        <w:t xml:space="preserve">Medication Advisory Committee meeting minutes dated 17 January 2025 </w:t>
      </w:r>
      <w:r>
        <w:rPr>
          <w:rFonts w:ascii="Open Sans" w:hAnsi="Open Sans" w:cs="Open Sans"/>
          <w:color w:val="auto"/>
        </w:rPr>
        <w:t xml:space="preserve">evidenced </w:t>
      </w:r>
      <w:r w:rsidRPr="00865AC1">
        <w:rPr>
          <w:rFonts w:ascii="Open Sans" w:hAnsi="Open Sans" w:cs="Open Sans"/>
          <w:color w:val="auto"/>
        </w:rPr>
        <w:t>low vaccination rates were discussed with the pharmacy and medical officers present, and consultation occurred around an upcoming planned vaccination clinic.</w:t>
      </w:r>
      <w:r w:rsidR="00646B9A" w:rsidRPr="00646B9A">
        <w:t xml:space="preserve"> </w:t>
      </w:r>
      <w:r w:rsidR="00646B9A">
        <w:t>A</w:t>
      </w:r>
      <w:r w:rsidR="00646B9A" w:rsidRPr="00646B9A">
        <w:rPr>
          <w:rFonts w:ascii="Open Sans" w:hAnsi="Open Sans" w:cs="Open Sans"/>
          <w:color w:val="auto"/>
        </w:rPr>
        <w:t>ntiviral stocks were maintained by the local pharmacy and available at short notice when required.</w:t>
      </w:r>
    </w:p>
    <w:p w14:paraId="15203A83" w14:textId="03E1289B" w:rsidR="00F56A8C" w:rsidRDefault="00F56A8C" w:rsidP="008573F2">
      <w:pPr>
        <w:pStyle w:val="NormalArial"/>
        <w:rPr>
          <w:rFonts w:ascii="Open Sans" w:hAnsi="Open Sans" w:cs="Open Sans"/>
          <w:color w:val="auto"/>
        </w:rPr>
      </w:pPr>
      <w:r w:rsidRPr="00F56A8C">
        <w:rPr>
          <w:rFonts w:ascii="Open Sans" w:hAnsi="Open Sans" w:cs="Open Sans"/>
          <w:color w:val="auto"/>
        </w:rPr>
        <w:t xml:space="preserve">The service’s clinical risk register detailed information around individual consumer risks had been identified for consumers, including current influenza vaccination status. Management acknowledged information about a consumer’s COVID-19 vaccination status could contribute to risk management, particularly during an outbreak, and added this information to their register during the Assessment Contact. An action was updated in the service’s </w:t>
      </w:r>
      <w:r w:rsidR="00FE2EF2">
        <w:rPr>
          <w:rFonts w:ascii="Open Sans" w:hAnsi="Open Sans" w:cs="Open Sans"/>
          <w:color w:val="auto"/>
        </w:rPr>
        <w:t>plan for continuous improvement</w:t>
      </w:r>
      <w:r w:rsidRPr="00F56A8C">
        <w:rPr>
          <w:rFonts w:ascii="Open Sans" w:hAnsi="Open Sans" w:cs="Open Sans"/>
          <w:color w:val="auto"/>
        </w:rPr>
        <w:t xml:space="preserve"> reflecting this change.</w:t>
      </w:r>
    </w:p>
    <w:p w14:paraId="5E745D9B" w14:textId="46E6B16B" w:rsidR="00A96C1D" w:rsidRDefault="00A96C1D" w:rsidP="008573F2">
      <w:pPr>
        <w:pStyle w:val="NormalArial"/>
        <w:rPr>
          <w:rFonts w:ascii="Open Sans" w:hAnsi="Open Sans" w:cs="Open Sans"/>
          <w:color w:val="auto"/>
        </w:rPr>
      </w:pPr>
      <w:r w:rsidRPr="00A96C1D">
        <w:rPr>
          <w:rFonts w:ascii="Open Sans" w:hAnsi="Open Sans" w:cs="Open Sans"/>
          <w:color w:val="auto"/>
        </w:rPr>
        <w:t>Vaccination registers were maintained and updated for staff and consumers</w:t>
      </w:r>
      <w:r w:rsidR="00265DB1">
        <w:rPr>
          <w:rFonts w:ascii="Open Sans" w:hAnsi="Open Sans" w:cs="Open Sans"/>
          <w:color w:val="auto"/>
        </w:rPr>
        <w:t xml:space="preserve">. </w:t>
      </w:r>
      <w:r w:rsidR="00265DB1" w:rsidRPr="00265DB1">
        <w:rPr>
          <w:rFonts w:ascii="Open Sans" w:hAnsi="Open Sans" w:cs="Open Sans"/>
          <w:color w:val="auto"/>
        </w:rPr>
        <w:t xml:space="preserve">In the last </w:t>
      </w:r>
      <w:r w:rsidR="00265DB1">
        <w:rPr>
          <w:rFonts w:ascii="Open Sans" w:hAnsi="Open Sans" w:cs="Open Sans"/>
          <w:color w:val="auto"/>
        </w:rPr>
        <w:t xml:space="preserve">six </w:t>
      </w:r>
      <w:r w:rsidR="00265DB1" w:rsidRPr="00265DB1">
        <w:rPr>
          <w:rFonts w:ascii="Open Sans" w:hAnsi="Open Sans" w:cs="Open Sans"/>
          <w:color w:val="auto"/>
        </w:rPr>
        <w:t xml:space="preserve">months, vaccination rates for COVID-19 had increased to 75%. Management stated </w:t>
      </w:r>
      <w:r w:rsidR="00C85417">
        <w:rPr>
          <w:rFonts w:ascii="Open Sans" w:hAnsi="Open Sans" w:cs="Open Sans"/>
          <w:color w:val="auto"/>
        </w:rPr>
        <w:t>nine</w:t>
      </w:r>
      <w:r w:rsidR="00265DB1" w:rsidRPr="00265DB1">
        <w:rPr>
          <w:rFonts w:ascii="Open Sans" w:hAnsi="Open Sans" w:cs="Open Sans"/>
          <w:color w:val="auto"/>
        </w:rPr>
        <w:t xml:space="preserve"> consumers refused to be vaccinated in the January 2025 clinic and their decision was documented in the </w:t>
      </w:r>
      <w:r w:rsidR="004B25AF">
        <w:rPr>
          <w:rFonts w:ascii="Open Sans" w:hAnsi="Open Sans" w:cs="Open Sans"/>
          <w:color w:val="auto"/>
        </w:rPr>
        <w:t>electronic</w:t>
      </w:r>
      <w:r w:rsidR="00A40FD0">
        <w:rPr>
          <w:rFonts w:ascii="Open Sans" w:hAnsi="Open Sans" w:cs="Open Sans"/>
          <w:color w:val="auto"/>
        </w:rPr>
        <w:t xml:space="preserve"> care system </w:t>
      </w:r>
      <w:r w:rsidR="00265DB1" w:rsidRPr="00265DB1">
        <w:rPr>
          <w:rFonts w:ascii="Open Sans" w:hAnsi="Open Sans" w:cs="Open Sans"/>
          <w:color w:val="auto"/>
        </w:rPr>
        <w:t>and clinical risk register.</w:t>
      </w:r>
      <w:r w:rsidR="00333C07" w:rsidRPr="00333C07">
        <w:t xml:space="preserve"> </w:t>
      </w:r>
      <w:r w:rsidR="00333C07" w:rsidRPr="00333C07">
        <w:rPr>
          <w:rFonts w:ascii="Open Sans" w:hAnsi="Open Sans" w:cs="Open Sans"/>
          <w:color w:val="auto"/>
        </w:rPr>
        <w:t>In the last 12 months, vaccination rates for influenza had increased to 38.63%.</w:t>
      </w:r>
    </w:p>
    <w:p w14:paraId="347598D4" w14:textId="5C78F1F7" w:rsidR="00766790" w:rsidRDefault="00766790" w:rsidP="008573F2">
      <w:pPr>
        <w:pStyle w:val="NormalArial"/>
        <w:rPr>
          <w:rFonts w:ascii="Open Sans" w:hAnsi="Open Sans" w:cs="Open Sans"/>
          <w:color w:val="auto"/>
        </w:rPr>
      </w:pPr>
      <w:r w:rsidRPr="00766790">
        <w:rPr>
          <w:rFonts w:ascii="Open Sans" w:hAnsi="Open Sans" w:cs="Open Sans"/>
          <w:color w:val="auto"/>
        </w:rPr>
        <w:t>The governing body stated an analysis of low vaccination rates showed lack of consent and education around vaccinations were identified as key drivers for consumers refusing vaccinations. Management also experienced difficulty in 2024 organising a clinic on site. For the clinic in January 2025, the service had spoken with each consumer or their nominated representative to provide current information about recommendations and stated this approach made a substantial difference to consumer interest. Management acknowledged all improvement actions put in place to address this deficit were currently ongoing, open, and yet to be evaluated by the governing body for effectiveness.</w:t>
      </w:r>
    </w:p>
    <w:p w14:paraId="71C4D783" w14:textId="41E7945D" w:rsidR="00151ED2" w:rsidRDefault="00151ED2" w:rsidP="008573F2">
      <w:pPr>
        <w:pStyle w:val="NormalArial"/>
        <w:rPr>
          <w:rFonts w:ascii="Open Sans" w:hAnsi="Open Sans" w:cs="Open Sans"/>
          <w:color w:val="auto"/>
        </w:rPr>
      </w:pPr>
      <w:r w:rsidRPr="00151ED2">
        <w:rPr>
          <w:rFonts w:ascii="Open Sans" w:hAnsi="Open Sans" w:cs="Open Sans"/>
          <w:color w:val="auto"/>
        </w:rPr>
        <w:t xml:space="preserve">The governing body demonstrated </w:t>
      </w:r>
      <w:r w:rsidR="00D5570F">
        <w:rPr>
          <w:rFonts w:ascii="Open Sans" w:hAnsi="Open Sans" w:cs="Open Sans"/>
          <w:color w:val="auto"/>
        </w:rPr>
        <w:t>high impact high prevalence risks</w:t>
      </w:r>
      <w:r w:rsidRPr="00151ED2">
        <w:rPr>
          <w:rFonts w:ascii="Open Sans" w:hAnsi="Open Sans" w:cs="Open Sans"/>
          <w:color w:val="auto"/>
        </w:rPr>
        <w:t xml:space="preserve"> were managed through a layered and collaborative approach involving staff, consumers and the governing body. </w:t>
      </w:r>
      <w:r w:rsidR="00D86135">
        <w:rPr>
          <w:rFonts w:ascii="Open Sans" w:hAnsi="Open Sans" w:cs="Open Sans"/>
          <w:color w:val="auto"/>
        </w:rPr>
        <w:t>R</w:t>
      </w:r>
      <w:r w:rsidRPr="00151ED2">
        <w:rPr>
          <w:rFonts w:ascii="Open Sans" w:hAnsi="Open Sans" w:cs="Open Sans"/>
          <w:color w:val="auto"/>
        </w:rPr>
        <w:t xml:space="preserve">isks were identified by the organisation through multiple methods, including regular clinical trend analysis, complaints analysis and incident reviews. The governing body stated the current </w:t>
      </w:r>
      <w:r w:rsidR="00F76A31">
        <w:rPr>
          <w:rFonts w:ascii="Open Sans" w:hAnsi="Open Sans" w:cs="Open Sans"/>
          <w:color w:val="auto"/>
        </w:rPr>
        <w:t xml:space="preserve">high impact high prevalence </w:t>
      </w:r>
      <w:r w:rsidRPr="00151ED2">
        <w:rPr>
          <w:rFonts w:ascii="Open Sans" w:hAnsi="Open Sans" w:cs="Open Sans"/>
          <w:color w:val="auto"/>
        </w:rPr>
        <w:t xml:space="preserve">risks for the service were pressure injuries, falls and behaviour management, with infection control considered an ongoing risk. The governing body demonstrated examples of organisation wide interventions and </w:t>
      </w:r>
      <w:r w:rsidRPr="00151ED2">
        <w:rPr>
          <w:rFonts w:ascii="Open Sans" w:hAnsi="Open Sans" w:cs="Open Sans"/>
          <w:color w:val="auto"/>
        </w:rPr>
        <w:lastRenderedPageBreak/>
        <w:t xml:space="preserve">strategies implemented to address </w:t>
      </w:r>
      <w:r w:rsidR="008821F5">
        <w:rPr>
          <w:rFonts w:ascii="Open Sans" w:hAnsi="Open Sans" w:cs="Open Sans"/>
          <w:color w:val="auto"/>
        </w:rPr>
        <w:t xml:space="preserve">High impact high prevalence </w:t>
      </w:r>
      <w:r w:rsidRPr="00151ED2">
        <w:rPr>
          <w:rFonts w:ascii="Open Sans" w:hAnsi="Open Sans" w:cs="Open Sans"/>
          <w:color w:val="auto"/>
        </w:rPr>
        <w:t>risks, developed by the clinical and care governance Board sub-committee</w:t>
      </w:r>
      <w:r w:rsidR="00147064">
        <w:rPr>
          <w:rFonts w:ascii="Open Sans" w:hAnsi="Open Sans" w:cs="Open Sans"/>
          <w:color w:val="auto"/>
        </w:rPr>
        <w:t>.</w:t>
      </w:r>
    </w:p>
    <w:p w14:paraId="6F78FD5A" w14:textId="359AD567" w:rsidR="00147064" w:rsidRDefault="00147064" w:rsidP="008573F2">
      <w:pPr>
        <w:pStyle w:val="NormalArial"/>
        <w:rPr>
          <w:rFonts w:ascii="Open Sans" w:hAnsi="Open Sans" w:cs="Open Sans"/>
          <w:color w:val="auto"/>
        </w:rPr>
      </w:pPr>
      <w:r w:rsidRPr="00147064">
        <w:rPr>
          <w:rFonts w:ascii="Open Sans" w:hAnsi="Open Sans" w:cs="Open Sans"/>
          <w:color w:val="auto"/>
        </w:rPr>
        <w:t xml:space="preserve">The organisation was consistently identifying and appropriately responding to abuse and neglect, including the requirement to report relevant incidents to the Serious Incident Response Scheme. The governing body understood the requirement to report actual or alleged abuse and neglect under the scheme, and all staff interviewed had received education on </w:t>
      </w:r>
      <w:r w:rsidR="00AB2028">
        <w:rPr>
          <w:rFonts w:ascii="Open Sans" w:hAnsi="Open Sans" w:cs="Open Sans"/>
          <w:color w:val="auto"/>
        </w:rPr>
        <w:t xml:space="preserve">the </w:t>
      </w:r>
      <w:r w:rsidR="006127EE">
        <w:rPr>
          <w:rFonts w:ascii="Open Sans" w:hAnsi="Open Sans" w:cs="Open Sans"/>
          <w:color w:val="auto"/>
        </w:rPr>
        <w:t>S</w:t>
      </w:r>
      <w:r w:rsidR="00AB2028">
        <w:rPr>
          <w:rFonts w:ascii="Open Sans" w:hAnsi="Open Sans" w:cs="Open Sans"/>
          <w:color w:val="auto"/>
        </w:rPr>
        <w:t>erious Incident Response Scheme</w:t>
      </w:r>
      <w:r w:rsidRPr="00147064">
        <w:rPr>
          <w:rFonts w:ascii="Open Sans" w:hAnsi="Open Sans" w:cs="Open Sans"/>
          <w:color w:val="auto"/>
        </w:rPr>
        <w:t xml:space="preserve"> and incident management as part of their compulsory annual training. Staff described different types of abuse and neglect and their obligations to escalate to management and understood the incident management system and processes in place. S</w:t>
      </w:r>
      <w:r w:rsidR="00850E01">
        <w:rPr>
          <w:rFonts w:ascii="Open Sans" w:hAnsi="Open Sans" w:cs="Open Sans"/>
          <w:color w:val="auto"/>
        </w:rPr>
        <w:t xml:space="preserve">erious incident </w:t>
      </w:r>
      <w:r w:rsidRPr="00147064">
        <w:rPr>
          <w:rFonts w:ascii="Open Sans" w:hAnsi="Open Sans" w:cs="Open Sans"/>
          <w:color w:val="auto"/>
        </w:rPr>
        <w:t>reports were reviewed at Board and Board sub-committees for trends or opportunities for improvement.</w:t>
      </w:r>
    </w:p>
    <w:p w14:paraId="32FF1ADB" w14:textId="1C0BD342" w:rsidR="00723F82" w:rsidRDefault="00723F82" w:rsidP="008573F2">
      <w:pPr>
        <w:pStyle w:val="NormalArial"/>
        <w:rPr>
          <w:rFonts w:ascii="Open Sans" w:hAnsi="Open Sans" w:cs="Open Sans"/>
          <w:color w:val="auto"/>
        </w:rPr>
      </w:pPr>
      <w:r w:rsidRPr="00723F82">
        <w:rPr>
          <w:rFonts w:ascii="Open Sans" w:hAnsi="Open Sans" w:cs="Open Sans"/>
          <w:color w:val="auto"/>
        </w:rPr>
        <w:t xml:space="preserve">The organisation supported consumers to live their best life, with consumers and representatives stating there was a collaborative and inclusive approach to the delivery of care and services. External supports were accessed and put in place where required or requested to support consumer quality of life and risk management processes ensured consumer choices were managed and supported within the organisation by the governing body. Programs were in place to include and engage consumers in improving the quality and management of care and services and enable them to live their best lives, and the service had </w:t>
      </w:r>
      <w:r w:rsidR="003E6E75">
        <w:rPr>
          <w:rFonts w:ascii="Open Sans" w:hAnsi="Open Sans" w:cs="Open Sans"/>
          <w:color w:val="auto"/>
        </w:rPr>
        <w:t xml:space="preserve">two </w:t>
      </w:r>
      <w:r w:rsidRPr="00723F82">
        <w:rPr>
          <w:rFonts w:ascii="Open Sans" w:hAnsi="Open Sans" w:cs="Open Sans"/>
          <w:color w:val="auto"/>
        </w:rPr>
        <w:t>consumer representatives on the organisational Consumer Advisory Body.</w:t>
      </w:r>
    </w:p>
    <w:p w14:paraId="6AAF75E8" w14:textId="5B73855D" w:rsidR="00133AFD" w:rsidRDefault="00133AFD" w:rsidP="008573F2">
      <w:pPr>
        <w:pStyle w:val="NormalArial"/>
        <w:rPr>
          <w:rFonts w:ascii="Open Sans" w:hAnsi="Open Sans" w:cs="Open Sans"/>
          <w:color w:val="auto"/>
        </w:rPr>
      </w:pPr>
      <w:r w:rsidRPr="00133AFD">
        <w:rPr>
          <w:rFonts w:ascii="Open Sans" w:hAnsi="Open Sans" w:cs="Open Sans"/>
          <w:color w:val="auto"/>
        </w:rPr>
        <w:t xml:space="preserve">The organisation </w:t>
      </w:r>
      <w:r>
        <w:rPr>
          <w:rFonts w:ascii="Open Sans" w:hAnsi="Open Sans" w:cs="Open Sans"/>
          <w:color w:val="auto"/>
        </w:rPr>
        <w:t>had</w:t>
      </w:r>
      <w:r w:rsidRPr="00133AFD">
        <w:rPr>
          <w:rFonts w:ascii="Open Sans" w:hAnsi="Open Sans" w:cs="Open Sans"/>
          <w:color w:val="auto"/>
        </w:rPr>
        <w:t xml:space="preserve"> an incident management system</w:t>
      </w:r>
      <w:r>
        <w:rPr>
          <w:rFonts w:ascii="Open Sans" w:hAnsi="Open Sans" w:cs="Open Sans"/>
          <w:color w:val="auto"/>
        </w:rPr>
        <w:t xml:space="preserve"> </w:t>
      </w:r>
      <w:r w:rsidRPr="00133AFD">
        <w:rPr>
          <w:rFonts w:ascii="Open Sans" w:hAnsi="Open Sans" w:cs="Open Sans"/>
          <w:color w:val="auto"/>
        </w:rPr>
        <w:t xml:space="preserve">to record, assess and document interventions in relation to incidents. External bodies were notified of relevant incidents, and internal reporting frameworks ensured incidents were escalated to the governing body as appropriate. Regional operations teams audited the service, and their audits informed governing body reporting structures. Staff were aware of escalation processes in place and knew their role in the prevention and management of incidents. Policy guidance and manuals were in place for staff and accessible online. Ongoing education for staff in infection prevention and control, </w:t>
      </w:r>
      <w:r w:rsidR="00540DCD">
        <w:rPr>
          <w:rFonts w:ascii="Open Sans" w:hAnsi="Open Sans" w:cs="Open Sans"/>
          <w:color w:val="auto"/>
        </w:rPr>
        <w:t>serious incidents</w:t>
      </w:r>
      <w:r w:rsidRPr="00133AFD">
        <w:rPr>
          <w:rFonts w:ascii="Open Sans" w:hAnsi="Open Sans" w:cs="Open Sans"/>
          <w:color w:val="auto"/>
        </w:rPr>
        <w:t>, and incident management, and additional organisational campaigns on clinical risks, ensured a culture of staff awareness.</w:t>
      </w:r>
    </w:p>
    <w:p w14:paraId="5DD3AC42" w14:textId="46939A7C" w:rsidR="007D23A1" w:rsidRPr="007A2323" w:rsidRDefault="007D23A1" w:rsidP="008573F2">
      <w:pPr>
        <w:pStyle w:val="NormalArial"/>
        <w:rPr>
          <w:rFonts w:ascii="Open Sans" w:hAnsi="Open Sans" w:cs="Open Sans"/>
          <w:color w:val="auto"/>
        </w:rPr>
      </w:pPr>
      <w:r>
        <w:rPr>
          <w:rFonts w:ascii="Open Sans" w:hAnsi="Open Sans" w:cs="Open Sans"/>
          <w:color w:val="auto"/>
        </w:rPr>
        <w:t xml:space="preserve">Based on the information recorded above, the organisation had effective </w:t>
      </w:r>
      <w:r w:rsidR="002E54FB">
        <w:rPr>
          <w:rFonts w:ascii="Open Sans" w:hAnsi="Open Sans" w:cs="Open Sans"/>
          <w:color w:val="auto"/>
        </w:rPr>
        <w:t>risk management systems and practices</w:t>
      </w:r>
      <w:r w:rsidR="001316DD">
        <w:rPr>
          <w:rFonts w:ascii="Open Sans" w:hAnsi="Open Sans" w:cs="Open Sans"/>
          <w:color w:val="auto"/>
        </w:rPr>
        <w:t>,</w:t>
      </w:r>
      <w:r w:rsidR="002E54FB">
        <w:rPr>
          <w:rFonts w:ascii="Open Sans" w:hAnsi="Open Sans" w:cs="Open Sans"/>
          <w:color w:val="auto"/>
        </w:rPr>
        <w:t xml:space="preserve"> therefore this Requirement is Compliant. </w:t>
      </w:r>
    </w:p>
    <w:sectPr w:rsidR="007D23A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B682" w14:textId="77777777" w:rsidR="0002004B" w:rsidRDefault="0002004B">
      <w:pPr>
        <w:spacing w:after="0"/>
      </w:pPr>
      <w:r>
        <w:separator/>
      </w:r>
    </w:p>
  </w:endnote>
  <w:endnote w:type="continuationSeparator" w:id="0">
    <w:p w14:paraId="4AB93385" w14:textId="77777777" w:rsidR="0002004B" w:rsidRDefault="000200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A471" w14:textId="77777777" w:rsidR="00E61645" w:rsidRPr="00DF37F2" w:rsidRDefault="00E6164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Bolton Clarke Calare (PKA - Calare Residential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186515B" w14:textId="77777777" w:rsidR="00E61645" w:rsidRPr="00DF37F2" w:rsidRDefault="00E6164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2591</w:t>
    </w:r>
    <w:bookmarkEnd w:id="1"/>
    <w:r w:rsidRPr="00DF37F2">
      <w:rPr>
        <w:rStyle w:val="FooterBold"/>
        <w:rFonts w:ascii="Arial" w:hAnsi="Arial"/>
        <w:b w:val="0"/>
      </w:rPr>
      <w:tab/>
      <w:t xml:space="preserve">OFFICIAL: Sensitive </w:t>
    </w:r>
  </w:p>
  <w:p w14:paraId="68EBBC6A" w14:textId="77777777" w:rsidR="00E61645" w:rsidRPr="00DF37F2" w:rsidRDefault="00E6164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247E" w14:textId="77777777" w:rsidR="00E61645" w:rsidRDefault="00E6164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4956" w14:textId="77777777" w:rsidR="0002004B" w:rsidRDefault="0002004B" w:rsidP="00D71F88">
      <w:pPr>
        <w:spacing w:after="0"/>
      </w:pPr>
      <w:r>
        <w:separator/>
      </w:r>
    </w:p>
  </w:footnote>
  <w:footnote w:type="continuationSeparator" w:id="0">
    <w:p w14:paraId="33BEC297" w14:textId="77777777" w:rsidR="0002004B" w:rsidRDefault="0002004B" w:rsidP="00D71F88">
      <w:pPr>
        <w:spacing w:after="0"/>
      </w:pPr>
      <w:r>
        <w:continuationSeparator/>
      </w:r>
    </w:p>
  </w:footnote>
  <w:footnote w:id="1">
    <w:p w14:paraId="0F2372C1" w14:textId="73D9108F" w:rsidR="00E61645" w:rsidRDefault="00E61645" w:rsidP="000078F8">
      <w:pPr>
        <w:pStyle w:val="FootnoteText"/>
        <w:rPr>
          <w:rFonts w:ascii="Arial" w:hAnsi="Arial"/>
          <w:sz w:val="20"/>
          <w:szCs w:val="20"/>
        </w:rPr>
      </w:pPr>
      <w:r>
        <w:rPr>
          <w:rStyle w:val="FootnoteReference"/>
        </w:rPr>
        <w:footnoteRef/>
      </w:r>
      <w:r>
        <w:t xml:space="preserve"> </w:t>
      </w:r>
      <w:r w:rsidRPr="000F7F1F">
        <w:rPr>
          <w:rFonts w:ascii="Arial" w:hAnsi="Arial"/>
          <w:color w:val="auto"/>
          <w:sz w:val="20"/>
          <w:szCs w:val="20"/>
        </w:rPr>
        <w:t>The preparation of the performance report is in accordance with section 68A</w:t>
      </w:r>
      <w:r w:rsidRPr="000F7F1F">
        <w:rPr>
          <w:rFonts w:ascii="Arial" w:hAnsi="Arial"/>
          <w:b/>
          <w:color w:val="auto"/>
          <w:sz w:val="20"/>
          <w:szCs w:val="20"/>
        </w:rPr>
        <w:t xml:space="preserve"> </w:t>
      </w:r>
      <w:r w:rsidRPr="000F7F1F">
        <w:rPr>
          <w:rFonts w:ascii="Arial" w:hAnsi="Arial"/>
          <w:color w:val="auto"/>
          <w:sz w:val="20"/>
          <w:szCs w:val="20"/>
        </w:rPr>
        <w:t>of the Aged Care Quality and</w:t>
      </w:r>
      <w:r w:rsidRPr="00443CA4">
        <w:rPr>
          <w:rFonts w:ascii="Arial" w:hAnsi="Arial"/>
          <w:sz w:val="20"/>
          <w:szCs w:val="20"/>
        </w:rPr>
        <w:t xml:space="preserve"> Safety Commission Rules 2018.</w:t>
      </w:r>
    </w:p>
    <w:p w14:paraId="5DF61653" w14:textId="77777777" w:rsidR="00E61645" w:rsidRDefault="00E6164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CF88" w14:textId="77777777" w:rsidR="00E61645" w:rsidRDefault="00E61645">
    <w:pPr>
      <w:pStyle w:val="Header"/>
    </w:pPr>
    <w:r>
      <w:rPr>
        <w:noProof/>
        <w:color w:val="2B579A"/>
        <w:shd w:val="clear" w:color="auto" w:fill="E6E6E6"/>
        <w:lang w:val="en-US"/>
      </w:rPr>
      <w:drawing>
        <wp:anchor distT="0" distB="0" distL="114300" distR="114300" simplePos="0" relativeHeight="251658241" behindDoc="1" locked="0" layoutInCell="1" allowOverlap="1" wp14:anchorId="114D531A" wp14:editId="5E79CE8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ECD3" w14:textId="77777777" w:rsidR="00E61645" w:rsidRDefault="00E61645">
    <w:pPr>
      <w:pStyle w:val="Header"/>
    </w:pPr>
    <w:r>
      <w:rPr>
        <w:noProof/>
      </w:rPr>
      <w:drawing>
        <wp:anchor distT="0" distB="0" distL="114300" distR="114300" simplePos="0" relativeHeight="251658240" behindDoc="0" locked="0" layoutInCell="1" allowOverlap="1" wp14:anchorId="01F51931" wp14:editId="32D421D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D4057C2">
      <w:start w:val="1"/>
      <w:numFmt w:val="lowerRoman"/>
      <w:lvlText w:val="(%1)"/>
      <w:lvlJc w:val="left"/>
      <w:pPr>
        <w:ind w:left="1080" w:hanging="720"/>
      </w:pPr>
      <w:rPr>
        <w:rFonts w:hint="default"/>
      </w:rPr>
    </w:lvl>
    <w:lvl w:ilvl="1" w:tplc="06846FC0" w:tentative="1">
      <w:start w:val="1"/>
      <w:numFmt w:val="lowerLetter"/>
      <w:lvlText w:val="%2."/>
      <w:lvlJc w:val="left"/>
      <w:pPr>
        <w:ind w:left="1440" w:hanging="360"/>
      </w:pPr>
    </w:lvl>
    <w:lvl w:ilvl="2" w:tplc="B3A44B20" w:tentative="1">
      <w:start w:val="1"/>
      <w:numFmt w:val="lowerRoman"/>
      <w:lvlText w:val="%3."/>
      <w:lvlJc w:val="right"/>
      <w:pPr>
        <w:ind w:left="2160" w:hanging="180"/>
      </w:pPr>
    </w:lvl>
    <w:lvl w:ilvl="3" w:tplc="67AC94A0" w:tentative="1">
      <w:start w:val="1"/>
      <w:numFmt w:val="decimal"/>
      <w:lvlText w:val="%4."/>
      <w:lvlJc w:val="left"/>
      <w:pPr>
        <w:ind w:left="2880" w:hanging="360"/>
      </w:pPr>
    </w:lvl>
    <w:lvl w:ilvl="4" w:tplc="41F0FA5C" w:tentative="1">
      <w:start w:val="1"/>
      <w:numFmt w:val="lowerLetter"/>
      <w:lvlText w:val="%5."/>
      <w:lvlJc w:val="left"/>
      <w:pPr>
        <w:ind w:left="3600" w:hanging="360"/>
      </w:pPr>
    </w:lvl>
    <w:lvl w:ilvl="5" w:tplc="35B6181E" w:tentative="1">
      <w:start w:val="1"/>
      <w:numFmt w:val="lowerRoman"/>
      <w:lvlText w:val="%6."/>
      <w:lvlJc w:val="right"/>
      <w:pPr>
        <w:ind w:left="4320" w:hanging="180"/>
      </w:pPr>
    </w:lvl>
    <w:lvl w:ilvl="6" w:tplc="8C041B86" w:tentative="1">
      <w:start w:val="1"/>
      <w:numFmt w:val="decimal"/>
      <w:lvlText w:val="%7."/>
      <w:lvlJc w:val="left"/>
      <w:pPr>
        <w:ind w:left="5040" w:hanging="360"/>
      </w:pPr>
    </w:lvl>
    <w:lvl w:ilvl="7" w:tplc="67D8572C" w:tentative="1">
      <w:start w:val="1"/>
      <w:numFmt w:val="lowerLetter"/>
      <w:lvlText w:val="%8."/>
      <w:lvlJc w:val="left"/>
      <w:pPr>
        <w:ind w:left="5760" w:hanging="360"/>
      </w:pPr>
    </w:lvl>
    <w:lvl w:ilvl="8" w:tplc="859E9EC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054DA18">
      <w:start w:val="1"/>
      <w:numFmt w:val="lowerRoman"/>
      <w:lvlText w:val="(%1)"/>
      <w:lvlJc w:val="left"/>
      <w:pPr>
        <w:ind w:left="1080" w:hanging="720"/>
      </w:pPr>
      <w:rPr>
        <w:rFonts w:hint="default"/>
      </w:rPr>
    </w:lvl>
    <w:lvl w:ilvl="1" w:tplc="5C165594" w:tentative="1">
      <w:start w:val="1"/>
      <w:numFmt w:val="lowerLetter"/>
      <w:lvlText w:val="%2."/>
      <w:lvlJc w:val="left"/>
      <w:pPr>
        <w:ind w:left="1440" w:hanging="360"/>
      </w:pPr>
    </w:lvl>
    <w:lvl w:ilvl="2" w:tplc="84C87A4A" w:tentative="1">
      <w:start w:val="1"/>
      <w:numFmt w:val="lowerRoman"/>
      <w:lvlText w:val="%3."/>
      <w:lvlJc w:val="right"/>
      <w:pPr>
        <w:ind w:left="2160" w:hanging="180"/>
      </w:pPr>
    </w:lvl>
    <w:lvl w:ilvl="3" w:tplc="0A78F1DE" w:tentative="1">
      <w:start w:val="1"/>
      <w:numFmt w:val="decimal"/>
      <w:lvlText w:val="%4."/>
      <w:lvlJc w:val="left"/>
      <w:pPr>
        <w:ind w:left="2880" w:hanging="360"/>
      </w:pPr>
    </w:lvl>
    <w:lvl w:ilvl="4" w:tplc="7FD80D4A" w:tentative="1">
      <w:start w:val="1"/>
      <w:numFmt w:val="lowerLetter"/>
      <w:lvlText w:val="%5."/>
      <w:lvlJc w:val="left"/>
      <w:pPr>
        <w:ind w:left="3600" w:hanging="360"/>
      </w:pPr>
    </w:lvl>
    <w:lvl w:ilvl="5" w:tplc="1DC6B472" w:tentative="1">
      <w:start w:val="1"/>
      <w:numFmt w:val="lowerRoman"/>
      <w:lvlText w:val="%6."/>
      <w:lvlJc w:val="right"/>
      <w:pPr>
        <w:ind w:left="4320" w:hanging="180"/>
      </w:pPr>
    </w:lvl>
    <w:lvl w:ilvl="6" w:tplc="1D440060" w:tentative="1">
      <w:start w:val="1"/>
      <w:numFmt w:val="decimal"/>
      <w:lvlText w:val="%7."/>
      <w:lvlJc w:val="left"/>
      <w:pPr>
        <w:ind w:left="5040" w:hanging="360"/>
      </w:pPr>
    </w:lvl>
    <w:lvl w:ilvl="7" w:tplc="B282B790" w:tentative="1">
      <w:start w:val="1"/>
      <w:numFmt w:val="lowerLetter"/>
      <w:lvlText w:val="%8."/>
      <w:lvlJc w:val="left"/>
      <w:pPr>
        <w:ind w:left="5760" w:hanging="360"/>
      </w:pPr>
    </w:lvl>
    <w:lvl w:ilvl="8" w:tplc="C0F0636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D421022">
      <w:start w:val="1"/>
      <w:numFmt w:val="lowerRoman"/>
      <w:lvlText w:val="(%1)"/>
      <w:lvlJc w:val="left"/>
      <w:pPr>
        <w:ind w:left="1080" w:hanging="720"/>
      </w:pPr>
      <w:rPr>
        <w:rFonts w:hint="default"/>
      </w:rPr>
    </w:lvl>
    <w:lvl w:ilvl="1" w:tplc="52BC7E7A" w:tentative="1">
      <w:start w:val="1"/>
      <w:numFmt w:val="lowerLetter"/>
      <w:lvlText w:val="%2."/>
      <w:lvlJc w:val="left"/>
      <w:pPr>
        <w:ind w:left="1440" w:hanging="360"/>
      </w:pPr>
    </w:lvl>
    <w:lvl w:ilvl="2" w:tplc="76BA442C" w:tentative="1">
      <w:start w:val="1"/>
      <w:numFmt w:val="lowerRoman"/>
      <w:lvlText w:val="%3."/>
      <w:lvlJc w:val="right"/>
      <w:pPr>
        <w:ind w:left="2160" w:hanging="180"/>
      </w:pPr>
    </w:lvl>
    <w:lvl w:ilvl="3" w:tplc="D7DA7B16" w:tentative="1">
      <w:start w:val="1"/>
      <w:numFmt w:val="decimal"/>
      <w:lvlText w:val="%4."/>
      <w:lvlJc w:val="left"/>
      <w:pPr>
        <w:ind w:left="2880" w:hanging="360"/>
      </w:pPr>
    </w:lvl>
    <w:lvl w:ilvl="4" w:tplc="5A10920C" w:tentative="1">
      <w:start w:val="1"/>
      <w:numFmt w:val="lowerLetter"/>
      <w:lvlText w:val="%5."/>
      <w:lvlJc w:val="left"/>
      <w:pPr>
        <w:ind w:left="3600" w:hanging="360"/>
      </w:pPr>
    </w:lvl>
    <w:lvl w:ilvl="5" w:tplc="7C844858" w:tentative="1">
      <w:start w:val="1"/>
      <w:numFmt w:val="lowerRoman"/>
      <w:lvlText w:val="%6."/>
      <w:lvlJc w:val="right"/>
      <w:pPr>
        <w:ind w:left="4320" w:hanging="180"/>
      </w:pPr>
    </w:lvl>
    <w:lvl w:ilvl="6" w:tplc="B540EDEA" w:tentative="1">
      <w:start w:val="1"/>
      <w:numFmt w:val="decimal"/>
      <w:lvlText w:val="%7."/>
      <w:lvlJc w:val="left"/>
      <w:pPr>
        <w:ind w:left="5040" w:hanging="360"/>
      </w:pPr>
    </w:lvl>
    <w:lvl w:ilvl="7" w:tplc="DA963796" w:tentative="1">
      <w:start w:val="1"/>
      <w:numFmt w:val="lowerLetter"/>
      <w:lvlText w:val="%8."/>
      <w:lvlJc w:val="left"/>
      <w:pPr>
        <w:ind w:left="5760" w:hanging="360"/>
      </w:pPr>
    </w:lvl>
    <w:lvl w:ilvl="8" w:tplc="FA0AD41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E428BB0">
      <w:start w:val="1"/>
      <w:numFmt w:val="bullet"/>
      <w:lvlText w:val=""/>
      <w:lvlJc w:val="left"/>
      <w:pPr>
        <w:ind w:left="720" w:hanging="360"/>
      </w:pPr>
      <w:rPr>
        <w:rFonts w:ascii="Symbol" w:hAnsi="Symbol" w:hint="default"/>
        <w:color w:val="auto"/>
        <w:sz w:val="24"/>
        <w:szCs w:val="24"/>
      </w:rPr>
    </w:lvl>
    <w:lvl w:ilvl="1" w:tplc="67686DEC" w:tentative="1">
      <w:start w:val="1"/>
      <w:numFmt w:val="bullet"/>
      <w:lvlText w:val="o"/>
      <w:lvlJc w:val="left"/>
      <w:pPr>
        <w:ind w:left="1440" w:hanging="360"/>
      </w:pPr>
      <w:rPr>
        <w:rFonts w:ascii="Courier New" w:hAnsi="Courier New" w:cs="Courier New" w:hint="default"/>
      </w:rPr>
    </w:lvl>
    <w:lvl w:ilvl="2" w:tplc="762E2E96" w:tentative="1">
      <w:start w:val="1"/>
      <w:numFmt w:val="bullet"/>
      <w:lvlText w:val=""/>
      <w:lvlJc w:val="left"/>
      <w:pPr>
        <w:ind w:left="2160" w:hanging="360"/>
      </w:pPr>
      <w:rPr>
        <w:rFonts w:ascii="Wingdings" w:hAnsi="Wingdings" w:hint="default"/>
      </w:rPr>
    </w:lvl>
    <w:lvl w:ilvl="3" w:tplc="7A78E4BA" w:tentative="1">
      <w:start w:val="1"/>
      <w:numFmt w:val="bullet"/>
      <w:lvlText w:val=""/>
      <w:lvlJc w:val="left"/>
      <w:pPr>
        <w:ind w:left="2880" w:hanging="360"/>
      </w:pPr>
      <w:rPr>
        <w:rFonts w:ascii="Symbol" w:hAnsi="Symbol" w:hint="default"/>
      </w:rPr>
    </w:lvl>
    <w:lvl w:ilvl="4" w:tplc="6FC41710" w:tentative="1">
      <w:start w:val="1"/>
      <w:numFmt w:val="bullet"/>
      <w:lvlText w:val="o"/>
      <w:lvlJc w:val="left"/>
      <w:pPr>
        <w:ind w:left="3600" w:hanging="360"/>
      </w:pPr>
      <w:rPr>
        <w:rFonts w:ascii="Courier New" w:hAnsi="Courier New" w:cs="Courier New" w:hint="default"/>
      </w:rPr>
    </w:lvl>
    <w:lvl w:ilvl="5" w:tplc="233AED7E" w:tentative="1">
      <w:start w:val="1"/>
      <w:numFmt w:val="bullet"/>
      <w:lvlText w:val=""/>
      <w:lvlJc w:val="left"/>
      <w:pPr>
        <w:ind w:left="4320" w:hanging="360"/>
      </w:pPr>
      <w:rPr>
        <w:rFonts w:ascii="Wingdings" w:hAnsi="Wingdings" w:hint="default"/>
      </w:rPr>
    </w:lvl>
    <w:lvl w:ilvl="6" w:tplc="85E05F12" w:tentative="1">
      <w:start w:val="1"/>
      <w:numFmt w:val="bullet"/>
      <w:lvlText w:val=""/>
      <w:lvlJc w:val="left"/>
      <w:pPr>
        <w:ind w:left="5040" w:hanging="360"/>
      </w:pPr>
      <w:rPr>
        <w:rFonts w:ascii="Symbol" w:hAnsi="Symbol" w:hint="default"/>
      </w:rPr>
    </w:lvl>
    <w:lvl w:ilvl="7" w:tplc="BDC60B42" w:tentative="1">
      <w:start w:val="1"/>
      <w:numFmt w:val="bullet"/>
      <w:lvlText w:val="o"/>
      <w:lvlJc w:val="left"/>
      <w:pPr>
        <w:ind w:left="5760" w:hanging="360"/>
      </w:pPr>
      <w:rPr>
        <w:rFonts w:ascii="Courier New" w:hAnsi="Courier New" w:cs="Courier New" w:hint="default"/>
      </w:rPr>
    </w:lvl>
    <w:lvl w:ilvl="8" w:tplc="6312278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2127526">
      <w:start w:val="1"/>
      <w:numFmt w:val="lowerRoman"/>
      <w:lvlText w:val="(%1)"/>
      <w:lvlJc w:val="left"/>
      <w:pPr>
        <w:ind w:left="1080" w:hanging="720"/>
      </w:pPr>
      <w:rPr>
        <w:rFonts w:hint="default"/>
      </w:rPr>
    </w:lvl>
    <w:lvl w:ilvl="1" w:tplc="CE5895A8" w:tentative="1">
      <w:start w:val="1"/>
      <w:numFmt w:val="lowerLetter"/>
      <w:lvlText w:val="%2."/>
      <w:lvlJc w:val="left"/>
      <w:pPr>
        <w:ind w:left="1440" w:hanging="360"/>
      </w:pPr>
    </w:lvl>
    <w:lvl w:ilvl="2" w:tplc="F910A04C" w:tentative="1">
      <w:start w:val="1"/>
      <w:numFmt w:val="lowerRoman"/>
      <w:lvlText w:val="%3."/>
      <w:lvlJc w:val="right"/>
      <w:pPr>
        <w:ind w:left="2160" w:hanging="180"/>
      </w:pPr>
    </w:lvl>
    <w:lvl w:ilvl="3" w:tplc="264C9604" w:tentative="1">
      <w:start w:val="1"/>
      <w:numFmt w:val="decimal"/>
      <w:lvlText w:val="%4."/>
      <w:lvlJc w:val="left"/>
      <w:pPr>
        <w:ind w:left="2880" w:hanging="360"/>
      </w:pPr>
    </w:lvl>
    <w:lvl w:ilvl="4" w:tplc="BDBA1DD0" w:tentative="1">
      <w:start w:val="1"/>
      <w:numFmt w:val="lowerLetter"/>
      <w:lvlText w:val="%5."/>
      <w:lvlJc w:val="left"/>
      <w:pPr>
        <w:ind w:left="3600" w:hanging="360"/>
      </w:pPr>
    </w:lvl>
    <w:lvl w:ilvl="5" w:tplc="2E502628" w:tentative="1">
      <w:start w:val="1"/>
      <w:numFmt w:val="lowerRoman"/>
      <w:lvlText w:val="%6."/>
      <w:lvlJc w:val="right"/>
      <w:pPr>
        <w:ind w:left="4320" w:hanging="180"/>
      </w:pPr>
    </w:lvl>
    <w:lvl w:ilvl="6" w:tplc="43A21B50" w:tentative="1">
      <w:start w:val="1"/>
      <w:numFmt w:val="decimal"/>
      <w:lvlText w:val="%7."/>
      <w:lvlJc w:val="left"/>
      <w:pPr>
        <w:ind w:left="5040" w:hanging="360"/>
      </w:pPr>
    </w:lvl>
    <w:lvl w:ilvl="7" w:tplc="26B8DDD8" w:tentative="1">
      <w:start w:val="1"/>
      <w:numFmt w:val="lowerLetter"/>
      <w:lvlText w:val="%8."/>
      <w:lvlJc w:val="left"/>
      <w:pPr>
        <w:ind w:left="5760" w:hanging="360"/>
      </w:pPr>
    </w:lvl>
    <w:lvl w:ilvl="8" w:tplc="573AAFB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AFEB31E">
      <w:start w:val="1"/>
      <w:numFmt w:val="lowerRoman"/>
      <w:lvlText w:val="(%1)"/>
      <w:lvlJc w:val="left"/>
      <w:pPr>
        <w:ind w:left="1080" w:hanging="720"/>
      </w:pPr>
      <w:rPr>
        <w:rFonts w:hint="default"/>
      </w:rPr>
    </w:lvl>
    <w:lvl w:ilvl="1" w:tplc="09CAEDAE" w:tentative="1">
      <w:start w:val="1"/>
      <w:numFmt w:val="lowerLetter"/>
      <w:lvlText w:val="%2."/>
      <w:lvlJc w:val="left"/>
      <w:pPr>
        <w:ind w:left="1440" w:hanging="360"/>
      </w:pPr>
    </w:lvl>
    <w:lvl w:ilvl="2" w:tplc="CAB2B85A" w:tentative="1">
      <w:start w:val="1"/>
      <w:numFmt w:val="lowerRoman"/>
      <w:lvlText w:val="%3."/>
      <w:lvlJc w:val="right"/>
      <w:pPr>
        <w:ind w:left="2160" w:hanging="180"/>
      </w:pPr>
    </w:lvl>
    <w:lvl w:ilvl="3" w:tplc="E9E20F5C" w:tentative="1">
      <w:start w:val="1"/>
      <w:numFmt w:val="decimal"/>
      <w:lvlText w:val="%4."/>
      <w:lvlJc w:val="left"/>
      <w:pPr>
        <w:ind w:left="2880" w:hanging="360"/>
      </w:pPr>
    </w:lvl>
    <w:lvl w:ilvl="4" w:tplc="BC3840E4" w:tentative="1">
      <w:start w:val="1"/>
      <w:numFmt w:val="lowerLetter"/>
      <w:lvlText w:val="%5."/>
      <w:lvlJc w:val="left"/>
      <w:pPr>
        <w:ind w:left="3600" w:hanging="360"/>
      </w:pPr>
    </w:lvl>
    <w:lvl w:ilvl="5" w:tplc="B536565A" w:tentative="1">
      <w:start w:val="1"/>
      <w:numFmt w:val="lowerRoman"/>
      <w:lvlText w:val="%6."/>
      <w:lvlJc w:val="right"/>
      <w:pPr>
        <w:ind w:left="4320" w:hanging="180"/>
      </w:pPr>
    </w:lvl>
    <w:lvl w:ilvl="6" w:tplc="42B202B2" w:tentative="1">
      <w:start w:val="1"/>
      <w:numFmt w:val="decimal"/>
      <w:lvlText w:val="%7."/>
      <w:lvlJc w:val="left"/>
      <w:pPr>
        <w:ind w:left="5040" w:hanging="360"/>
      </w:pPr>
    </w:lvl>
    <w:lvl w:ilvl="7" w:tplc="CEAE64F2" w:tentative="1">
      <w:start w:val="1"/>
      <w:numFmt w:val="lowerLetter"/>
      <w:lvlText w:val="%8."/>
      <w:lvlJc w:val="left"/>
      <w:pPr>
        <w:ind w:left="5760" w:hanging="360"/>
      </w:pPr>
    </w:lvl>
    <w:lvl w:ilvl="8" w:tplc="1402D33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60E3D10">
      <w:start w:val="1"/>
      <w:numFmt w:val="lowerRoman"/>
      <w:lvlText w:val="(%1)"/>
      <w:lvlJc w:val="left"/>
      <w:pPr>
        <w:ind w:left="1080" w:hanging="720"/>
      </w:pPr>
      <w:rPr>
        <w:rFonts w:hint="default"/>
      </w:rPr>
    </w:lvl>
    <w:lvl w:ilvl="1" w:tplc="11EE3DB2" w:tentative="1">
      <w:start w:val="1"/>
      <w:numFmt w:val="lowerLetter"/>
      <w:lvlText w:val="%2."/>
      <w:lvlJc w:val="left"/>
      <w:pPr>
        <w:ind w:left="1440" w:hanging="360"/>
      </w:pPr>
    </w:lvl>
    <w:lvl w:ilvl="2" w:tplc="2242C0C4" w:tentative="1">
      <w:start w:val="1"/>
      <w:numFmt w:val="lowerRoman"/>
      <w:lvlText w:val="%3."/>
      <w:lvlJc w:val="right"/>
      <w:pPr>
        <w:ind w:left="2160" w:hanging="180"/>
      </w:pPr>
    </w:lvl>
    <w:lvl w:ilvl="3" w:tplc="AB648F48" w:tentative="1">
      <w:start w:val="1"/>
      <w:numFmt w:val="decimal"/>
      <w:lvlText w:val="%4."/>
      <w:lvlJc w:val="left"/>
      <w:pPr>
        <w:ind w:left="2880" w:hanging="360"/>
      </w:pPr>
    </w:lvl>
    <w:lvl w:ilvl="4" w:tplc="21984FE6" w:tentative="1">
      <w:start w:val="1"/>
      <w:numFmt w:val="lowerLetter"/>
      <w:lvlText w:val="%5."/>
      <w:lvlJc w:val="left"/>
      <w:pPr>
        <w:ind w:left="3600" w:hanging="360"/>
      </w:pPr>
    </w:lvl>
    <w:lvl w:ilvl="5" w:tplc="952AE5C8" w:tentative="1">
      <w:start w:val="1"/>
      <w:numFmt w:val="lowerRoman"/>
      <w:lvlText w:val="%6."/>
      <w:lvlJc w:val="right"/>
      <w:pPr>
        <w:ind w:left="4320" w:hanging="180"/>
      </w:pPr>
    </w:lvl>
    <w:lvl w:ilvl="6" w:tplc="C3FE5852" w:tentative="1">
      <w:start w:val="1"/>
      <w:numFmt w:val="decimal"/>
      <w:lvlText w:val="%7."/>
      <w:lvlJc w:val="left"/>
      <w:pPr>
        <w:ind w:left="5040" w:hanging="360"/>
      </w:pPr>
    </w:lvl>
    <w:lvl w:ilvl="7" w:tplc="CF7C71CE" w:tentative="1">
      <w:start w:val="1"/>
      <w:numFmt w:val="lowerLetter"/>
      <w:lvlText w:val="%8."/>
      <w:lvlJc w:val="left"/>
      <w:pPr>
        <w:ind w:left="5760" w:hanging="360"/>
      </w:pPr>
    </w:lvl>
    <w:lvl w:ilvl="8" w:tplc="83DE606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5B0812E">
      <w:start w:val="1"/>
      <w:numFmt w:val="lowerRoman"/>
      <w:lvlText w:val="(%1)"/>
      <w:lvlJc w:val="left"/>
      <w:pPr>
        <w:ind w:left="1080" w:hanging="720"/>
      </w:pPr>
      <w:rPr>
        <w:rFonts w:hint="default"/>
      </w:rPr>
    </w:lvl>
    <w:lvl w:ilvl="1" w:tplc="50F2C810" w:tentative="1">
      <w:start w:val="1"/>
      <w:numFmt w:val="lowerLetter"/>
      <w:lvlText w:val="%2."/>
      <w:lvlJc w:val="left"/>
      <w:pPr>
        <w:ind w:left="1440" w:hanging="360"/>
      </w:pPr>
    </w:lvl>
    <w:lvl w:ilvl="2" w:tplc="97425598" w:tentative="1">
      <w:start w:val="1"/>
      <w:numFmt w:val="lowerRoman"/>
      <w:lvlText w:val="%3."/>
      <w:lvlJc w:val="right"/>
      <w:pPr>
        <w:ind w:left="2160" w:hanging="180"/>
      </w:pPr>
    </w:lvl>
    <w:lvl w:ilvl="3" w:tplc="2CD8DF38" w:tentative="1">
      <w:start w:val="1"/>
      <w:numFmt w:val="decimal"/>
      <w:lvlText w:val="%4."/>
      <w:lvlJc w:val="left"/>
      <w:pPr>
        <w:ind w:left="2880" w:hanging="360"/>
      </w:pPr>
    </w:lvl>
    <w:lvl w:ilvl="4" w:tplc="F2F4FB1A" w:tentative="1">
      <w:start w:val="1"/>
      <w:numFmt w:val="lowerLetter"/>
      <w:lvlText w:val="%5."/>
      <w:lvlJc w:val="left"/>
      <w:pPr>
        <w:ind w:left="3600" w:hanging="360"/>
      </w:pPr>
    </w:lvl>
    <w:lvl w:ilvl="5" w:tplc="DDF497CE" w:tentative="1">
      <w:start w:val="1"/>
      <w:numFmt w:val="lowerRoman"/>
      <w:lvlText w:val="%6."/>
      <w:lvlJc w:val="right"/>
      <w:pPr>
        <w:ind w:left="4320" w:hanging="180"/>
      </w:pPr>
    </w:lvl>
    <w:lvl w:ilvl="6" w:tplc="60EA57FE" w:tentative="1">
      <w:start w:val="1"/>
      <w:numFmt w:val="decimal"/>
      <w:lvlText w:val="%7."/>
      <w:lvlJc w:val="left"/>
      <w:pPr>
        <w:ind w:left="5040" w:hanging="360"/>
      </w:pPr>
    </w:lvl>
    <w:lvl w:ilvl="7" w:tplc="260641CC" w:tentative="1">
      <w:start w:val="1"/>
      <w:numFmt w:val="lowerLetter"/>
      <w:lvlText w:val="%8."/>
      <w:lvlJc w:val="left"/>
      <w:pPr>
        <w:ind w:left="5760" w:hanging="360"/>
      </w:pPr>
    </w:lvl>
    <w:lvl w:ilvl="8" w:tplc="B78AD51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41ABC0E">
      <w:start w:val="1"/>
      <w:numFmt w:val="lowerRoman"/>
      <w:lvlText w:val="(%1)"/>
      <w:lvlJc w:val="left"/>
      <w:pPr>
        <w:ind w:left="1080" w:hanging="720"/>
      </w:pPr>
      <w:rPr>
        <w:rFonts w:hint="default"/>
      </w:rPr>
    </w:lvl>
    <w:lvl w:ilvl="1" w:tplc="E814FB02" w:tentative="1">
      <w:start w:val="1"/>
      <w:numFmt w:val="lowerLetter"/>
      <w:lvlText w:val="%2."/>
      <w:lvlJc w:val="left"/>
      <w:pPr>
        <w:ind w:left="1440" w:hanging="360"/>
      </w:pPr>
    </w:lvl>
    <w:lvl w:ilvl="2" w:tplc="FEF48366" w:tentative="1">
      <w:start w:val="1"/>
      <w:numFmt w:val="lowerRoman"/>
      <w:lvlText w:val="%3."/>
      <w:lvlJc w:val="right"/>
      <w:pPr>
        <w:ind w:left="2160" w:hanging="180"/>
      </w:pPr>
    </w:lvl>
    <w:lvl w:ilvl="3" w:tplc="5C9671E4" w:tentative="1">
      <w:start w:val="1"/>
      <w:numFmt w:val="decimal"/>
      <w:lvlText w:val="%4."/>
      <w:lvlJc w:val="left"/>
      <w:pPr>
        <w:ind w:left="2880" w:hanging="360"/>
      </w:pPr>
    </w:lvl>
    <w:lvl w:ilvl="4" w:tplc="AED832F4" w:tentative="1">
      <w:start w:val="1"/>
      <w:numFmt w:val="lowerLetter"/>
      <w:lvlText w:val="%5."/>
      <w:lvlJc w:val="left"/>
      <w:pPr>
        <w:ind w:left="3600" w:hanging="360"/>
      </w:pPr>
    </w:lvl>
    <w:lvl w:ilvl="5" w:tplc="27F2DC72" w:tentative="1">
      <w:start w:val="1"/>
      <w:numFmt w:val="lowerRoman"/>
      <w:lvlText w:val="%6."/>
      <w:lvlJc w:val="right"/>
      <w:pPr>
        <w:ind w:left="4320" w:hanging="180"/>
      </w:pPr>
    </w:lvl>
    <w:lvl w:ilvl="6" w:tplc="82EC2296" w:tentative="1">
      <w:start w:val="1"/>
      <w:numFmt w:val="decimal"/>
      <w:lvlText w:val="%7."/>
      <w:lvlJc w:val="left"/>
      <w:pPr>
        <w:ind w:left="5040" w:hanging="360"/>
      </w:pPr>
    </w:lvl>
    <w:lvl w:ilvl="7" w:tplc="3C7248F0" w:tentative="1">
      <w:start w:val="1"/>
      <w:numFmt w:val="lowerLetter"/>
      <w:lvlText w:val="%8."/>
      <w:lvlJc w:val="left"/>
      <w:pPr>
        <w:ind w:left="5760" w:hanging="360"/>
      </w:pPr>
    </w:lvl>
    <w:lvl w:ilvl="8" w:tplc="6C4C1E8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F1EADC4">
      <w:start w:val="1"/>
      <w:numFmt w:val="lowerRoman"/>
      <w:lvlText w:val="(%1)"/>
      <w:lvlJc w:val="left"/>
      <w:pPr>
        <w:ind w:left="1080" w:hanging="720"/>
      </w:pPr>
      <w:rPr>
        <w:rFonts w:hint="default"/>
      </w:rPr>
    </w:lvl>
    <w:lvl w:ilvl="1" w:tplc="BB9AB0A4" w:tentative="1">
      <w:start w:val="1"/>
      <w:numFmt w:val="lowerLetter"/>
      <w:lvlText w:val="%2."/>
      <w:lvlJc w:val="left"/>
      <w:pPr>
        <w:ind w:left="1440" w:hanging="360"/>
      </w:pPr>
    </w:lvl>
    <w:lvl w:ilvl="2" w:tplc="0A3863EE" w:tentative="1">
      <w:start w:val="1"/>
      <w:numFmt w:val="lowerRoman"/>
      <w:lvlText w:val="%3."/>
      <w:lvlJc w:val="right"/>
      <w:pPr>
        <w:ind w:left="2160" w:hanging="180"/>
      </w:pPr>
    </w:lvl>
    <w:lvl w:ilvl="3" w:tplc="3C5AD82E" w:tentative="1">
      <w:start w:val="1"/>
      <w:numFmt w:val="decimal"/>
      <w:lvlText w:val="%4."/>
      <w:lvlJc w:val="left"/>
      <w:pPr>
        <w:ind w:left="2880" w:hanging="360"/>
      </w:pPr>
    </w:lvl>
    <w:lvl w:ilvl="4" w:tplc="EBEA05B2" w:tentative="1">
      <w:start w:val="1"/>
      <w:numFmt w:val="lowerLetter"/>
      <w:lvlText w:val="%5."/>
      <w:lvlJc w:val="left"/>
      <w:pPr>
        <w:ind w:left="3600" w:hanging="360"/>
      </w:pPr>
    </w:lvl>
    <w:lvl w:ilvl="5" w:tplc="F5D0B51A" w:tentative="1">
      <w:start w:val="1"/>
      <w:numFmt w:val="lowerRoman"/>
      <w:lvlText w:val="%6."/>
      <w:lvlJc w:val="right"/>
      <w:pPr>
        <w:ind w:left="4320" w:hanging="180"/>
      </w:pPr>
    </w:lvl>
    <w:lvl w:ilvl="6" w:tplc="38241E86" w:tentative="1">
      <w:start w:val="1"/>
      <w:numFmt w:val="decimal"/>
      <w:lvlText w:val="%7."/>
      <w:lvlJc w:val="left"/>
      <w:pPr>
        <w:ind w:left="5040" w:hanging="360"/>
      </w:pPr>
    </w:lvl>
    <w:lvl w:ilvl="7" w:tplc="493AC1C6" w:tentative="1">
      <w:start w:val="1"/>
      <w:numFmt w:val="lowerLetter"/>
      <w:lvlText w:val="%8."/>
      <w:lvlJc w:val="left"/>
      <w:pPr>
        <w:ind w:left="5760" w:hanging="360"/>
      </w:pPr>
    </w:lvl>
    <w:lvl w:ilvl="8" w:tplc="4F6A013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4083688">
    <w:abstractNumId w:val="11"/>
  </w:num>
  <w:num w:numId="2" w16cid:durableId="363792675">
    <w:abstractNumId w:val="4"/>
  </w:num>
  <w:num w:numId="3" w16cid:durableId="621422408">
    <w:abstractNumId w:val="2"/>
  </w:num>
  <w:num w:numId="4" w16cid:durableId="1523319245">
    <w:abstractNumId w:val="7"/>
  </w:num>
  <w:num w:numId="5" w16cid:durableId="1191459476">
    <w:abstractNumId w:val="6"/>
  </w:num>
  <w:num w:numId="6" w16cid:durableId="547835502">
    <w:abstractNumId w:val="1"/>
  </w:num>
  <w:num w:numId="7" w16cid:durableId="1676683321">
    <w:abstractNumId w:val="9"/>
  </w:num>
  <w:num w:numId="8" w16cid:durableId="1734623828">
    <w:abstractNumId w:val="5"/>
  </w:num>
  <w:num w:numId="9" w16cid:durableId="821778464">
    <w:abstractNumId w:val="8"/>
  </w:num>
  <w:num w:numId="10" w16cid:durableId="788474666">
    <w:abstractNumId w:val="3"/>
  </w:num>
  <w:num w:numId="11" w16cid:durableId="396362445">
    <w:abstractNumId w:val="10"/>
  </w:num>
  <w:num w:numId="12" w16cid:durableId="1567493978">
    <w:abstractNumId w:val="0"/>
  </w:num>
  <w:num w:numId="13" w16cid:durableId="109977910">
    <w:abstractNumId w:val="11"/>
  </w:num>
  <w:num w:numId="14" w16cid:durableId="1974017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31"/>
    <w:rsid w:val="0002004B"/>
    <w:rsid w:val="00037E26"/>
    <w:rsid w:val="00050372"/>
    <w:rsid w:val="00096433"/>
    <w:rsid w:val="000A012D"/>
    <w:rsid w:val="000C216C"/>
    <w:rsid w:val="000F7F1F"/>
    <w:rsid w:val="0013009D"/>
    <w:rsid w:val="001316DD"/>
    <w:rsid w:val="00133AFD"/>
    <w:rsid w:val="00147064"/>
    <w:rsid w:val="00151ED2"/>
    <w:rsid w:val="001977C9"/>
    <w:rsid w:val="001B6C2B"/>
    <w:rsid w:val="00205D36"/>
    <w:rsid w:val="00265042"/>
    <w:rsid w:val="00265DB1"/>
    <w:rsid w:val="002B4D87"/>
    <w:rsid w:val="002D486A"/>
    <w:rsid w:val="002E54FB"/>
    <w:rsid w:val="00333C07"/>
    <w:rsid w:val="0036365A"/>
    <w:rsid w:val="00364E71"/>
    <w:rsid w:val="003D7F72"/>
    <w:rsid w:val="003E6E75"/>
    <w:rsid w:val="003F6ACB"/>
    <w:rsid w:val="0047419D"/>
    <w:rsid w:val="004765C2"/>
    <w:rsid w:val="004B25AF"/>
    <w:rsid w:val="00515CC8"/>
    <w:rsid w:val="00517B01"/>
    <w:rsid w:val="00540DCD"/>
    <w:rsid w:val="00566EC6"/>
    <w:rsid w:val="00582FEA"/>
    <w:rsid w:val="005E163B"/>
    <w:rsid w:val="005F7EAA"/>
    <w:rsid w:val="006127EE"/>
    <w:rsid w:val="00646B9A"/>
    <w:rsid w:val="00661C19"/>
    <w:rsid w:val="00664650"/>
    <w:rsid w:val="006D04E5"/>
    <w:rsid w:val="00723F82"/>
    <w:rsid w:val="00766790"/>
    <w:rsid w:val="00785842"/>
    <w:rsid w:val="007D23A1"/>
    <w:rsid w:val="007F325A"/>
    <w:rsid w:val="00841E1C"/>
    <w:rsid w:val="00850E01"/>
    <w:rsid w:val="008573F2"/>
    <w:rsid w:val="00861946"/>
    <w:rsid w:val="00865AC1"/>
    <w:rsid w:val="00881632"/>
    <w:rsid w:val="008821F5"/>
    <w:rsid w:val="008A17F6"/>
    <w:rsid w:val="008D767A"/>
    <w:rsid w:val="00923B31"/>
    <w:rsid w:val="00972113"/>
    <w:rsid w:val="00976F28"/>
    <w:rsid w:val="009A1276"/>
    <w:rsid w:val="00A17EE2"/>
    <w:rsid w:val="00A40FD0"/>
    <w:rsid w:val="00A5796D"/>
    <w:rsid w:val="00A84D46"/>
    <w:rsid w:val="00A938A6"/>
    <w:rsid w:val="00A96C1D"/>
    <w:rsid w:val="00AB2028"/>
    <w:rsid w:val="00AC76AC"/>
    <w:rsid w:val="00B736EF"/>
    <w:rsid w:val="00BA3BF0"/>
    <w:rsid w:val="00C04AC3"/>
    <w:rsid w:val="00C150AC"/>
    <w:rsid w:val="00C63172"/>
    <w:rsid w:val="00C85417"/>
    <w:rsid w:val="00CD1010"/>
    <w:rsid w:val="00D23A6F"/>
    <w:rsid w:val="00D512B9"/>
    <w:rsid w:val="00D5570F"/>
    <w:rsid w:val="00D732AF"/>
    <w:rsid w:val="00D86135"/>
    <w:rsid w:val="00DF273E"/>
    <w:rsid w:val="00E61645"/>
    <w:rsid w:val="00E75391"/>
    <w:rsid w:val="00E86FC2"/>
    <w:rsid w:val="00EF35FE"/>
    <w:rsid w:val="00F25F94"/>
    <w:rsid w:val="00F56A8C"/>
    <w:rsid w:val="00F73684"/>
    <w:rsid w:val="00F76A31"/>
    <w:rsid w:val="00FA191C"/>
    <w:rsid w:val="00FB776A"/>
    <w:rsid w:val="00FE2E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EBDE1F"/>
  <w15:docId w15:val="{8044A323-3991-450F-82C0-6A9F2140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018DA" w:rsidRDefault="001018DA">
          <w:r w:rsidRPr="00925A3E">
            <w:rPr>
              <w:rStyle w:val="PlaceholderText"/>
            </w:rPr>
            <w:t>Click or tap to enter a date.</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018DA" w:rsidRDefault="001018DA" w:rsidP="00AF0AC5">
          <w:pPr>
            <w:pStyle w:val="464C7F76C5ED4B459401B55A71523716"/>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018DA" w:rsidRDefault="001018DA" w:rsidP="00AF0AC5">
          <w:pPr>
            <w:pStyle w:val="0796204703484FAD9B1778A33922F943"/>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018DA" w:rsidRDefault="001018DA"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18DA"/>
    <w:rsid w:val="0007000C"/>
    <w:rsid w:val="001018DA"/>
    <w:rsid w:val="001977C9"/>
    <w:rsid w:val="00364E71"/>
    <w:rsid w:val="005F7EAA"/>
    <w:rsid w:val="007171E1"/>
    <w:rsid w:val="007F32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464C7F76C5ED4B459401B55A71523716">
    <w:name w:val="464C7F76C5ED4B459401B55A71523716"/>
    <w:rsid w:val="00AF0AC5"/>
  </w:style>
  <w:style w:type="paragraph" w:customStyle="1" w:styleId="0796204703484FAD9B1778A33922F943">
    <w:name w:val="0796204703484FAD9B1778A33922F943"/>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B0B08-89E9-42F0-983D-EA5C18EE37A0}"/>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2110</Words>
  <Characters>12028</Characters>
  <Application>Microsoft Office Word</Application>
  <DocSecurity>12</DocSecurity>
  <Lines>100</Lines>
  <Paragraphs>28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2025-04-01T02:21:00Z</dcterms:created>
  <dcterms:modified xsi:type="dcterms:W3CDTF">2025-04-01T02:21:00Z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