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E0F3E" w14:textId="655E625D" w:rsidR="008F48B4" w:rsidRDefault="00070B4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54B244C" wp14:editId="740455D9">
                <wp:simplePos x="0" y="0"/>
                <wp:positionH relativeFrom="column">
                  <wp:posOffset>-895350</wp:posOffset>
                </wp:positionH>
                <wp:positionV relativeFrom="paragraph">
                  <wp:posOffset>722630</wp:posOffset>
                </wp:positionV>
                <wp:extent cx="5686425" cy="1727200"/>
                <wp:effectExtent l="0" t="0" r="0" b="0"/>
                <wp:wrapSquare wrapText="bothSides"/>
                <wp:docPr id="707269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664B4" w14:textId="77777777" w:rsidR="008F48B4" w:rsidRDefault="008F48B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2121EFD" w14:textId="77777777" w:rsidR="008F48B4" w:rsidRPr="001E694D" w:rsidRDefault="008F48B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C3BA255" w14:textId="77777777" w:rsidR="008F48B4" w:rsidRPr="001E694D" w:rsidRDefault="008F48B4" w:rsidP="009504D0">
                            <w:pPr>
                              <w:pStyle w:val="ContactNumber"/>
                              <w:spacing w:after="600"/>
                              <w:rPr>
                                <w:rFonts w:ascii="Open Sans" w:hAnsi="Open Sans" w:cs="Open Sans"/>
                              </w:rPr>
                            </w:pPr>
                            <w:r w:rsidRPr="001E694D">
                              <w:rPr>
                                <w:rFonts w:ascii="Open Sans" w:hAnsi="Open Sans" w:cs="Open Sans"/>
                              </w:rPr>
                              <w:t>Agedcarequality.gov.au</w:t>
                            </w:r>
                          </w:p>
                          <w:p w14:paraId="36CF693A" w14:textId="77777777" w:rsidR="008F48B4" w:rsidRDefault="008F48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4B244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CC664B4" w14:textId="77777777" w:rsidR="008F48B4" w:rsidRDefault="008F48B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2121EFD" w14:textId="77777777" w:rsidR="008F48B4" w:rsidRPr="001E694D" w:rsidRDefault="008F48B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C3BA255" w14:textId="77777777" w:rsidR="008F48B4" w:rsidRPr="001E694D" w:rsidRDefault="008F48B4" w:rsidP="009504D0">
                      <w:pPr>
                        <w:pStyle w:val="ContactNumber"/>
                        <w:spacing w:after="600"/>
                        <w:rPr>
                          <w:rFonts w:ascii="Open Sans" w:hAnsi="Open Sans" w:cs="Open Sans"/>
                        </w:rPr>
                      </w:pPr>
                      <w:r w:rsidRPr="001E694D">
                        <w:rPr>
                          <w:rFonts w:ascii="Open Sans" w:hAnsi="Open Sans" w:cs="Open Sans"/>
                        </w:rPr>
                        <w:t>Agedcarequality.gov.au</w:t>
                      </w:r>
                    </w:p>
                    <w:p w14:paraId="36CF693A" w14:textId="77777777" w:rsidR="008F48B4" w:rsidRDefault="008F48B4"/>
                  </w:txbxContent>
                </v:textbox>
                <w10:wrap type="square"/>
              </v:shape>
            </w:pict>
          </mc:Fallback>
        </mc:AlternateContent>
      </w:r>
      <w:r w:rsidR="008F48B4">
        <w:rPr>
          <w:noProof/>
        </w:rPr>
        <w:drawing>
          <wp:anchor distT="360045" distB="180340" distL="114300" distR="114300" simplePos="0" relativeHeight="251659264" behindDoc="1" locked="0" layoutInCell="1" allowOverlap="1" wp14:anchorId="2EBC30DB" wp14:editId="04AB12B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55B9831" w14:textId="77777777" w:rsidR="008F48B4" w:rsidRPr="001E694D" w:rsidRDefault="008F48B4" w:rsidP="001E694D">
      <w:pPr>
        <w:tabs>
          <w:tab w:val="left" w:pos="4569"/>
        </w:tabs>
        <w:rPr>
          <w:rFonts w:ascii="Open Sans" w:hAnsi="Open Sans" w:cs="Open Sans"/>
          <w:color w:val="FFFFFF" w:themeColor="background1"/>
          <w:sz w:val="66"/>
          <w:szCs w:val="66"/>
        </w:rPr>
      </w:pPr>
    </w:p>
    <w:p w14:paraId="25EA3B09" w14:textId="77777777" w:rsidR="008F48B4" w:rsidRDefault="008F48B4" w:rsidP="00372ED2">
      <w:pPr>
        <w:spacing w:after="0"/>
        <w:rPr>
          <w:rFonts w:ascii="Open Sans" w:hAnsi="Open Sans" w:cs="Open Sans"/>
          <w:b/>
          <w:bCs/>
          <w:color w:val="FFFFFF" w:themeColor="background1"/>
          <w:sz w:val="66"/>
          <w:szCs w:val="66"/>
        </w:rPr>
      </w:pPr>
    </w:p>
    <w:p w14:paraId="25E79AB1" w14:textId="77777777" w:rsidR="008F48B4" w:rsidRDefault="008F48B4" w:rsidP="00372ED2">
      <w:pPr>
        <w:spacing w:after="0"/>
        <w:rPr>
          <w:rFonts w:ascii="Open Sans" w:hAnsi="Open Sans" w:cs="Open Sans"/>
          <w:b/>
          <w:bCs/>
          <w:color w:val="FFFFFF" w:themeColor="background1"/>
          <w:sz w:val="66"/>
          <w:szCs w:val="66"/>
        </w:rPr>
      </w:pPr>
    </w:p>
    <w:p w14:paraId="41264AA6" w14:textId="77777777" w:rsidR="008F48B4" w:rsidRPr="00412FC5" w:rsidRDefault="008F48B4"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CA1BB0" w14:paraId="25F5A21A" w14:textId="77777777" w:rsidTr="00CA1BB0">
        <w:tc>
          <w:tcPr>
            <w:cnfStyle w:val="001000000000" w:firstRow="0" w:lastRow="0" w:firstColumn="1" w:lastColumn="0" w:oddVBand="0" w:evenVBand="0" w:oddHBand="0" w:evenHBand="0" w:firstRowFirstColumn="0" w:firstRowLastColumn="0" w:lastRowFirstColumn="0" w:lastRowLastColumn="0"/>
            <w:tcW w:w="3227" w:type="dxa"/>
          </w:tcPr>
          <w:p w14:paraId="750A8DAE" w14:textId="77777777" w:rsidR="008F48B4" w:rsidRPr="001E694D" w:rsidRDefault="008F48B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0EA4213" w14:textId="77777777" w:rsidR="008F48B4" w:rsidRPr="001E694D" w:rsidRDefault="008F48B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Bolton Clarke Little Para</w:t>
            </w:r>
          </w:p>
        </w:tc>
      </w:tr>
      <w:tr w:rsidR="00CA1BB0" w14:paraId="77338E84" w14:textId="77777777" w:rsidTr="00CA1B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B58990F" w14:textId="77777777" w:rsidR="008F48B4" w:rsidRPr="001E694D" w:rsidRDefault="008F48B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0F4B794" w14:textId="77777777" w:rsidR="008F48B4" w:rsidRPr="001E694D" w:rsidRDefault="008F48B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6205</w:t>
            </w:r>
          </w:p>
        </w:tc>
      </w:tr>
      <w:tr w:rsidR="00CA1BB0" w14:paraId="3AEE6485" w14:textId="77777777" w:rsidTr="00CA1BB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FEF5192" w14:textId="77777777" w:rsidR="008F48B4" w:rsidRPr="001E694D" w:rsidRDefault="008F48B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B190C01" w14:textId="77777777" w:rsidR="008F48B4" w:rsidRPr="001E694D" w:rsidRDefault="008F48B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24-28 Wayford</w:t>
            </w:r>
            <w:r w:rsidRPr="001E694D">
              <w:rPr>
                <w:rFonts w:ascii="Open Sans" w:eastAsia="Times New Roman" w:hAnsi="Open Sans" w:cs="Open Sans"/>
                <w:lang w:eastAsia="en-AU"/>
              </w:rPr>
              <w:t xml:space="preserve"> Street, ELIZABETH VALE, South Australia, 5112</w:t>
            </w:r>
          </w:p>
        </w:tc>
      </w:tr>
      <w:tr w:rsidR="00CA1BB0" w14:paraId="6E5D42E7" w14:textId="77777777" w:rsidTr="00CA1B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6931A5B" w14:textId="77777777" w:rsidR="008F48B4" w:rsidRPr="001E694D" w:rsidRDefault="008F48B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466FF4F" w14:textId="77777777" w:rsidR="008F48B4" w:rsidRPr="001E694D" w:rsidRDefault="008F48B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CA1BB0" w14:paraId="5DD42048" w14:textId="77777777" w:rsidTr="00CA1BB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ADC8385" w14:textId="77777777" w:rsidR="008F48B4" w:rsidRPr="001E694D" w:rsidRDefault="008F48B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8AE327F" w14:textId="77777777" w:rsidR="008F48B4" w:rsidRPr="001E694D" w:rsidRDefault="008F48B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5 March 2025 to 6 March 2025</w:t>
            </w:r>
          </w:p>
        </w:tc>
      </w:tr>
      <w:tr w:rsidR="00CA1BB0" w14:paraId="6983AE6E" w14:textId="77777777" w:rsidTr="00CA1B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DE74472" w14:textId="77777777" w:rsidR="008F48B4" w:rsidRPr="001E694D" w:rsidRDefault="008F48B4"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308792667"/>
            <w:placeholder>
              <w:docPart w:val="DefaultPlaceholder_-1854013437"/>
            </w:placeholder>
            <w:date w:fullDate="2025-04-03T00:00:00Z">
              <w:dateFormat w:val="d MMMM yyyy"/>
              <w:lid w:val="en-AU"/>
              <w:storeMappedDataAs w:val="dateTime"/>
              <w:calendar w:val="gregorian"/>
            </w:date>
          </w:sdtPr>
          <w:sdtEndPr/>
          <w:sdtContent>
            <w:tc>
              <w:tcPr>
                <w:tcW w:w="7114" w:type="dxa"/>
                <w:shd w:val="clear" w:color="auto" w:fill="FFFFFF" w:themeFill="background1"/>
              </w:tcPr>
              <w:p w14:paraId="1C399E89" w14:textId="365FEE9E" w:rsidR="008F48B4" w:rsidRPr="001E694D" w:rsidRDefault="001C764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April 2025</w:t>
                </w:r>
              </w:p>
            </w:tc>
          </w:sdtContent>
        </w:sdt>
      </w:tr>
      <w:tr w:rsidR="00CA1BB0" w14:paraId="78A23CF1" w14:textId="77777777" w:rsidTr="00CA1BB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BC7A8CB" w14:textId="77777777" w:rsidR="008F48B4" w:rsidRPr="001E694D" w:rsidRDefault="008F48B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5A37719" w14:textId="77777777" w:rsidR="008F48B4" w:rsidRPr="001E694D" w:rsidRDefault="008F48B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1599 RSL Care RDNS Limited </w:t>
            </w:r>
          </w:p>
          <w:p w14:paraId="5B1CBD97" w14:textId="77777777" w:rsidR="008F48B4" w:rsidRPr="001E694D" w:rsidRDefault="008F48B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5357 Bolton Clarke Little Para</w:t>
            </w:r>
          </w:p>
        </w:tc>
      </w:tr>
    </w:tbl>
    <w:bookmarkEnd w:id="0"/>
    <w:p w14:paraId="0308E9C2" w14:textId="77777777" w:rsidR="008F48B4" w:rsidRPr="001E694D" w:rsidRDefault="008F48B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7FC62DD" w14:textId="77777777" w:rsidR="008F48B4" w:rsidRPr="003E162B" w:rsidRDefault="008F48B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8697247" w14:textId="77777777" w:rsidR="008F48B4" w:rsidRPr="001E694D" w:rsidRDefault="008F48B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Bolton Clarke Little Para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Kimberley Reed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0521542" w14:textId="77777777" w:rsidR="008F48B4" w:rsidRPr="001E694D" w:rsidRDefault="008F48B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80638E6" w14:textId="77777777" w:rsidR="008F48B4" w:rsidRPr="001E694D" w:rsidRDefault="008F48B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1C1CB0A" w14:textId="77777777" w:rsidR="008F48B4" w:rsidRPr="003E162B" w:rsidRDefault="008F48B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2970DAF" w14:textId="77777777" w:rsidR="008F48B4" w:rsidRPr="001E694D" w:rsidRDefault="008F48B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7F4BE40" w14:textId="39E922B9" w:rsidR="008F48B4" w:rsidRPr="0074753C" w:rsidRDefault="008F48B4" w:rsidP="00712752">
      <w:pPr>
        <w:pStyle w:val="ListParagraph"/>
        <w:numPr>
          <w:ilvl w:val="0"/>
          <w:numId w:val="2"/>
        </w:numPr>
        <w:spacing w:line="240" w:lineRule="atLeast"/>
        <w:ind w:left="714" w:hanging="357"/>
        <w:contextualSpacing w:val="0"/>
        <w:rPr>
          <w:rFonts w:ascii="Open Sans" w:hAnsi="Open Sans" w:cs="Open Sans"/>
          <w:color w:val="auto"/>
        </w:rPr>
      </w:pPr>
      <w:r w:rsidRPr="0074753C">
        <w:rPr>
          <w:rFonts w:ascii="Open Sans" w:hAnsi="Open Sans" w:cs="Open Sans"/>
          <w:color w:val="auto"/>
        </w:rPr>
        <w:t xml:space="preserve">the </w:t>
      </w:r>
      <w:r w:rsidR="00D67EC3">
        <w:rPr>
          <w:rFonts w:ascii="Open Sans" w:hAnsi="Open Sans" w:cs="Open Sans"/>
          <w:color w:val="auto"/>
        </w:rPr>
        <w:t>A</w:t>
      </w:r>
      <w:r w:rsidRPr="0074753C">
        <w:rPr>
          <w:rFonts w:ascii="Open Sans" w:hAnsi="Open Sans" w:cs="Open Sans"/>
          <w:color w:val="auto"/>
        </w:rPr>
        <w:t xml:space="preserve">ssessment </w:t>
      </w:r>
      <w:r w:rsidR="00D67EC3">
        <w:rPr>
          <w:rFonts w:ascii="Open Sans" w:hAnsi="Open Sans" w:cs="Open Sans"/>
          <w:color w:val="auto"/>
        </w:rPr>
        <w:t>T</w:t>
      </w:r>
      <w:r w:rsidRPr="0074753C">
        <w:rPr>
          <w:rFonts w:ascii="Open Sans" w:hAnsi="Open Sans" w:cs="Open Sans"/>
          <w:color w:val="auto"/>
        </w:rPr>
        <w:t xml:space="preserve">eam’s report for the Assessment contact (performance assessment) – site report was informed by </w:t>
      </w:r>
      <w:r w:rsidR="0054162A" w:rsidRPr="0074753C">
        <w:rPr>
          <w:rFonts w:ascii="Open Sans" w:hAnsi="Open Sans" w:cs="Open Sans"/>
          <w:color w:val="auto"/>
        </w:rPr>
        <w:t>a</w:t>
      </w:r>
      <w:r w:rsidRPr="0074753C">
        <w:rPr>
          <w:rFonts w:ascii="Open Sans" w:hAnsi="Open Sans" w:cs="Open Sans"/>
          <w:color w:val="auto"/>
        </w:rPr>
        <w:t xml:space="preserve"> site assessment, observations at the service, review of documents and interviews with staff, older people/representatives and others</w:t>
      </w:r>
    </w:p>
    <w:p w14:paraId="133388A0" w14:textId="5AA4985B" w:rsidR="008F48B4" w:rsidRPr="00D67EC3" w:rsidRDefault="008F48B4" w:rsidP="00712752">
      <w:pPr>
        <w:pStyle w:val="ListParagraph"/>
        <w:numPr>
          <w:ilvl w:val="0"/>
          <w:numId w:val="2"/>
        </w:numPr>
        <w:spacing w:line="240" w:lineRule="atLeast"/>
        <w:ind w:left="714" w:hanging="357"/>
        <w:contextualSpacing w:val="0"/>
        <w:rPr>
          <w:rFonts w:ascii="Open Sans" w:hAnsi="Open Sans" w:cs="Open Sans"/>
          <w:color w:val="auto"/>
        </w:rPr>
      </w:pPr>
      <w:r w:rsidRPr="00D67EC3">
        <w:rPr>
          <w:rFonts w:ascii="Open Sans" w:hAnsi="Open Sans" w:cs="Open Sans"/>
          <w:color w:val="auto"/>
        </w:rPr>
        <w:t xml:space="preserve">the provider’s response to the </w:t>
      </w:r>
      <w:r w:rsidR="00D67EC3" w:rsidRPr="00D67EC3">
        <w:rPr>
          <w:rFonts w:ascii="Open Sans" w:hAnsi="Open Sans" w:cs="Open Sans"/>
          <w:color w:val="auto"/>
        </w:rPr>
        <w:t>A</w:t>
      </w:r>
      <w:r w:rsidRPr="00D67EC3">
        <w:rPr>
          <w:rFonts w:ascii="Open Sans" w:hAnsi="Open Sans" w:cs="Open Sans"/>
          <w:color w:val="auto"/>
        </w:rPr>
        <w:t xml:space="preserve">ssessment </w:t>
      </w:r>
      <w:r w:rsidR="00D67EC3" w:rsidRPr="00D67EC3">
        <w:rPr>
          <w:rFonts w:ascii="Open Sans" w:hAnsi="Open Sans" w:cs="Open Sans"/>
          <w:color w:val="auto"/>
        </w:rPr>
        <w:t>T</w:t>
      </w:r>
      <w:r w:rsidRPr="00D67EC3">
        <w:rPr>
          <w:rFonts w:ascii="Open Sans" w:hAnsi="Open Sans" w:cs="Open Sans"/>
          <w:color w:val="auto"/>
        </w:rPr>
        <w:t xml:space="preserve">eam’s report received </w:t>
      </w:r>
      <w:r w:rsidR="00C81AB8" w:rsidRPr="00D67EC3">
        <w:rPr>
          <w:rFonts w:ascii="Open Sans" w:hAnsi="Open Sans" w:cs="Open Sans"/>
          <w:color w:val="auto"/>
        </w:rPr>
        <w:t>28 March 2025</w:t>
      </w:r>
    </w:p>
    <w:p w14:paraId="26E42CDC" w14:textId="6AB40219" w:rsidR="0054162A" w:rsidRPr="0074753C" w:rsidRDefault="005531F1" w:rsidP="00712752">
      <w:pPr>
        <w:pStyle w:val="ListParagraph"/>
        <w:numPr>
          <w:ilvl w:val="0"/>
          <w:numId w:val="2"/>
        </w:numPr>
        <w:spacing w:line="240" w:lineRule="atLeast"/>
        <w:ind w:left="714" w:hanging="357"/>
        <w:contextualSpacing w:val="0"/>
        <w:rPr>
          <w:rFonts w:ascii="Open Sans" w:hAnsi="Open Sans" w:cs="Open Sans"/>
          <w:color w:val="auto"/>
        </w:rPr>
      </w:pPr>
      <w:r w:rsidRPr="0074753C">
        <w:rPr>
          <w:rFonts w:ascii="Open Sans" w:hAnsi="Open Sans" w:cs="Open Sans"/>
          <w:color w:val="auto"/>
        </w:rPr>
        <w:t>the Performance report completed 02 August 2024, foll</w:t>
      </w:r>
      <w:r w:rsidR="0074753C" w:rsidRPr="0074753C">
        <w:rPr>
          <w:rFonts w:ascii="Open Sans" w:hAnsi="Open Sans" w:cs="Open Sans"/>
          <w:color w:val="auto"/>
        </w:rPr>
        <w:t>owing an Assessment Contact 13 June 2024</w:t>
      </w:r>
    </w:p>
    <w:p w14:paraId="3B0D20C4" w14:textId="60A0571B" w:rsidR="008F48B4" w:rsidRPr="0074753C" w:rsidRDefault="0054162A" w:rsidP="00712752">
      <w:pPr>
        <w:pStyle w:val="ListParagraph"/>
        <w:numPr>
          <w:ilvl w:val="0"/>
          <w:numId w:val="2"/>
        </w:numPr>
        <w:spacing w:line="240" w:lineRule="atLeast"/>
        <w:ind w:left="714" w:hanging="357"/>
        <w:contextualSpacing w:val="0"/>
        <w:rPr>
          <w:rFonts w:ascii="Open Sans" w:hAnsi="Open Sans" w:cs="Open Sans"/>
          <w:color w:val="auto"/>
        </w:rPr>
      </w:pPr>
      <w:r w:rsidRPr="0074753C">
        <w:rPr>
          <w:rFonts w:ascii="Open Sans" w:hAnsi="Open Sans" w:cs="Open Sans"/>
          <w:color w:val="auto"/>
        </w:rPr>
        <w:t xml:space="preserve">other information and intelligence held by the Commission in relation to the service. </w:t>
      </w:r>
    </w:p>
    <w:p w14:paraId="2AEED680" w14:textId="16C15612" w:rsidR="008F48B4" w:rsidRPr="001E694D" w:rsidRDefault="008F48B4"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7A7A5D3" w14:textId="77777777" w:rsidR="008F48B4" w:rsidRPr="003E162B" w:rsidRDefault="008F48B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A1BB0" w14:paraId="3B91C2C3" w14:textId="77777777" w:rsidTr="00CA1BB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4B79255" w14:textId="77777777" w:rsidR="008F48B4" w:rsidRPr="001E694D" w:rsidRDefault="008F48B4" w:rsidP="002C5FA9">
            <w:pPr>
              <w:keepNext/>
              <w:spacing w:before="0" w:line="22" w:lineRule="atLeast"/>
              <w:rPr>
                <w:rFonts w:ascii="Open Sans" w:hAnsi="Open Sans" w:cs="Open Sans"/>
              </w:rPr>
            </w:pPr>
            <w:r w:rsidRPr="001E694D">
              <w:rPr>
                <w:rFonts w:ascii="Open Sans" w:hAnsi="Open Sans" w:cs="Open Sans"/>
              </w:rPr>
              <w:t>Standard 3 Personal care and clinical care</w:t>
            </w:r>
          </w:p>
        </w:tc>
        <w:tc>
          <w:tcPr>
            <w:tcW w:w="1060" w:type="pct"/>
            <w:shd w:val="clear" w:color="auto" w:fill="auto"/>
          </w:tcPr>
          <w:p w14:paraId="2175B447" w14:textId="77FFF909" w:rsidR="008F48B4" w:rsidRPr="001E694D" w:rsidRDefault="0074753C"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 as not all Requirements were assessed</w:t>
            </w:r>
          </w:p>
        </w:tc>
      </w:tr>
    </w:tbl>
    <w:p w14:paraId="439628AB" w14:textId="77777777" w:rsidR="008F48B4" w:rsidRPr="001E694D" w:rsidRDefault="008F48B4"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2A2F718" w14:textId="77777777" w:rsidR="008F48B4" w:rsidRPr="003E162B" w:rsidRDefault="008F48B4"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EEBBAF3" w14:textId="77777777" w:rsidR="008F48B4" w:rsidRPr="001E694D" w:rsidRDefault="008F48B4"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E5CB94A" w14:textId="3201BE70" w:rsidR="008F48B4" w:rsidRPr="001E694D" w:rsidRDefault="008F48B4" w:rsidP="0036130C">
      <w:pPr>
        <w:pStyle w:val="NormalArial"/>
        <w:rPr>
          <w:rFonts w:ascii="Open Sans" w:hAnsi="Open Sans" w:cs="Open Sans"/>
        </w:rPr>
      </w:pPr>
      <w:r w:rsidRPr="001E694D">
        <w:rPr>
          <w:rFonts w:ascii="Open Sans" w:hAnsi="Open Sans" w:cs="Open Sans"/>
        </w:rPr>
        <w:br w:type="page"/>
      </w:r>
    </w:p>
    <w:p w14:paraId="31D778F3" w14:textId="77777777" w:rsidR="008F48B4" w:rsidRPr="001E694D" w:rsidRDefault="008F48B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CA1BB0" w14:paraId="53FB0B23" w14:textId="77777777" w:rsidTr="00391B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3247CB2F" w14:textId="77777777" w:rsidR="008F48B4" w:rsidRPr="001E694D" w:rsidRDefault="008F48B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074A99CD" w14:textId="77777777" w:rsidR="008F48B4" w:rsidRPr="001E694D" w:rsidRDefault="008F48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A1BB0" w14:paraId="65EC85C5" w14:textId="77777777" w:rsidTr="00391B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E72A5C" w14:textId="77777777" w:rsidR="008F48B4" w:rsidRPr="001E694D" w:rsidRDefault="008F48B4" w:rsidP="002C5FA9">
            <w:pPr>
              <w:spacing w:line="22" w:lineRule="atLeast"/>
              <w:rPr>
                <w:rFonts w:ascii="Open Sans" w:hAnsi="Open Sans" w:cs="Open Sans"/>
              </w:rPr>
            </w:pPr>
            <w:bookmarkStart w:id="1" w:name="_Hlk194061254"/>
            <w:r w:rsidRPr="001E694D">
              <w:rPr>
                <w:rFonts w:ascii="Open Sans" w:hAnsi="Open Sans" w:cs="Open Sans"/>
              </w:rPr>
              <w:t>Requirement 3(3)(a)</w:t>
            </w:r>
            <w:bookmarkEnd w:id="1"/>
          </w:p>
        </w:tc>
        <w:tc>
          <w:tcPr>
            <w:tcW w:w="5694" w:type="dxa"/>
            <w:shd w:val="clear" w:color="auto" w:fill="auto"/>
          </w:tcPr>
          <w:p w14:paraId="1F50F3CD" w14:textId="77777777" w:rsidR="008F48B4" w:rsidRPr="001E694D" w:rsidRDefault="008F48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FA5B3EB" w14:textId="77777777" w:rsidR="008F48B4" w:rsidRPr="001E694D" w:rsidRDefault="008F48B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2F44445" w14:textId="77777777" w:rsidR="008F48B4" w:rsidRPr="001E694D" w:rsidRDefault="008F48B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FEBD552" w14:textId="77777777" w:rsidR="008F48B4" w:rsidRPr="001E694D" w:rsidRDefault="008F48B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556384DA" w14:textId="77777777" w:rsidR="008F48B4" w:rsidRPr="001E694D" w:rsidRDefault="00070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359942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F48B4" w:rsidRPr="001E694D">
                  <w:rPr>
                    <w:rFonts w:ascii="Open Sans" w:hAnsi="Open Sans" w:cs="Open Sans"/>
                  </w:rPr>
                  <w:t>Compliant</w:t>
                </w:r>
              </w:sdtContent>
            </w:sdt>
          </w:p>
        </w:tc>
      </w:tr>
      <w:tr w:rsidR="00CA1BB0" w14:paraId="0292346B" w14:textId="77777777" w:rsidTr="00391B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944B57" w14:textId="77777777" w:rsidR="008F48B4" w:rsidRPr="001E694D" w:rsidRDefault="008F48B4" w:rsidP="002C5FA9">
            <w:pPr>
              <w:spacing w:line="22" w:lineRule="atLeast"/>
              <w:rPr>
                <w:rFonts w:ascii="Open Sans" w:hAnsi="Open Sans" w:cs="Open Sans"/>
              </w:rPr>
            </w:pPr>
            <w:r w:rsidRPr="001E694D">
              <w:rPr>
                <w:rFonts w:ascii="Open Sans" w:hAnsi="Open Sans" w:cs="Open Sans"/>
              </w:rPr>
              <w:t>Requirement 3(3)(e)</w:t>
            </w:r>
          </w:p>
        </w:tc>
        <w:tc>
          <w:tcPr>
            <w:tcW w:w="5694" w:type="dxa"/>
            <w:shd w:val="clear" w:color="auto" w:fill="auto"/>
          </w:tcPr>
          <w:p w14:paraId="591B23CB" w14:textId="77777777" w:rsidR="008F48B4" w:rsidRPr="001E694D" w:rsidRDefault="008F48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871" w:type="dxa"/>
            <w:shd w:val="clear" w:color="auto" w:fill="auto"/>
          </w:tcPr>
          <w:p w14:paraId="0138FEC3" w14:textId="77777777" w:rsidR="008F48B4" w:rsidRPr="001E694D" w:rsidRDefault="00070B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560072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8F48B4" w:rsidRPr="001E694D">
                  <w:rPr>
                    <w:rFonts w:ascii="Open Sans" w:hAnsi="Open Sans" w:cs="Open Sans"/>
                  </w:rPr>
                  <w:t>Compliant</w:t>
                </w:r>
              </w:sdtContent>
            </w:sdt>
          </w:p>
        </w:tc>
      </w:tr>
    </w:tbl>
    <w:p w14:paraId="69F5B977" w14:textId="77777777" w:rsidR="008F48B4" w:rsidRPr="003E162B" w:rsidRDefault="008F48B4" w:rsidP="00D87E7C">
      <w:pPr>
        <w:pStyle w:val="Heading20"/>
        <w:rPr>
          <w:rFonts w:ascii="Open Sans" w:hAnsi="Open Sans" w:cs="Open Sans"/>
          <w:color w:val="781E77"/>
        </w:rPr>
      </w:pPr>
      <w:r w:rsidRPr="003E162B">
        <w:rPr>
          <w:rFonts w:ascii="Open Sans" w:hAnsi="Open Sans" w:cs="Open Sans"/>
          <w:color w:val="781E77"/>
        </w:rPr>
        <w:t>Findings</w:t>
      </w:r>
    </w:p>
    <w:p w14:paraId="12D8E8DE" w14:textId="24B01033" w:rsidR="008F48B4" w:rsidRPr="00AB1E8E" w:rsidRDefault="00166090" w:rsidP="0036130C">
      <w:pPr>
        <w:pStyle w:val="NormalArial"/>
        <w:rPr>
          <w:rFonts w:ascii="Open Sans" w:hAnsi="Open Sans" w:cs="Open Sans"/>
          <w:u w:val="single"/>
        </w:rPr>
      </w:pPr>
      <w:r w:rsidRPr="00AB1E8E">
        <w:rPr>
          <w:rFonts w:ascii="Open Sans" w:hAnsi="Open Sans" w:cs="Open Sans"/>
          <w:u w:val="single"/>
        </w:rPr>
        <w:t>Requirement 3(3)(a)</w:t>
      </w:r>
    </w:p>
    <w:p w14:paraId="35C623E6" w14:textId="0AD87E78" w:rsidR="00166090" w:rsidRDefault="00166090" w:rsidP="0036130C">
      <w:pPr>
        <w:pStyle w:val="NormalArial"/>
        <w:rPr>
          <w:rFonts w:ascii="Open Sans" w:hAnsi="Open Sans" w:cs="Open Sans"/>
        </w:rPr>
      </w:pPr>
      <w:r>
        <w:rPr>
          <w:rFonts w:ascii="Open Sans" w:hAnsi="Open Sans" w:cs="Open Sans"/>
        </w:rPr>
        <w:t>The service was found the be non-compliant in this Requirement following an</w:t>
      </w:r>
      <w:r w:rsidRPr="00166090">
        <w:rPr>
          <w:rFonts w:ascii="Open Sans" w:hAnsi="Open Sans" w:cs="Open Sans"/>
        </w:rPr>
        <w:t xml:space="preserve"> Assessment Contact conducted on 13 June 2024</w:t>
      </w:r>
      <w:r>
        <w:rPr>
          <w:rFonts w:ascii="Open Sans" w:hAnsi="Open Sans" w:cs="Open Sans"/>
        </w:rPr>
        <w:t>.</w:t>
      </w:r>
      <w:r w:rsidRPr="00166090">
        <w:rPr>
          <w:rFonts w:ascii="Open Sans" w:hAnsi="Open Sans" w:cs="Open Sans"/>
        </w:rPr>
        <w:t xml:space="preserve"> The service was unable to demonstrate personal and clinical care needs in relation to pressure injury care, including the assessment and management of pain was undertaken as per</w:t>
      </w:r>
      <w:r w:rsidR="00905512">
        <w:rPr>
          <w:rFonts w:ascii="Open Sans" w:hAnsi="Open Sans" w:cs="Open Sans"/>
        </w:rPr>
        <w:t xml:space="preserve"> </w:t>
      </w:r>
      <w:r w:rsidRPr="00166090">
        <w:rPr>
          <w:rFonts w:ascii="Open Sans" w:hAnsi="Open Sans" w:cs="Open Sans"/>
        </w:rPr>
        <w:t>consumers’ individual needs to optimise their health and wellbeing, and documentation did not demonstrate individual supports and care needs for each consumer.</w:t>
      </w:r>
    </w:p>
    <w:p w14:paraId="44AEE545" w14:textId="69C85B4B" w:rsidR="00EF6900" w:rsidRDefault="00EF6900" w:rsidP="0036130C">
      <w:pPr>
        <w:pStyle w:val="NormalArial"/>
        <w:rPr>
          <w:rFonts w:ascii="Open Sans" w:hAnsi="Open Sans" w:cs="Open Sans"/>
        </w:rPr>
      </w:pPr>
      <w:r>
        <w:rPr>
          <w:rFonts w:ascii="Open Sans" w:hAnsi="Open Sans" w:cs="Open Sans"/>
        </w:rPr>
        <w:t xml:space="preserve">The Assessment contact report </w:t>
      </w:r>
      <w:r w:rsidR="00C74098">
        <w:rPr>
          <w:rFonts w:ascii="Open Sans" w:hAnsi="Open Sans" w:cs="Open Sans"/>
        </w:rPr>
        <w:t xml:space="preserve">(report) </w:t>
      </w:r>
      <w:r w:rsidR="00401B2E">
        <w:rPr>
          <w:rFonts w:ascii="Open Sans" w:hAnsi="Open Sans" w:cs="Open Sans"/>
        </w:rPr>
        <w:t xml:space="preserve">for the Assessment contact </w:t>
      </w:r>
      <w:r w:rsidR="009F4116">
        <w:rPr>
          <w:rFonts w:ascii="Open Sans" w:hAnsi="Open Sans" w:cs="Open Sans"/>
        </w:rPr>
        <w:t xml:space="preserve">5 </w:t>
      </w:r>
      <w:r w:rsidR="00401B2E">
        <w:rPr>
          <w:rFonts w:ascii="Open Sans" w:hAnsi="Open Sans" w:cs="Open Sans"/>
        </w:rPr>
        <w:t>March 2025</w:t>
      </w:r>
      <w:r w:rsidR="009F4116">
        <w:rPr>
          <w:rFonts w:ascii="Open Sans" w:hAnsi="Open Sans" w:cs="Open Sans"/>
        </w:rPr>
        <w:t xml:space="preserve"> to 6 March 2025</w:t>
      </w:r>
      <w:r w:rsidR="00401B2E">
        <w:rPr>
          <w:rFonts w:ascii="Open Sans" w:hAnsi="Open Sans" w:cs="Open Sans"/>
        </w:rPr>
        <w:t xml:space="preserve">, </w:t>
      </w:r>
      <w:r w:rsidR="007D4330">
        <w:rPr>
          <w:rFonts w:ascii="Open Sans" w:hAnsi="Open Sans" w:cs="Open Sans"/>
        </w:rPr>
        <w:t xml:space="preserve">contained information that ongoing issues existed at the service in relation </w:t>
      </w:r>
      <w:r w:rsidR="00A17EE2">
        <w:rPr>
          <w:rFonts w:ascii="Open Sans" w:hAnsi="Open Sans" w:cs="Open Sans"/>
        </w:rPr>
        <w:t xml:space="preserve">deficiencies in </w:t>
      </w:r>
      <w:r w:rsidR="00B25052" w:rsidRPr="00B25052">
        <w:rPr>
          <w:rFonts w:ascii="Open Sans" w:hAnsi="Open Sans" w:cs="Open Sans"/>
        </w:rPr>
        <w:t>pressure area care, repositioning, behaviour support including behaviour chart evaluations, restrictive practices and the use of non-pharmacological interventions, falls and personal care.</w:t>
      </w:r>
    </w:p>
    <w:p w14:paraId="7BEC75FD" w14:textId="5112B72F" w:rsidR="004949A3" w:rsidRDefault="00831B04" w:rsidP="0036130C">
      <w:pPr>
        <w:pStyle w:val="NormalArial"/>
        <w:rPr>
          <w:rFonts w:ascii="Open Sans" w:hAnsi="Open Sans" w:cs="Open Sans"/>
        </w:rPr>
      </w:pPr>
      <w:r>
        <w:rPr>
          <w:rFonts w:ascii="Open Sans" w:hAnsi="Open Sans" w:cs="Open Sans"/>
        </w:rPr>
        <w:t>The App</w:t>
      </w:r>
      <w:r w:rsidR="00E13642">
        <w:rPr>
          <w:rFonts w:ascii="Open Sans" w:hAnsi="Open Sans" w:cs="Open Sans"/>
        </w:rPr>
        <w:t>r</w:t>
      </w:r>
      <w:r>
        <w:rPr>
          <w:rFonts w:ascii="Open Sans" w:hAnsi="Open Sans" w:cs="Open Sans"/>
        </w:rPr>
        <w:t>o</w:t>
      </w:r>
      <w:r w:rsidR="00E13642">
        <w:rPr>
          <w:rFonts w:ascii="Open Sans" w:hAnsi="Open Sans" w:cs="Open Sans"/>
        </w:rPr>
        <w:t xml:space="preserve">ved provider </w:t>
      </w:r>
      <w:r w:rsidR="00EC578C">
        <w:rPr>
          <w:rFonts w:ascii="Open Sans" w:hAnsi="Open Sans" w:cs="Open Sans"/>
        </w:rPr>
        <w:t>in its written response to the Assessmen</w:t>
      </w:r>
      <w:r w:rsidR="00905C71">
        <w:rPr>
          <w:rFonts w:ascii="Open Sans" w:hAnsi="Open Sans" w:cs="Open Sans"/>
        </w:rPr>
        <w:t xml:space="preserve">t contact report refuted the findings </w:t>
      </w:r>
      <w:r w:rsidR="009830B4">
        <w:rPr>
          <w:rFonts w:ascii="Open Sans" w:hAnsi="Open Sans" w:cs="Open Sans"/>
        </w:rPr>
        <w:t xml:space="preserve">in the report and submitted information relating to </w:t>
      </w:r>
      <w:r w:rsidR="00E55D2E">
        <w:rPr>
          <w:rFonts w:ascii="Open Sans" w:hAnsi="Open Sans" w:cs="Open Sans"/>
        </w:rPr>
        <w:t>the named consumers</w:t>
      </w:r>
      <w:r w:rsidR="00314959">
        <w:rPr>
          <w:rFonts w:ascii="Open Sans" w:hAnsi="Open Sans" w:cs="Open Sans"/>
        </w:rPr>
        <w:t xml:space="preserve"> and other documentation </w:t>
      </w:r>
      <w:r w:rsidR="00EC2E81">
        <w:rPr>
          <w:rFonts w:ascii="Open Sans" w:hAnsi="Open Sans" w:cs="Open Sans"/>
        </w:rPr>
        <w:t xml:space="preserve">including meeting minutes, induction training material and education records. </w:t>
      </w:r>
    </w:p>
    <w:p w14:paraId="530887D2" w14:textId="64788C7B" w:rsidR="00C74098" w:rsidRDefault="00C74098" w:rsidP="0036130C">
      <w:pPr>
        <w:pStyle w:val="NormalArial"/>
        <w:rPr>
          <w:rFonts w:ascii="Open Sans" w:hAnsi="Open Sans" w:cs="Open Sans"/>
        </w:rPr>
      </w:pPr>
      <w:r>
        <w:rPr>
          <w:rFonts w:ascii="Open Sans" w:hAnsi="Open Sans" w:cs="Open Sans"/>
        </w:rPr>
        <w:t xml:space="preserve">For one named consumer who was noted in the report to have </w:t>
      </w:r>
      <w:r w:rsidR="00357472">
        <w:rPr>
          <w:rFonts w:ascii="Open Sans" w:hAnsi="Open Sans" w:cs="Open Sans"/>
        </w:rPr>
        <w:t>a Stage III pressure injury</w:t>
      </w:r>
      <w:r w:rsidR="00094B98">
        <w:rPr>
          <w:rFonts w:ascii="Open Sans" w:hAnsi="Open Sans" w:cs="Open Sans"/>
        </w:rPr>
        <w:t xml:space="preserve"> on their sacrum,</w:t>
      </w:r>
      <w:r w:rsidR="00357472">
        <w:rPr>
          <w:rFonts w:ascii="Open Sans" w:hAnsi="Open Sans" w:cs="Open Sans"/>
        </w:rPr>
        <w:t xml:space="preserve"> which was not improving due to the consumer’s declining health and mobility, </w:t>
      </w:r>
      <w:r w:rsidR="00923CCB">
        <w:rPr>
          <w:rFonts w:ascii="Open Sans" w:hAnsi="Open Sans" w:cs="Open Sans"/>
        </w:rPr>
        <w:t>repositioning charts</w:t>
      </w:r>
      <w:r w:rsidR="001F2D28">
        <w:rPr>
          <w:rFonts w:ascii="Open Sans" w:hAnsi="Open Sans" w:cs="Open Sans"/>
        </w:rPr>
        <w:t xml:space="preserve"> and care plans contained conflicting recommendations in relation to the frequency </w:t>
      </w:r>
      <w:r w:rsidR="00071CD6">
        <w:rPr>
          <w:rFonts w:ascii="Open Sans" w:hAnsi="Open Sans" w:cs="Open Sans"/>
        </w:rPr>
        <w:t xml:space="preserve">of repositioning required by the consumer. </w:t>
      </w:r>
      <w:r w:rsidR="009F2C4C">
        <w:rPr>
          <w:rFonts w:ascii="Open Sans" w:hAnsi="Open Sans" w:cs="Open Sans"/>
        </w:rPr>
        <w:t xml:space="preserve">The Approved provider’s response (response) included </w:t>
      </w:r>
      <w:r w:rsidR="00A9789C">
        <w:rPr>
          <w:rFonts w:ascii="Open Sans" w:hAnsi="Open Sans" w:cs="Open Sans"/>
        </w:rPr>
        <w:t xml:space="preserve">repositioning charts </w:t>
      </w:r>
      <w:r w:rsidR="00F67E5D">
        <w:rPr>
          <w:rFonts w:ascii="Open Sans" w:hAnsi="Open Sans" w:cs="Open Sans"/>
        </w:rPr>
        <w:t xml:space="preserve">from 17 February to 9 March 2025, which indicated the consumer had been repositioned </w:t>
      </w:r>
      <w:r w:rsidR="00F811E1">
        <w:rPr>
          <w:rFonts w:ascii="Open Sans" w:hAnsi="Open Sans" w:cs="Open Sans"/>
        </w:rPr>
        <w:t xml:space="preserve">at least </w:t>
      </w:r>
      <w:r w:rsidR="00294301">
        <w:rPr>
          <w:rFonts w:ascii="Open Sans" w:hAnsi="Open Sans" w:cs="Open Sans"/>
        </w:rPr>
        <w:t>every four hours</w:t>
      </w:r>
      <w:r w:rsidR="00F811E1">
        <w:rPr>
          <w:rFonts w:ascii="Open Sans" w:hAnsi="Open Sans" w:cs="Open Sans"/>
        </w:rPr>
        <w:t>.</w:t>
      </w:r>
      <w:r w:rsidR="00294301">
        <w:rPr>
          <w:rFonts w:ascii="Open Sans" w:hAnsi="Open Sans" w:cs="Open Sans"/>
        </w:rPr>
        <w:t xml:space="preserve"> </w:t>
      </w:r>
      <w:r w:rsidR="00AE4E4B">
        <w:rPr>
          <w:rFonts w:ascii="Open Sans" w:hAnsi="Open Sans" w:cs="Open Sans"/>
        </w:rPr>
        <w:t xml:space="preserve">The response noted the named consumer had not sustained further pressure injuries since </w:t>
      </w:r>
      <w:r w:rsidR="00AE4E4B">
        <w:rPr>
          <w:rFonts w:ascii="Open Sans" w:hAnsi="Open Sans" w:cs="Open Sans"/>
        </w:rPr>
        <w:lastRenderedPageBreak/>
        <w:t xml:space="preserve">2023. </w:t>
      </w:r>
      <w:r w:rsidR="00696909">
        <w:rPr>
          <w:rFonts w:ascii="Open Sans" w:hAnsi="Open Sans" w:cs="Open Sans"/>
        </w:rPr>
        <w:t xml:space="preserve">The response </w:t>
      </w:r>
      <w:r w:rsidR="003F7991">
        <w:rPr>
          <w:rFonts w:ascii="Open Sans" w:hAnsi="Open Sans" w:cs="Open Sans"/>
        </w:rPr>
        <w:t xml:space="preserve">included the named consumer’s </w:t>
      </w:r>
      <w:r w:rsidR="00114872">
        <w:rPr>
          <w:rFonts w:ascii="Open Sans" w:hAnsi="Open Sans" w:cs="Open Sans"/>
        </w:rPr>
        <w:t>pain and skin integrity components of th</w:t>
      </w:r>
      <w:r w:rsidR="006615A5">
        <w:rPr>
          <w:rFonts w:ascii="Open Sans" w:hAnsi="Open Sans" w:cs="Open Sans"/>
        </w:rPr>
        <w:t>eir care plan which supported staff were instructed to provide</w:t>
      </w:r>
      <w:r w:rsidR="00736A32">
        <w:rPr>
          <w:rFonts w:ascii="Open Sans" w:hAnsi="Open Sans" w:cs="Open Sans"/>
        </w:rPr>
        <w:t xml:space="preserve"> pressure area care and reposition the consumer every four hours. </w:t>
      </w:r>
      <w:r w:rsidR="00555FFB">
        <w:rPr>
          <w:rFonts w:ascii="Open Sans" w:hAnsi="Open Sans" w:cs="Open Sans"/>
        </w:rPr>
        <w:t xml:space="preserve">The response </w:t>
      </w:r>
      <w:r w:rsidR="005917E3">
        <w:rPr>
          <w:rFonts w:ascii="Open Sans" w:hAnsi="Open Sans" w:cs="Open Sans"/>
        </w:rPr>
        <w:t xml:space="preserve">included education material in relation to proactive pressure injury </w:t>
      </w:r>
      <w:r w:rsidR="004773EB">
        <w:rPr>
          <w:rFonts w:ascii="Open Sans" w:hAnsi="Open Sans" w:cs="Open Sans"/>
        </w:rPr>
        <w:t>management, however, I am unable to determine how man</w:t>
      </w:r>
      <w:r w:rsidR="002C1439">
        <w:rPr>
          <w:rFonts w:ascii="Open Sans" w:hAnsi="Open Sans" w:cs="Open Sans"/>
        </w:rPr>
        <w:t xml:space="preserve">y staff have accessed this training and how it was tested to be effective. </w:t>
      </w:r>
      <w:r w:rsidR="00D04559">
        <w:rPr>
          <w:rFonts w:ascii="Open Sans" w:hAnsi="Open Sans" w:cs="Open Sans"/>
        </w:rPr>
        <w:t xml:space="preserve">I also note the education material submitted </w:t>
      </w:r>
      <w:r w:rsidR="00D30DA1">
        <w:rPr>
          <w:rFonts w:ascii="Open Sans" w:hAnsi="Open Sans" w:cs="Open Sans"/>
        </w:rPr>
        <w:t xml:space="preserve">states </w:t>
      </w:r>
      <w:r w:rsidR="000B31E4">
        <w:rPr>
          <w:rFonts w:ascii="Open Sans" w:hAnsi="Open Sans" w:cs="Open Sans"/>
        </w:rPr>
        <w:t xml:space="preserve">not to position an individual </w:t>
      </w:r>
      <w:r w:rsidR="00AC4E96">
        <w:rPr>
          <w:rFonts w:ascii="Open Sans" w:hAnsi="Open Sans" w:cs="Open Sans"/>
        </w:rPr>
        <w:t xml:space="preserve">on an existing pressure area, however, repositioning charts submitted in the response has </w:t>
      </w:r>
      <w:r w:rsidR="00847427">
        <w:rPr>
          <w:rFonts w:ascii="Open Sans" w:hAnsi="Open Sans" w:cs="Open Sans"/>
        </w:rPr>
        <w:t xml:space="preserve">the named consumer placed on their back </w:t>
      </w:r>
      <w:r w:rsidR="00E9131D">
        <w:rPr>
          <w:rFonts w:ascii="Open Sans" w:hAnsi="Open Sans" w:cs="Open Sans"/>
        </w:rPr>
        <w:t xml:space="preserve">on several occasions </w:t>
      </w:r>
      <w:r w:rsidR="00847427">
        <w:rPr>
          <w:rFonts w:ascii="Open Sans" w:hAnsi="Open Sans" w:cs="Open Sans"/>
        </w:rPr>
        <w:t>each day</w:t>
      </w:r>
      <w:r w:rsidR="00C3252D">
        <w:rPr>
          <w:rFonts w:ascii="Open Sans" w:hAnsi="Open Sans" w:cs="Open Sans"/>
        </w:rPr>
        <w:t>, despite the named consumer having a Stage III pressure injury on their sacrum.</w:t>
      </w:r>
      <w:r w:rsidR="000B31E4">
        <w:rPr>
          <w:rFonts w:ascii="Open Sans" w:hAnsi="Open Sans" w:cs="Open Sans"/>
        </w:rPr>
        <w:t xml:space="preserve"> </w:t>
      </w:r>
      <w:r w:rsidR="00A42CF1">
        <w:rPr>
          <w:rFonts w:ascii="Open Sans" w:hAnsi="Open Sans" w:cs="Open Sans"/>
        </w:rPr>
        <w:t xml:space="preserve">An education session relating to accessing care plans was attended by 21 staff over a two day period, however I am unable to determine </w:t>
      </w:r>
      <w:r w:rsidR="00B370B1">
        <w:rPr>
          <w:rFonts w:ascii="Open Sans" w:hAnsi="Open Sans" w:cs="Open Sans"/>
        </w:rPr>
        <w:t>how the Approved provider has gauged the success of this training</w:t>
      </w:r>
      <w:r w:rsidR="007331CF">
        <w:rPr>
          <w:rFonts w:ascii="Open Sans" w:hAnsi="Open Sans" w:cs="Open Sans"/>
        </w:rPr>
        <w:t xml:space="preserve">. </w:t>
      </w:r>
      <w:r w:rsidR="00F52E24">
        <w:rPr>
          <w:rFonts w:ascii="Open Sans" w:hAnsi="Open Sans" w:cs="Open Sans"/>
        </w:rPr>
        <w:t>Six d</w:t>
      </w:r>
      <w:r w:rsidR="001A1870">
        <w:rPr>
          <w:rFonts w:ascii="Open Sans" w:hAnsi="Open Sans" w:cs="Open Sans"/>
        </w:rPr>
        <w:t xml:space="preserve">aily </w:t>
      </w:r>
      <w:r w:rsidR="00B73CA0">
        <w:rPr>
          <w:rFonts w:ascii="Open Sans" w:hAnsi="Open Sans" w:cs="Open Sans"/>
        </w:rPr>
        <w:t xml:space="preserve">leadership meeting </w:t>
      </w:r>
      <w:r w:rsidR="00F52E24">
        <w:rPr>
          <w:rFonts w:ascii="Open Sans" w:hAnsi="Open Sans" w:cs="Open Sans"/>
        </w:rPr>
        <w:t xml:space="preserve">records </w:t>
      </w:r>
      <w:r w:rsidR="00B73CA0">
        <w:rPr>
          <w:rFonts w:ascii="Open Sans" w:hAnsi="Open Sans" w:cs="Open Sans"/>
        </w:rPr>
        <w:t xml:space="preserve">were submitted </w:t>
      </w:r>
      <w:r w:rsidR="00F52E24">
        <w:rPr>
          <w:rFonts w:ascii="Open Sans" w:hAnsi="Open Sans" w:cs="Open Sans"/>
        </w:rPr>
        <w:t xml:space="preserve">as part of the </w:t>
      </w:r>
      <w:r w:rsidR="00D246CD">
        <w:rPr>
          <w:rFonts w:ascii="Open Sans" w:hAnsi="Open Sans" w:cs="Open Sans"/>
        </w:rPr>
        <w:t xml:space="preserve">response. The </w:t>
      </w:r>
      <w:r w:rsidR="001A1870">
        <w:rPr>
          <w:rFonts w:ascii="Open Sans" w:hAnsi="Open Sans" w:cs="Open Sans"/>
        </w:rPr>
        <w:t>meetings</w:t>
      </w:r>
      <w:r w:rsidR="00D246CD">
        <w:rPr>
          <w:rFonts w:ascii="Open Sans" w:hAnsi="Open Sans" w:cs="Open Sans"/>
        </w:rPr>
        <w:t xml:space="preserve"> occurred between 19 November 2024 and 18 March 2025. </w:t>
      </w:r>
      <w:r w:rsidR="00C75C03">
        <w:rPr>
          <w:rFonts w:ascii="Open Sans" w:hAnsi="Open Sans" w:cs="Open Sans"/>
        </w:rPr>
        <w:t xml:space="preserve">The named consumer </w:t>
      </w:r>
      <w:r w:rsidR="00A434DD">
        <w:rPr>
          <w:rFonts w:ascii="Open Sans" w:hAnsi="Open Sans" w:cs="Open Sans"/>
        </w:rPr>
        <w:t xml:space="preserve">is listed </w:t>
      </w:r>
      <w:r w:rsidR="0082665D">
        <w:rPr>
          <w:rFonts w:ascii="Open Sans" w:hAnsi="Open Sans" w:cs="Open Sans"/>
        </w:rPr>
        <w:t xml:space="preserve">on the six meeting records as requiring pressure area care every four hours, however, I do not </w:t>
      </w:r>
      <w:r w:rsidR="008E324B">
        <w:rPr>
          <w:rFonts w:ascii="Open Sans" w:hAnsi="Open Sans" w:cs="Open Sans"/>
        </w:rPr>
        <w:t xml:space="preserve">believe this to be compelling evidence </w:t>
      </w:r>
      <w:bookmarkStart w:id="2" w:name="_Hlk194325380"/>
      <w:r w:rsidR="00B73A79">
        <w:rPr>
          <w:rFonts w:ascii="Open Sans" w:hAnsi="Open Sans" w:cs="Open Sans"/>
        </w:rPr>
        <w:t>to support the consumer received pressure area care every four hours</w:t>
      </w:r>
      <w:bookmarkEnd w:id="2"/>
      <w:r w:rsidR="00B73A79">
        <w:rPr>
          <w:rFonts w:ascii="Open Sans" w:hAnsi="Open Sans" w:cs="Open Sans"/>
        </w:rPr>
        <w:t xml:space="preserve">. </w:t>
      </w:r>
    </w:p>
    <w:p w14:paraId="5B5A0B7B" w14:textId="3DE47B1A" w:rsidR="00E761E1" w:rsidRDefault="00E761E1" w:rsidP="0036130C">
      <w:pPr>
        <w:pStyle w:val="NormalArial"/>
        <w:rPr>
          <w:rFonts w:ascii="Open Sans" w:hAnsi="Open Sans" w:cs="Open Sans"/>
        </w:rPr>
      </w:pPr>
      <w:r>
        <w:rPr>
          <w:rFonts w:ascii="Open Sans" w:hAnsi="Open Sans" w:cs="Open Sans"/>
        </w:rPr>
        <w:t xml:space="preserve">For a second named consumer </w:t>
      </w:r>
      <w:r w:rsidR="004A4F80">
        <w:rPr>
          <w:rFonts w:ascii="Open Sans" w:hAnsi="Open Sans" w:cs="Open Sans"/>
        </w:rPr>
        <w:t>who was assessed as being at high risk of developing pressure injuries</w:t>
      </w:r>
      <w:r w:rsidR="00E310C2">
        <w:rPr>
          <w:rFonts w:ascii="Open Sans" w:hAnsi="Open Sans" w:cs="Open Sans"/>
        </w:rPr>
        <w:t xml:space="preserve">, a lack of documentation to support the consumer was being repositioned </w:t>
      </w:r>
      <w:r w:rsidR="00270ECE">
        <w:rPr>
          <w:rFonts w:ascii="Open Sans" w:hAnsi="Open Sans" w:cs="Open Sans"/>
        </w:rPr>
        <w:t xml:space="preserve">was noted in their room. Care staff stated the consumer was not receiving </w:t>
      </w:r>
      <w:r w:rsidR="00551D78">
        <w:rPr>
          <w:rFonts w:ascii="Open Sans" w:hAnsi="Open Sans" w:cs="Open Sans"/>
        </w:rPr>
        <w:t xml:space="preserve">repositioning care. The response refutes this information and </w:t>
      </w:r>
      <w:r w:rsidR="00AA78BD">
        <w:rPr>
          <w:rFonts w:ascii="Open Sans" w:hAnsi="Open Sans" w:cs="Open Sans"/>
        </w:rPr>
        <w:t xml:space="preserve">indicates a repositioning chart was available in the named consumer’s bedroom </w:t>
      </w:r>
      <w:r w:rsidR="00600AEB">
        <w:rPr>
          <w:rFonts w:ascii="Open Sans" w:hAnsi="Open Sans" w:cs="Open Sans"/>
        </w:rPr>
        <w:t>and submitted</w:t>
      </w:r>
      <w:r w:rsidR="004A41BF">
        <w:rPr>
          <w:rFonts w:ascii="Open Sans" w:hAnsi="Open Sans" w:cs="Open Sans"/>
        </w:rPr>
        <w:t xml:space="preserve"> repositioning charts for the period </w:t>
      </w:r>
      <w:r w:rsidR="00095263">
        <w:rPr>
          <w:rFonts w:ascii="Open Sans" w:hAnsi="Open Sans" w:cs="Open Sans"/>
        </w:rPr>
        <w:t>17</w:t>
      </w:r>
      <w:r w:rsidR="001F336F">
        <w:rPr>
          <w:rFonts w:ascii="Open Sans" w:hAnsi="Open Sans" w:cs="Open Sans"/>
        </w:rPr>
        <w:t xml:space="preserve"> February to 16 March 2025</w:t>
      </w:r>
      <w:r w:rsidR="00BE2A9D">
        <w:rPr>
          <w:rFonts w:ascii="Open Sans" w:hAnsi="Open Sans" w:cs="Open Sans"/>
        </w:rPr>
        <w:t xml:space="preserve">, which documented the second named consumer was repositioned every four hours. </w:t>
      </w:r>
      <w:r w:rsidR="00A677B0">
        <w:rPr>
          <w:rFonts w:ascii="Open Sans" w:hAnsi="Open Sans" w:cs="Open Sans"/>
        </w:rPr>
        <w:t xml:space="preserve">The six daily leadership </w:t>
      </w:r>
      <w:r w:rsidR="00371700">
        <w:rPr>
          <w:rFonts w:ascii="Open Sans" w:hAnsi="Open Sans" w:cs="Open Sans"/>
        </w:rPr>
        <w:t>meeting records were submitted as part of the response for the second named consumer</w:t>
      </w:r>
      <w:r w:rsidR="00AD6348">
        <w:rPr>
          <w:rFonts w:ascii="Open Sans" w:hAnsi="Open Sans" w:cs="Open Sans"/>
        </w:rPr>
        <w:t>, as mentioned above I do not find this to be c</w:t>
      </w:r>
      <w:r w:rsidR="00FF2392">
        <w:rPr>
          <w:rFonts w:ascii="Open Sans" w:hAnsi="Open Sans" w:cs="Open Sans"/>
        </w:rPr>
        <w:t xml:space="preserve">ompelling evidence </w:t>
      </w:r>
      <w:r w:rsidR="00FF2392" w:rsidRPr="00FF2392">
        <w:rPr>
          <w:rFonts w:ascii="Open Sans" w:hAnsi="Open Sans" w:cs="Open Sans"/>
        </w:rPr>
        <w:t>to support the consumer received pressure area care every four hours</w:t>
      </w:r>
      <w:r w:rsidR="003C1223">
        <w:rPr>
          <w:rFonts w:ascii="Open Sans" w:hAnsi="Open Sans" w:cs="Open Sans"/>
        </w:rPr>
        <w:t xml:space="preserve">, given the meetings occurred over a five month </w:t>
      </w:r>
      <w:r w:rsidR="006F0346">
        <w:rPr>
          <w:rFonts w:ascii="Open Sans" w:hAnsi="Open Sans" w:cs="Open Sans"/>
        </w:rPr>
        <w:t xml:space="preserve">period. </w:t>
      </w:r>
    </w:p>
    <w:p w14:paraId="64237A44" w14:textId="6130BB52" w:rsidR="007435BE" w:rsidRDefault="007435BE" w:rsidP="0036130C">
      <w:pPr>
        <w:pStyle w:val="NormalArial"/>
        <w:rPr>
          <w:rFonts w:ascii="Open Sans" w:hAnsi="Open Sans" w:cs="Open Sans"/>
        </w:rPr>
      </w:pPr>
      <w:r>
        <w:rPr>
          <w:rFonts w:ascii="Open Sans" w:hAnsi="Open Sans" w:cs="Open Sans"/>
        </w:rPr>
        <w:t xml:space="preserve">Feedback was </w:t>
      </w:r>
      <w:r w:rsidR="00C927FA">
        <w:rPr>
          <w:rFonts w:ascii="Open Sans" w:hAnsi="Open Sans" w:cs="Open Sans"/>
        </w:rPr>
        <w:t xml:space="preserve">provided from a third named consumer </w:t>
      </w:r>
      <w:r w:rsidR="006B5E38">
        <w:rPr>
          <w:rFonts w:ascii="Open Sans" w:hAnsi="Open Sans" w:cs="Open Sans"/>
        </w:rPr>
        <w:t xml:space="preserve">their preferences to </w:t>
      </w:r>
      <w:r w:rsidR="00347820">
        <w:rPr>
          <w:rFonts w:ascii="Open Sans" w:hAnsi="Open Sans" w:cs="Open Sans"/>
        </w:rPr>
        <w:t xml:space="preserve">sit in their chair were not supported by staff at the service. </w:t>
      </w:r>
      <w:r w:rsidR="0071484B">
        <w:rPr>
          <w:rFonts w:ascii="Open Sans" w:hAnsi="Open Sans" w:cs="Open Sans"/>
        </w:rPr>
        <w:t xml:space="preserve">The response </w:t>
      </w:r>
      <w:r w:rsidR="00D714C9">
        <w:rPr>
          <w:rFonts w:ascii="Open Sans" w:hAnsi="Open Sans" w:cs="Open Sans"/>
        </w:rPr>
        <w:t xml:space="preserve">evidenced </w:t>
      </w:r>
      <w:r w:rsidR="0071484B">
        <w:rPr>
          <w:rFonts w:ascii="Open Sans" w:hAnsi="Open Sans" w:cs="Open Sans"/>
        </w:rPr>
        <w:t>care planning has been updated to reflect the named consumer’s current preferences</w:t>
      </w:r>
      <w:r w:rsidR="007E041A">
        <w:rPr>
          <w:rFonts w:ascii="Open Sans" w:hAnsi="Open Sans" w:cs="Open Sans"/>
        </w:rPr>
        <w:t xml:space="preserve">. </w:t>
      </w:r>
      <w:r w:rsidR="00516AA1">
        <w:rPr>
          <w:rFonts w:ascii="Open Sans" w:hAnsi="Open Sans" w:cs="Open Sans"/>
        </w:rPr>
        <w:t>I note the skin integrity</w:t>
      </w:r>
      <w:r w:rsidR="00D80370">
        <w:rPr>
          <w:rFonts w:ascii="Open Sans" w:hAnsi="Open Sans" w:cs="Open Sans"/>
        </w:rPr>
        <w:t>, personal care</w:t>
      </w:r>
      <w:r w:rsidR="00516AA1">
        <w:rPr>
          <w:rFonts w:ascii="Open Sans" w:hAnsi="Open Sans" w:cs="Open Sans"/>
        </w:rPr>
        <w:t xml:space="preserve"> and mobility care plan in the response </w:t>
      </w:r>
      <w:r w:rsidR="00032B4F">
        <w:rPr>
          <w:rFonts w:ascii="Open Sans" w:hAnsi="Open Sans" w:cs="Open Sans"/>
        </w:rPr>
        <w:t xml:space="preserve">contains directions the consumer prefers to stay in bed, which differs from feedback provided during the Assessment contact. </w:t>
      </w:r>
      <w:r w:rsidR="0094030A">
        <w:rPr>
          <w:rFonts w:ascii="Open Sans" w:hAnsi="Open Sans" w:cs="Open Sans"/>
        </w:rPr>
        <w:t xml:space="preserve">Feedback was also provided the named consumer </w:t>
      </w:r>
      <w:r w:rsidR="00220A07">
        <w:rPr>
          <w:rFonts w:ascii="Open Sans" w:hAnsi="Open Sans" w:cs="Open Sans"/>
        </w:rPr>
        <w:t xml:space="preserve">was not supported with their hygiene preferences which included a daily shower. </w:t>
      </w:r>
      <w:r w:rsidR="004077BE">
        <w:rPr>
          <w:rFonts w:ascii="Open Sans" w:hAnsi="Open Sans" w:cs="Open Sans"/>
        </w:rPr>
        <w:t>The personal care plan was su</w:t>
      </w:r>
      <w:r w:rsidR="00CC11BB">
        <w:rPr>
          <w:rFonts w:ascii="Open Sans" w:hAnsi="Open Sans" w:cs="Open Sans"/>
        </w:rPr>
        <w:t xml:space="preserve">bmitted in the response which indicted </w:t>
      </w:r>
      <w:r w:rsidR="00335602">
        <w:rPr>
          <w:rFonts w:ascii="Open Sans" w:hAnsi="Open Sans" w:cs="Open Sans"/>
        </w:rPr>
        <w:t xml:space="preserve">that </w:t>
      </w:r>
      <w:r w:rsidR="00CC11BB">
        <w:rPr>
          <w:rFonts w:ascii="Open Sans" w:hAnsi="Open Sans" w:cs="Open Sans"/>
        </w:rPr>
        <w:t xml:space="preserve">after a review of the care plan (27 March </w:t>
      </w:r>
      <w:r w:rsidR="009A7077">
        <w:rPr>
          <w:rFonts w:ascii="Open Sans" w:hAnsi="Open Sans" w:cs="Open Sans"/>
        </w:rPr>
        <w:t xml:space="preserve">2025), the named consumer would prefer a shower three times per week, which differs from feedback provided </w:t>
      </w:r>
      <w:r w:rsidR="0020022E">
        <w:rPr>
          <w:rFonts w:ascii="Open Sans" w:hAnsi="Open Sans" w:cs="Open Sans"/>
        </w:rPr>
        <w:t xml:space="preserve">at the Assessment contact. </w:t>
      </w:r>
    </w:p>
    <w:p w14:paraId="4041F2AE" w14:textId="258F1B06" w:rsidR="00484140" w:rsidRDefault="003E0437" w:rsidP="0036130C">
      <w:pPr>
        <w:pStyle w:val="NormalArial"/>
        <w:rPr>
          <w:rFonts w:ascii="Open Sans" w:hAnsi="Open Sans" w:cs="Open Sans"/>
        </w:rPr>
      </w:pPr>
      <w:r>
        <w:rPr>
          <w:rFonts w:ascii="Open Sans" w:hAnsi="Open Sans" w:cs="Open Sans"/>
        </w:rPr>
        <w:t>A fourth named consumer</w:t>
      </w:r>
      <w:r w:rsidR="00540C55">
        <w:rPr>
          <w:rFonts w:ascii="Open Sans" w:hAnsi="Open Sans" w:cs="Open Sans"/>
        </w:rPr>
        <w:t xml:space="preserve"> who exhibits changed behaviour</w:t>
      </w:r>
      <w:r w:rsidR="00335602">
        <w:rPr>
          <w:rFonts w:ascii="Open Sans" w:hAnsi="Open Sans" w:cs="Open Sans"/>
        </w:rPr>
        <w:t>s</w:t>
      </w:r>
      <w:r w:rsidR="00540C55">
        <w:rPr>
          <w:rFonts w:ascii="Open Sans" w:hAnsi="Open Sans" w:cs="Open Sans"/>
        </w:rPr>
        <w:t xml:space="preserve"> and was referred to a dementia behav</w:t>
      </w:r>
      <w:r w:rsidR="0053602A">
        <w:rPr>
          <w:rFonts w:ascii="Open Sans" w:hAnsi="Open Sans" w:cs="Open Sans"/>
        </w:rPr>
        <w:t xml:space="preserve">iour specialist, care planning for the consumer does not </w:t>
      </w:r>
      <w:r w:rsidR="009F422A">
        <w:rPr>
          <w:rFonts w:ascii="Open Sans" w:hAnsi="Open Sans" w:cs="Open Sans"/>
        </w:rPr>
        <w:lastRenderedPageBreak/>
        <w:t xml:space="preserve">evidence strategies suggested by the specialist service </w:t>
      </w:r>
      <w:r w:rsidR="00916569">
        <w:rPr>
          <w:rFonts w:ascii="Open Sans" w:hAnsi="Open Sans" w:cs="Open Sans"/>
        </w:rPr>
        <w:t>have been included</w:t>
      </w:r>
      <w:r w:rsidR="00D23ED8">
        <w:rPr>
          <w:rFonts w:ascii="Open Sans" w:hAnsi="Open Sans" w:cs="Open Sans"/>
        </w:rPr>
        <w:t xml:space="preserve"> in their behaviour support plan. </w:t>
      </w:r>
      <w:r w:rsidR="00840A08">
        <w:rPr>
          <w:rFonts w:ascii="Open Sans" w:hAnsi="Open Sans" w:cs="Open Sans"/>
        </w:rPr>
        <w:t xml:space="preserve">The report suggests the recommendation </w:t>
      </w:r>
      <w:r w:rsidR="006A3AE2">
        <w:rPr>
          <w:rFonts w:ascii="Open Sans" w:hAnsi="Open Sans" w:cs="Open Sans"/>
        </w:rPr>
        <w:t xml:space="preserve">for regular visual observations of the consumer was not included </w:t>
      </w:r>
      <w:r w:rsidR="00C45B9C">
        <w:rPr>
          <w:rFonts w:ascii="Open Sans" w:hAnsi="Open Sans" w:cs="Open Sans"/>
        </w:rPr>
        <w:t>in care planning</w:t>
      </w:r>
      <w:r w:rsidR="003741A5">
        <w:rPr>
          <w:rFonts w:ascii="Open Sans" w:hAnsi="Open Sans" w:cs="Open Sans"/>
        </w:rPr>
        <w:t>, the response refutes this recommendation was made by the specialist behaviour service</w:t>
      </w:r>
      <w:r w:rsidR="00910097">
        <w:rPr>
          <w:rFonts w:ascii="Open Sans" w:hAnsi="Open Sans" w:cs="Open Sans"/>
        </w:rPr>
        <w:t xml:space="preserve"> and submitted two </w:t>
      </w:r>
      <w:r w:rsidR="00385FA5">
        <w:rPr>
          <w:rFonts w:ascii="Open Sans" w:hAnsi="Open Sans" w:cs="Open Sans"/>
        </w:rPr>
        <w:t xml:space="preserve">reports from the behavioural specialist which evidenced </w:t>
      </w:r>
      <w:r w:rsidR="005601C1">
        <w:rPr>
          <w:rFonts w:ascii="Open Sans" w:hAnsi="Open Sans" w:cs="Open Sans"/>
        </w:rPr>
        <w:t>visual observations were not included in strategies by the behavioural specialist</w:t>
      </w:r>
      <w:r w:rsidR="003D4210">
        <w:rPr>
          <w:rFonts w:ascii="Open Sans" w:hAnsi="Open Sans" w:cs="Open Sans"/>
        </w:rPr>
        <w:t xml:space="preserve">. </w:t>
      </w:r>
      <w:r w:rsidR="00917B00">
        <w:rPr>
          <w:rFonts w:ascii="Open Sans" w:hAnsi="Open Sans" w:cs="Open Sans"/>
        </w:rPr>
        <w:t xml:space="preserve">The response included </w:t>
      </w:r>
      <w:r w:rsidR="000427A9">
        <w:rPr>
          <w:rFonts w:ascii="Open Sans" w:hAnsi="Open Sans" w:cs="Open Sans"/>
        </w:rPr>
        <w:t>evidence regular pain assessments occurred for the named consumer</w:t>
      </w:r>
      <w:r w:rsidR="00A9003C">
        <w:rPr>
          <w:rFonts w:ascii="Open Sans" w:hAnsi="Open Sans" w:cs="Open Sans"/>
        </w:rPr>
        <w:t xml:space="preserve">, and behaviour charting </w:t>
      </w:r>
      <w:r w:rsidR="00C56E70">
        <w:rPr>
          <w:rFonts w:ascii="Open Sans" w:hAnsi="Open Sans" w:cs="Open Sans"/>
        </w:rPr>
        <w:t xml:space="preserve">evidenced if behavioural strategies were effective. </w:t>
      </w:r>
      <w:r w:rsidR="004930CD">
        <w:rPr>
          <w:rFonts w:ascii="Open Sans" w:hAnsi="Open Sans" w:cs="Open Sans"/>
        </w:rPr>
        <w:t>The report</w:t>
      </w:r>
      <w:r w:rsidR="005601C1">
        <w:rPr>
          <w:rFonts w:ascii="Open Sans" w:hAnsi="Open Sans" w:cs="Open Sans"/>
        </w:rPr>
        <w:t xml:space="preserve"> </w:t>
      </w:r>
      <w:r w:rsidR="00374494">
        <w:rPr>
          <w:rFonts w:ascii="Open Sans" w:hAnsi="Open Sans" w:cs="Open Sans"/>
        </w:rPr>
        <w:t xml:space="preserve">includes information </w:t>
      </w:r>
      <w:r w:rsidR="00B50FDE">
        <w:rPr>
          <w:rFonts w:ascii="Open Sans" w:hAnsi="Open Sans" w:cs="Open Sans"/>
        </w:rPr>
        <w:t>the named consumer did not have neurological observations completed follo</w:t>
      </w:r>
      <w:r w:rsidR="00E00D49">
        <w:rPr>
          <w:rFonts w:ascii="Open Sans" w:hAnsi="Open Sans" w:cs="Open Sans"/>
        </w:rPr>
        <w:t>wing a fall</w:t>
      </w:r>
      <w:r w:rsidR="001A51C6">
        <w:rPr>
          <w:rFonts w:ascii="Open Sans" w:hAnsi="Open Sans" w:cs="Open Sans"/>
        </w:rPr>
        <w:t xml:space="preserve">, progress notes were </w:t>
      </w:r>
      <w:r w:rsidR="00AA1C01">
        <w:rPr>
          <w:rFonts w:ascii="Open Sans" w:hAnsi="Open Sans" w:cs="Open Sans"/>
        </w:rPr>
        <w:t xml:space="preserve">submitted in the response that indicated the named consumer </w:t>
      </w:r>
      <w:r w:rsidR="00B71C46">
        <w:rPr>
          <w:rFonts w:ascii="Open Sans" w:hAnsi="Open Sans" w:cs="Open Sans"/>
        </w:rPr>
        <w:t xml:space="preserve">refused the taking of the observations and this request </w:t>
      </w:r>
      <w:r w:rsidR="008C1E75">
        <w:rPr>
          <w:rFonts w:ascii="Open Sans" w:hAnsi="Open Sans" w:cs="Open Sans"/>
        </w:rPr>
        <w:t xml:space="preserve">was respected by staff. </w:t>
      </w:r>
      <w:r w:rsidR="008724E2">
        <w:rPr>
          <w:rFonts w:ascii="Open Sans" w:hAnsi="Open Sans" w:cs="Open Sans"/>
        </w:rPr>
        <w:t xml:space="preserve">I have not given weight to the information in the report </w:t>
      </w:r>
      <w:r w:rsidR="003A60E8">
        <w:rPr>
          <w:rFonts w:ascii="Open Sans" w:hAnsi="Open Sans" w:cs="Open Sans"/>
        </w:rPr>
        <w:t>in relation to the fourth named consumer in coming to my decision regarding compliance</w:t>
      </w:r>
      <w:r w:rsidR="0020022E">
        <w:rPr>
          <w:rFonts w:ascii="Open Sans" w:hAnsi="Open Sans" w:cs="Open Sans"/>
        </w:rPr>
        <w:t>, and consider their behaviour</w:t>
      </w:r>
      <w:r w:rsidR="00456D58">
        <w:rPr>
          <w:rFonts w:ascii="Open Sans" w:hAnsi="Open Sans" w:cs="Open Sans"/>
        </w:rPr>
        <w:t xml:space="preserve">, pain and falls management to be appropriate. </w:t>
      </w:r>
    </w:p>
    <w:p w14:paraId="7050007B" w14:textId="36AA3DC5" w:rsidR="003E0437" w:rsidRDefault="00712DCB" w:rsidP="0036130C">
      <w:pPr>
        <w:pStyle w:val="NormalArial"/>
        <w:rPr>
          <w:rFonts w:ascii="Open Sans" w:hAnsi="Open Sans" w:cs="Open Sans"/>
        </w:rPr>
      </w:pPr>
      <w:r>
        <w:rPr>
          <w:rFonts w:ascii="Open Sans" w:hAnsi="Open Sans" w:cs="Open Sans"/>
        </w:rPr>
        <w:t xml:space="preserve">For a fifth named consumer the report included information </w:t>
      </w:r>
      <w:r w:rsidR="005C4A22">
        <w:rPr>
          <w:rFonts w:ascii="Open Sans" w:hAnsi="Open Sans" w:cs="Open Sans"/>
        </w:rPr>
        <w:t xml:space="preserve">behaviour management strategies </w:t>
      </w:r>
      <w:r w:rsidR="007569D7">
        <w:rPr>
          <w:rFonts w:ascii="Open Sans" w:hAnsi="Open Sans" w:cs="Open Sans"/>
        </w:rPr>
        <w:t>have not been monitored or evaluated for effectiveness</w:t>
      </w:r>
      <w:r w:rsidR="000A36D9">
        <w:rPr>
          <w:rFonts w:ascii="Open Sans" w:hAnsi="Open Sans" w:cs="Open Sans"/>
        </w:rPr>
        <w:t>. Behaviour charts submitted in the response</w:t>
      </w:r>
      <w:r w:rsidR="00C414E8">
        <w:rPr>
          <w:rFonts w:ascii="Open Sans" w:hAnsi="Open Sans" w:cs="Open Sans"/>
        </w:rPr>
        <w:t xml:space="preserve"> evidenced regular behaviour charting including interventions utilised and the effect</w:t>
      </w:r>
      <w:r w:rsidR="0075182E">
        <w:rPr>
          <w:rFonts w:ascii="Open Sans" w:hAnsi="Open Sans" w:cs="Open Sans"/>
        </w:rPr>
        <w:t xml:space="preserve">iveness of strategies trialled. </w:t>
      </w:r>
      <w:r w:rsidR="0075182E" w:rsidRPr="0075182E">
        <w:rPr>
          <w:rFonts w:ascii="Open Sans" w:hAnsi="Open Sans" w:cs="Open Sans"/>
        </w:rPr>
        <w:t>I have not given weight to the information in the report in relation to the f</w:t>
      </w:r>
      <w:r w:rsidR="009C1123">
        <w:rPr>
          <w:rFonts w:ascii="Open Sans" w:hAnsi="Open Sans" w:cs="Open Sans"/>
        </w:rPr>
        <w:t>ifth</w:t>
      </w:r>
      <w:r w:rsidR="0075182E" w:rsidRPr="0075182E">
        <w:rPr>
          <w:rFonts w:ascii="Open Sans" w:hAnsi="Open Sans" w:cs="Open Sans"/>
        </w:rPr>
        <w:t xml:space="preserve"> named consumer in coming to my decision regarding </w:t>
      </w:r>
      <w:r w:rsidR="001F3978" w:rsidRPr="0075182E">
        <w:rPr>
          <w:rFonts w:ascii="Open Sans" w:hAnsi="Open Sans" w:cs="Open Sans"/>
        </w:rPr>
        <w:t>compliance and</w:t>
      </w:r>
      <w:r w:rsidR="0075182E" w:rsidRPr="0075182E">
        <w:rPr>
          <w:rFonts w:ascii="Open Sans" w:hAnsi="Open Sans" w:cs="Open Sans"/>
        </w:rPr>
        <w:t xml:space="preserve"> consider their behaviour management to be appropriate. </w:t>
      </w:r>
      <w:r w:rsidR="007569D7">
        <w:rPr>
          <w:rFonts w:ascii="Open Sans" w:hAnsi="Open Sans" w:cs="Open Sans"/>
        </w:rPr>
        <w:t xml:space="preserve"> </w:t>
      </w:r>
      <w:r w:rsidR="003A60E8">
        <w:rPr>
          <w:rFonts w:ascii="Open Sans" w:hAnsi="Open Sans" w:cs="Open Sans"/>
        </w:rPr>
        <w:t xml:space="preserve"> </w:t>
      </w:r>
    </w:p>
    <w:p w14:paraId="7CC6EA9A" w14:textId="398AAB59" w:rsidR="001F3978" w:rsidRDefault="001F3978" w:rsidP="0036130C">
      <w:pPr>
        <w:pStyle w:val="NormalArial"/>
        <w:rPr>
          <w:rFonts w:ascii="Open Sans" w:hAnsi="Open Sans" w:cs="Open Sans"/>
        </w:rPr>
      </w:pPr>
      <w:r>
        <w:rPr>
          <w:rFonts w:ascii="Open Sans" w:hAnsi="Open Sans" w:cs="Open Sans"/>
        </w:rPr>
        <w:t>For a sixth named consume</w:t>
      </w:r>
      <w:r w:rsidR="00030A6C">
        <w:rPr>
          <w:rFonts w:ascii="Open Sans" w:hAnsi="Open Sans" w:cs="Open Sans"/>
        </w:rPr>
        <w:t xml:space="preserve">r information in the report indicates non-pharmacological </w:t>
      </w:r>
      <w:r w:rsidR="00815A02">
        <w:rPr>
          <w:rFonts w:ascii="Open Sans" w:hAnsi="Open Sans" w:cs="Open Sans"/>
        </w:rPr>
        <w:t xml:space="preserve">strategies were not documented as trialled prior to prescribed chemical restraint being </w:t>
      </w:r>
      <w:r w:rsidR="002E4C12">
        <w:rPr>
          <w:rFonts w:ascii="Open Sans" w:hAnsi="Open Sans" w:cs="Open Sans"/>
        </w:rPr>
        <w:t>used</w:t>
      </w:r>
      <w:r w:rsidR="00815A02">
        <w:rPr>
          <w:rFonts w:ascii="Open Sans" w:hAnsi="Open Sans" w:cs="Open Sans"/>
        </w:rPr>
        <w:t xml:space="preserve">. </w:t>
      </w:r>
      <w:r w:rsidR="00E20242">
        <w:rPr>
          <w:rFonts w:ascii="Open Sans" w:hAnsi="Open Sans" w:cs="Open Sans"/>
        </w:rPr>
        <w:t xml:space="preserve">The response </w:t>
      </w:r>
      <w:r w:rsidR="00BA7572">
        <w:rPr>
          <w:rFonts w:ascii="Open Sans" w:hAnsi="Open Sans" w:cs="Open Sans"/>
        </w:rPr>
        <w:t xml:space="preserve">included the behaviour support plan, progress notes </w:t>
      </w:r>
      <w:r w:rsidR="00671EFE">
        <w:rPr>
          <w:rFonts w:ascii="Open Sans" w:hAnsi="Open Sans" w:cs="Open Sans"/>
        </w:rPr>
        <w:t xml:space="preserve">and a report relating to the frequency of the as required </w:t>
      </w:r>
      <w:r w:rsidR="007C0758">
        <w:rPr>
          <w:rFonts w:ascii="Open Sans" w:hAnsi="Open Sans" w:cs="Open Sans"/>
        </w:rPr>
        <w:t xml:space="preserve">chemical restraint administered for February </w:t>
      </w:r>
      <w:r w:rsidR="002D05A0">
        <w:rPr>
          <w:rFonts w:ascii="Open Sans" w:hAnsi="Open Sans" w:cs="Open Sans"/>
        </w:rPr>
        <w:t xml:space="preserve">2025. </w:t>
      </w:r>
      <w:r w:rsidR="000F0F22">
        <w:rPr>
          <w:rFonts w:ascii="Open Sans" w:hAnsi="Open Sans" w:cs="Open Sans"/>
        </w:rPr>
        <w:t>The</w:t>
      </w:r>
      <w:r w:rsidR="007051F7">
        <w:rPr>
          <w:rFonts w:ascii="Open Sans" w:hAnsi="Open Sans" w:cs="Open Sans"/>
        </w:rPr>
        <w:t xml:space="preserve"> </w:t>
      </w:r>
      <w:r w:rsidR="00135405">
        <w:rPr>
          <w:rFonts w:ascii="Open Sans" w:hAnsi="Open Sans" w:cs="Open Sans"/>
        </w:rPr>
        <w:t xml:space="preserve">report relating to the frequency of the as required chemical restraint </w:t>
      </w:r>
      <w:r w:rsidR="00EB64CF">
        <w:rPr>
          <w:rFonts w:ascii="Open Sans" w:hAnsi="Open Sans" w:cs="Open Sans"/>
        </w:rPr>
        <w:t xml:space="preserve">confirmed the effectiveness of the medication administered was not recorded </w:t>
      </w:r>
      <w:r w:rsidR="0015249E">
        <w:rPr>
          <w:rFonts w:ascii="Open Sans" w:hAnsi="Open Sans" w:cs="Open Sans"/>
        </w:rPr>
        <w:t xml:space="preserve">on 25 February 2025. </w:t>
      </w:r>
      <w:r w:rsidR="00E84279">
        <w:rPr>
          <w:rFonts w:ascii="Open Sans" w:hAnsi="Open Sans" w:cs="Open Sans"/>
        </w:rPr>
        <w:t xml:space="preserve">Further information relating to alternative strategies </w:t>
      </w:r>
      <w:r w:rsidR="007534CA">
        <w:rPr>
          <w:rFonts w:ascii="Open Sans" w:hAnsi="Open Sans" w:cs="Open Sans"/>
        </w:rPr>
        <w:t xml:space="preserve">trialled prior to the use of chemical restraint were not provided in the response. </w:t>
      </w:r>
      <w:r w:rsidR="00792419">
        <w:rPr>
          <w:rFonts w:ascii="Open Sans" w:hAnsi="Open Sans" w:cs="Open Sans"/>
        </w:rPr>
        <w:t xml:space="preserve">I have not considered this to be a </w:t>
      </w:r>
      <w:r w:rsidR="00C71F84">
        <w:rPr>
          <w:rFonts w:ascii="Open Sans" w:hAnsi="Open Sans" w:cs="Open Sans"/>
        </w:rPr>
        <w:t>systemic issue</w:t>
      </w:r>
      <w:r w:rsidR="00792419">
        <w:rPr>
          <w:rFonts w:ascii="Open Sans" w:hAnsi="Open Sans" w:cs="Open Sans"/>
        </w:rPr>
        <w:t xml:space="preserve"> relating to chemical restraint </w:t>
      </w:r>
      <w:r w:rsidR="00203981">
        <w:rPr>
          <w:rFonts w:ascii="Open Sans" w:hAnsi="Open Sans" w:cs="Open Sans"/>
        </w:rPr>
        <w:t xml:space="preserve">and therefore have not given weight to this evidence source. </w:t>
      </w:r>
    </w:p>
    <w:p w14:paraId="57D02EF2" w14:textId="5258C3B8" w:rsidR="00DE1C64" w:rsidRDefault="00DE1C64" w:rsidP="0036130C">
      <w:pPr>
        <w:pStyle w:val="NormalArial"/>
        <w:rPr>
          <w:rFonts w:ascii="Open Sans" w:hAnsi="Open Sans" w:cs="Open Sans"/>
        </w:rPr>
      </w:pPr>
      <w:r>
        <w:rPr>
          <w:rFonts w:ascii="Open Sans" w:hAnsi="Open Sans" w:cs="Open Sans"/>
        </w:rPr>
        <w:t>In coming to my decision regarding compliance for this Requirement, I have considered the report alongside the respo</w:t>
      </w:r>
      <w:r w:rsidR="008B3319">
        <w:rPr>
          <w:rFonts w:ascii="Open Sans" w:hAnsi="Open Sans" w:cs="Open Sans"/>
        </w:rPr>
        <w:t xml:space="preserve">nse. Where documentation deficits were identified in the report the response </w:t>
      </w:r>
      <w:r w:rsidR="000F1303">
        <w:rPr>
          <w:rFonts w:ascii="Open Sans" w:hAnsi="Open Sans" w:cs="Open Sans"/>
        </w:rPr>
        <w:t xml:space="preserve">has addressed the individual named consumers and contained evidence </w:t>
      </w:r>
      <w:r w:rsidR="007A18E3">
        <w:rPr>
          <w:rFonts w:ascii="Open Sans" w:hAnsi="Open Sans" w:cs="Open Sans"/>
        </w:rPr>
        <w:t xml:space="preserve">to support </w:t>
      </w:r>
      <w:r w:rsidR="002C4292">
        <w:rPr>
          <w:rFonts w:ascii="Open Sans" w:hAnsi="Open Sans" w:cs="Open Sans"/>
        </w:rPr>
        <w:t xml:space="preserve">either documentation was in place or </w:t>
      </w:r>
      <w:r w:rsidR="00E523A4">
        <w:rPr>
          <w:rFonts w:ascii="Open Sans" w:hAnsi="Open Sans" w:cs="Open Sans"/>
        </w:rPr>
        <w:t xml:space="preserve">conclusions </w:t>
      </w:r>
      <w:r w:rsidR="00F42171">
        <w:rPr>
          <w:rFonts w:ascii="Open Sans" w:hAnsi="Open Sans" w:cs="Open Sans"/>
        </w:rPr>
        <w:t xml:space="preserve">made in the report were incorrect. </w:t>
      </w:r>
    </w:p>
    <w:p w14:paraId="51DA1454" w14:textId="2988081A" w:rsidR="00DA7D72" w:rsidRDefault="00F42171" w:rsidP="0036130C">
      <w:pPr>
        <w:pStyle w:val="NormalArial"/>
        <w:rPr>
          <w:rFonts w:ascii="Open Sans" w:hAnsi="Open Sans" w:cs="Open Sans"/>
        </w:rPr>
      </w:pPr>
      <w:r>
        <w:rPr>
          <w:rFonts w:ascii="Open Sans" w:hAnsi="Open Sans" w:cs="Open Sans"/>
        </w:rPr>
        <w:t xml:space="preserve">I am influenced by </w:t>
      </w:r>
      <w:r w:rsidR="00BD6648">
        <w:rPr>
          <w:rFonts w:ascii="Open Sans" w:hAnsi="Open Sans" w:cs="Open Sans"/>
        </w:rPr>
        <w:t xml:space="preserve">the satisfaction expressed by consumers and their representatives </w:t>
      </w:r>
      <w:r w:rsidR="00887260">
        <w:rPr>
          <w:rFonts w:ascii="Open Sans" w:hAnsi="Open Sans" w:cs="Open Sans"/>
        </w:rPr>
        <w:t xml:space="preserve">in relation to the clinical and personal care provided to </w:t>
      </w:r>
      <w:r w:rsidR="00887260">
        <w:rPr>
          <w:rFonts w:ascii="Open Sans" w:hAnsi="Open Sans" w:cs="Open Sans"/>
        </w:rPr>
        <w:lastRenderedPageBreak/>
        <w:t>consumers</w:t>
      </w:r>
      <w:r w:rsidR="00D1023A">
        <w:rPr>
          <w:rFonts w:ascii="Open Sans" w:hAnsi="Open Sans" w:cs="Open Sans"/>
        </w:rPr>
        <w:t>. I have also noted the report relates to the effect</w:t>
      </w:r>
      <w:r w:rsidR="00F652B8">
        <w:rPr>
          <w:rFonts w:ascii="Open Sans" w:hAnsi="Open Sans" w:cs="Open Sans"/>
        </w:rPr>
        <w:t xml:space="preserve">ive management of time sensitive medication, </w:t>
      </w:r>
      <w:r w:rsidR="000B3795">
        <w:rPr>
          <w:rFonts w:ascii="Open Sans" w:hAnsi="Open Sans" w:cs="Open Sans"/>
        </w:rPr>
        <w:t>complex pain management, catheter care</w:t>
      </w:r>
      <w:r w:rsidR="00267E3A">
        <w:rPr>
          <w:rFonts w:ascii="Open Sans" w:hAnsi="Open Sans" w:cs="Open Sans"/>
        </w:rPr>
        <w:t xml:space="preserve"> and</w:t>
      </w:r>
      <w:r w:rsidR="000B3795">
        <w:rPr>
          <w:rFonts w:ascii="Open Sans" w:hAnsi="Open Sans" w:cs="Open Sans"/>
        </w:rPr>
        <w:t xml:space="preserve"> </w:t>
      </w:r>
      <w:r w:rsidR="00476652">
        <w:rPr>
          <w:rFonts w:ascii="Open Sans" w:hAnsi="Open Sans" w:cs="Open Sans"/>
        </w:rPr>
        <w:t>changed behaviour</w:t>
      </w:r>
      <w:r w:rsidR="00267E3A">
        <w:rPr>
          <w:rFonts w:ascii="Open Sans" w:hAnsi="Open Sans" w:cs="Open Sans"/>
        </w:rPr>
        <w:t xml:space="preserve">. </w:t>
      </w:r>
      <w:r w:rsidR="007F2EAA">
        <w:rPr>
          <w:rFonts w:ascii="Open Sans" w:hAnsi="Open Sans" w:cs="Open Sans"/>
        </w:rPr>
        <w:t xml:space="preserve">It is my decision this Requirement is </w:t>
      </w:r>
      <w:r w:rsidR="001E7383">
        <w:rPr>
          <w:rFonts w:ascii="Open Sans" w:hAnsi="Open Sans" w:cs="Open Sans"/>
        </w:rPr>
        <w:t xml:space="preserve">now </w:t>
      </w:r>
      <w:r w:rsidR="007F2EAA">
        <w:rPr>
          <w:rFonts w:ascii="Open Sans" w:hAnsi="Open Sans" w:cs="Open Sans"/>
        </w:rPr>
        <w:t>Compliant.</w:t>
      </w:r>
    </w:p>
    <w:p w14:paraId="23D455C7" w14:textId="3A7E871D" w:rsidR="00F42171" w:rsidRDefault="00DA7D72" w:rsidP="0036130C">
      <w:pPr>
        <w:pStyle w:val="NormalArial"/>
        <w:rPr>
          <w:rFonts w:ascii="Open Sans" w:hAnsi="Open Sans" w:cs="Open Sans"/>
          <w:u w:val="single"/>
        </w:rPr>
      </w:pPr>
      <w:r w:rsidRPr="00E803A2">
        <w:rPr>
          <w:rFonts w:ascii="Open Sans" w:hAnsi="Open Sans" w:cs="Open Sans"/>
          <w:u w:val="single"/>
        </w:rPr>
        <w:t>Requirement 3(3)(e)</w:t>
      </w:r>
    </w:p>
    <w:p w14:paraId="0F89C960" w14:textId="256D8482" w:rsidR="00D80D3A" w:rsidRDefault="00D80D3A" w:rsidP="0036130C">
      <w:pPr>
        <w:pStyle w:val="NormalArial"/>
        <w:rPr>
          <w:rFonts w:ascii="Open Sans" w:hAnsi="Open Sans" w:cs="Open Sans"/>
        </w:rPr>
      </w:pPr>
      <w:r w:rsidRPr="00D80D3A">
        <w:rPr>
          <w:rFonts w:ascii="Open Sans" w:hAnsi="Open Sans" w:cs="Open Sans"/>
        </w:rPr>
        <w:t>The ser</w:t>
      </w:r>
      <w:r>
        <w:rPr>
          <w:rFonts w:ascii="Open Sans" w:hAnsi="Open Sans" w:cs="Open Sans"/>
        </w:rPr>
        <w:t xml:space="preserve">vice was found to be </w:t>
      </w:r>
      <w:r w:rsidR="0005499A">
        <w:rPr>
          <w:rFonts w:ascii="Open Sans" w:hAnsi="Open Sans" w:cs="Open Sans"/>
        </w:rPr>
        <w:t xml:space="preserve">non-compliant in this Requirement following an </w:t>
      </w:r>
      <w:r w:rsidR="007161B4">
        <w:rPr>
          <w:rFonts w:ascii="Open Sans" w:hAnsi="Open Sans" w:cs="Open Sans"/>
        </w:rPr>
        <w:t>A</w:t>
      </w:r>
      <w:r w:rsidR="00950870">
        <w:rPr>
          <w:rFonts w:ascii="Open Sans" w:hAnsi="Open Sans" w:cs="Open Sans"/>
        </w:rPr>
        <w:t>s</w:t>
      </w:r>
      <w:r w:rsidR="0005499A">
        <w:rPr>
          <w:rFonts w:ascii="Open Sans" w:hAnsi="Open Sans" w:cs="Open Sans"/>
        </w:rPr>
        <w:t>sess</w:t>
      </w:r>
      <w:r w:rsidR="00950870">
        <w:rPr>
          <w:rFonts w:ascii="Open Sans" w:hAnsi="Open Sans" w:cs="Open Sans"/>
        </w:rPr>
        <w:t>ment Contact conducted on 13 June 2024</w:t>
      </w:r>
      <w:r w:rsidR="004A3B84">
        <w:rPr>
          <w:rFonts w:ascii="Open Sans" w:hAnsi="Open Sans" w:cs="Open Sans"/>
        </w:rPr>
        <w:t>.</w:t>
      </w:r>
      <w:r w:rsidR="004A3B84" w:rsidRPr="004A3B84">
        <w:t xml:space="preserve"> </w:t>
      </w:r>
      <w:r w:rsidR="004A3B84" w:rsidRPr="004A3B84">
        <w:rPr>
          <w:rFonts w:ascii="Open Sans" w:hAnsi="Open Sans" w:cs="Open Sans"/>
        </w:rPr>
        <w:t>The service was unable to demonstrate communication systems which included handover processes, email and internal messaging effectively shared information about consumers’ needs and preferences.</w:t>
      </w:r>
    </w:p>
    <w:p w14:paraId="4BD9ED43" w14:textId="62D74EF1" w:rsidR="00635B3E" w:rsidRDefault="00635B3E" w:rsidP="0036130C">
      <w:pPr>
        <w:pStyle w:val="NormalArial"/>
        <w:rPr>
          <w:rFonts w:ascii="Open Sans" w:hAnsi="Open Sans" w:cs="Open Sans"/>
        </w:rPr>
      </w:pPr>
      <w:r>
        <w:rPr>
          <w:rFonts w:ascii="Open Sans" w:hAnsi="Open Sans" w:cs="Open Sans"/>
        </w:rPr>
        <w:t xml:space="preserve">The </w:t>
      </w:r>
      <w:r w:rsidR="009938D7">
        <w:rPr>
          <w:rFonts w:ascii="Open Sans" w:hAnsi="Open Sans" w:cs="Open Sans"/>
        </w:rPr>
        <w:t xml:space="preserve">report </w:t>
      </w:r>
      <w:r w:rsidR="001515C2">
        <w:rPr>
          <w:rFonts w:ascii="Open Sans" w:hAnsi="Open Sans" w:cs="Open Sans"/>
        </w:rPr>
        <w:t xml:space="preserve">following the Assessment contact </w:t>
      </w:r>
      <w:r w:rsidR="00B927C9">
        <w:rPr>
          <w:rFonts w:ascii="Open Sans" w:hAnsi="Open Sans" w:cs="Open Sans"/>
        </w:rPr>
        <w:t xml:space="preserve">5 </w:t>
      </w:r>
      <w:r w:rsidR="001515C2">
        <w:rPr>
          <w:rFonts w:ascii="Open Sans" w:hAnsi="Open Sans" w:cs="Open Sans"/>
        </w:rPr>
        <w:t>March 2025</w:t>
      </w:r>
      <w:r w:rsidR="00B927C9">
        <w:rPr>
          <w:rFonts w:ascii="Open Sans" w:hAnsi="Open Sans" w:cs="Open Sans"/>
        </w:rPr>
        <w:t xml:space="preserve"> to 6 March 2025</w:t>
      </w:r>
      <w:r w:rsidR="003C278B">
        <w:rPr>
          <w:rFonts w:ascii="Open Sans" w:hAnsi="Open Sans" w:cs="Open Sans"/>
        </w:rPr>
        <w:t xml:space="preserve">, </w:t>
      </w:r>
      <w:r w:rsidR="00B927C9">
        <w:rPr>
          <w:rFonts w:ascii="Open Sans" w:hAnsi="Open Sans" w:cs="Open Sans"/>
        </w:rPr>
        <w:t xml:space="preserve">the </w:t>
      </w:r>
      <w:r w:rsidR="002A22DB" w:rsidRPr="002A22DB">
        <w:rPr>
          <w:rFonts w:ascii="Open Sans" w:hAnsi="Open Sans" w:cs="Open Sans"/>
        </w:rPr>
        <w:t>service was unable to ensure information about consumers</w:t>
      </w:r>
      <w:r w:rsidR="00E61C2D">
        <w:rPr>
          <w:rFonts w:ascii="Open Sans" w:hAnsi="Open Sans" w:cs="Open Sans"/>
        </w:rPr>
        <w:t>’</w:t>
      </w:r>
      <w:r w:rsidR="002A22DB" w:rsidRPr="002A22DB">
        <w:rPr>
          <w:rFonts w:ascii="Open Sans" w:hAnsi="Open Sans" w:cs="Open Sans"/>
        </w:rPr>
        <w:t xml:space="preserve"> condition, needs and preferences is documented and effectively communicated within the organisation.</w:t>
      </w:r>
    </w:p>
    <w:p w14:paraId="5C3C8A73" w14:textId="702B1D2F" w:rsidR="005679E5" w:rsidRDefault="005679E5" w:rsidP="0036130C">
      <w:pPr>
        <w:pStyle w:val="NormalArial"/>
        <w:rPr>
          <w:rFonts w:ascii="Open Sans" w:hAnsi="Open Sans" w:cs="Open Sans"/>
        </w:rPr>
      </w:pPr>
      <w:r w:rsidRPr="005679E5">
        <w:rPr>
          <w:rFonts w:ascii="Open Sans" w:hAnsi="Open Sans" w:cs="Open Sans"/>
        </w:rPr>
        <w:t>The Approved provider in its written response to the Assessment contact report refuted the findings in the report and submitted information relating to the named consumers and other documentation including meeting minutes, induction training material and education records.</w:t>
      </w:r>
    </w:p>
    <w:p w14:paraId="67B71BB6" w14:textId="6E3E86A1" w:rsidR="003813C1" w:rsidRDefault="003813C1" w:rsidP="0036130C">
      <w:pPr>
        <w:pStyle w:val="NormalArial"/>
        <w:rPr>
          <w:rFonts w:ascii="Open Sans" w:hAnsi="Open Sans" w:cs="Open Sans"/>
        </w:rPr>
      </w:pPr>
      <w:r w:rsidRPr="003813C1">
        <w:rPr>
          <w:rFonts w:ascii="Open Sans" w:hAnsi="Open Sans" w:cs="Open Sans"/>
        </w:rPr>
        <w:t>In response to the previous non-compliance, the service’s plan for continuous improvement to address the identified communication deficits include</w:t>
      </w:r>
      <w:r w:rsidR="00FE775F">
        <w:rPr>
          <w:rFonts w:ascii="Open Sans" w:hAnsi="Open Sans" w:cs="Open Sans"/>
        </w:rPr>
        <w:t>d</w:t>
      </w:r>
      <w:r w:rsidRPr="003813C1">
        <w:rPr>
          <w:rFonts w:ascii="Open Sans" w:hAnsi="Open Sans" w:cs="Open Sans"/>
        </w:rPr>
        <w:t xml:space="preserve"> the implementation of a new internal communication platform that was reported to have been completed on 17 February 2025. </w:t>
      </w:r>
      <w:r w:rsidR="00416EE0">
        <w:rPr>
          <w:rFonts w:ascii="Open Sans" w:hAnsi="Open Sans" w:cs="Open Sans"/>
        </w:rPr>
        <w:t xml:space="preserve">Memorandums, significant </w:t>
      </w:r>
      <w:r w:rsidR="00386969">
        <w:rPr>
          <w:rFonts w:ascii="Open Sans" w:hAnsi="Open Sans" w:cs="Open Sans"/>
        </w:rPr>
        <w:t xml:space="preserve">consumer changes </w:t>
      </w:r>
      <w:r w:rsidRPr="003813C1">
        <w:rPr>
          <w:rFonts w:ascii="Open Sans" w:hAnsi="Open Sans" w:cs="Open Sans"/>
        </w:rPr>
        <w:t xml:space="preserve">and other important information </w:t>
      </w:r>
      <w:r w:rsidR="00FA6EA4">
        <w:rPr>
          <w:rFonts w:ascii="Open Sans" w:hAnsi="Open Sans" w:cs="Open Sans"/>
        </w:rPr>
        <w:t>was</w:t>
      </w:r>
      <w:r w:rsidRPr="003813C1">
        <w:rPr>
          <w:rFonts w:ascii="Open Sans" w:hAnsi="Open Sans" w:cs="Open Sans"/>
        </w:rPr>
        <w:t xml:space="preserve"> shared </w:t>
      </w:r>
      <w:r w:rsidR="00FA6EA4">
        <w:rPr>
          <w:rFonts w:ascii="Open Sans" w:hAnsi="Open Sans" w:cs="Open Sans"/>
        </w:rPr>
        <w:t xml:space="preserve">with </w:t>
      </w:r>
      <w:r w:rsidRPr="003813C1">
        <w:rPr>
          <w:rFonts w:ascii="Open Sans" w:hAnsi="Open Sans" w:cs="Open Sans"/>
        </w:rPr>
        <w:t>staff via the internal communication platform. Noting that information will still be shared via printed memo</w:t>
      </w:r>
      <w:r w:rsidR="00983773">
        <w:rPr>
          <w:rFonts w:ascii="Open Sans" w:hAnsi="Open Sans" w:cs="Open Sans"/>
        </w:rPr>
        <w:t>randums</w:t>
      </w:r>
      <w:r w:rsidRPr="003813C1">
        <w:rPr>
          <w:rFonts w:ascii="Open Sans" w:hAnsi="Open Sans" w:cs="Open Sans"/>
        </w:rPr>
        <w:t>, emails, handovers and huddles where required</w:t>
      </w:r>
      <w:r w:rsidR="00983773">
        <w:rPr>
          <w:rFonts w:ascii="Open Sans" w:hAnsi="Open Sans" w:cs="Open Sans"/>
        </w:rPr>
        <w:t xml:space="preserve">. </w:t>
      </w:r>
      <w:r w:rsidR="0037230C">
        <w:rPr>
          <w:rFonts w:ascii="Open Sans" w:hAnsi="Open Sans" w:cs="Open Sans"/>
        </w:rPr>
        <w:t xml:space="preserve">Management indicated </w:t>
      </w:r>
      <w:r w:rsidR="00A4619A">
        <w:rPr>
          <w:rFonts w:ascii="Open Sans" w:hAnsi="Open Sans" w:cs="Open Sans"/>
        </w:rPr>
        <w:t xml:space="preserve">the new communication platform was supplementary to the </w:t>
      </w:r>
      <w:r w:rsidR="000855FF">
        <w:rPr>
          <w:rFonts w:ascii="Open Sans" w:hAnsi="Open Sans" w:cs="Open Sans"/>
        </w:rPr>
        <w:t xml:space="preserve">previously used communication methods and </w:t>
      </w:r>
      <w:r w:rsidR="001C25F7" w:rsidRPr="001C25F7">
        <w:rPr>
          <w:rFonts w:ascii="Open Sans" w:hAnsi="Open Sans" w:cs="Open Sans"/>
        </w:rPr>
        <w:t xml:space="preserve">communication of information to staff would still </w:t>
      </w:r>
      <w:r w:rsidR="001C25F7">
        <w:rPr>
          <w:rFonts w:ascii="Open Sans" w:hAnsi="Open Sans" w:cs="Open Sans"/>
        </w:rPr>
        <w:t xml:space="preserve">occur </w:t>
      </w:r>
      <w:r w:rsidR="001C25F7" w:rsidRPr="001C25F7">
        <w:rPr>
          <w:rFonts w:ascii="Open Sans" w:hAnsi="Open Sans" w:cs="Open Sans"/>
        </w:rPr>
        <w:t xml:space="preserve">during handovers, </w:t>
      </w:r>
      <w:r w:rsidR="008F0262">
        <w:rPr>
          <w:rFonts w:ascii="Open Sans" w:hAnsi="Open Sans" w:cs="Open Sans"/>
        </w:rPr>
        <w:t xml:space="preserve">meetings </w:t>
      </w:r>
      <w:r w:rsidR="001C25F7" w:rsidRPr="001C25F7">
        <w:rPr>
          <w:rFonts w:ascii="Open Sans" w:hAnsi="Open Sans" w:cs="Open Sans"/>
        </w:rPr>
        <w:t>and with toolbox talks, and staff have appropriate access to consumers’ information using electronic tablets and laptops to enable them to deliver personal and clinical care.</w:t>
      </w:r>
    </w:p>
    <w:p w14:paraId="40D9528D" w14:textId="3F17666E" w:rsidR="0099577A" w:rsidRDefault="0099577A" w:rsidP="0036130C">
      <w:pPr>
        <w:pStyle w:val="NormalArial"/>
        <w:rPr>
          <w:rFonts w:ascii="Open Sans" w:hAnsi="Open Sans" w:cs="Open Sans"/>
        </w:rPr>
      </w:pPr>
      <w:r>
        <w:rPr>
          <w:rFonts w:ascii="Open Sans" w:hAnsi="Open Sans" w:cs="Open Sans"/>
        </w:rPr>
        <w:t xml:space="preserve">For one named </w:t>
      </w:r>
      <w:r w:rsidR="005B7FDF">
        <w:rPr>
          <w:rFonts w:ascii="Open Sans" w:hAnsi="Open Sans" w:cs="Open Sans"/>
        </w:rPr>
        <w:t xml:space="preserve">consumer </w:t>
      </w:r>
      <w:r w:rsidR="00F036C4">
        <w:rPr>
          <w:rFonts w:ascii="Open Sans" w:hAnsi="Open Sans" w:cs="Open Sans"/>
        </w:rPr>
        <w:t>who has had a decline in their mobility</w:t>
      </w:r>
      <w:r w:rsidR="00271E81">
        <w:rPr>
          <w:rFonts w:ascii="Open Sans" w:hAnsi="Open Sans" w:cs="Open Sans"/>
        </w:rPr>
        <w:t>,</w:t>
      </w:r>
      <w:r w:rsidR="00A432FA">
        <w:rPr>
          <w:rFonts w:ascii="Open Sans" w:hAnsi="Open Sans" w:cs="Open Sans"/>
        </w:rPr>
        <w:t xml:space="preserve"> and change to their medication</w:t>
      </w:r>
      <w:r w:rsidR="00FA3DF9">
        <w:rPr>
          <w:rFonts w:ascii="Open Sans" w:hAnsi="Open Sans" w:cs="Open Sans"/>
        </w:rPr>
        <w:t>,</w:t>
      </w:r>
      <w:r w:rsidR="00271E81">
        <w:rPr>
          <w:rFonts w:ascii="Open Sans" w:hAnsi="Open Sans" w:cs="Open Sans"/>
        </w:rPr>
        <w:t xml:space="preserve"> </w:t>
      </w:r>
      <w:r w:rsidR="00B124C4">
        <w:rPr>
          <w:rFonts w:ascii="Open Sans" w:hAnsi="Open Sans" w:cs="Open Sans"/>
        </w:rPr>
        <w:t xml:space="preserve">behaviour support </w:t>
      </w:r>
      <w:r w:rsidR="00271E81">
        <w:rPr>
          <w:rFonts w:ascii="Open Sans" w:hAnsi="Open Sans" w:cs="Open Sans"/>
        </w:rPr>
        <w:t xml:space="preserve">care planning </w:t>
      </w:r>
      <w:r w:rsidR="00F778C8">
        <w:rPr>
          <w:rFonts w:ascii="Open Sans" w:hAnsi="Open Sans" w:cs="Open Sans"/>
        </w:rPr>
        <w:t xml:space="preserve">was not </w:t>
      </w:r>
      <w:r w:rsidR="00C03186">
        <w:rPr>
          <w:rFonts w:ascii="Open Sans" w:hAnsi="Open Sans" w:cs="Open Sans"/>
        </w:rPr>
        <w:t>updated to reflect the change to the consumer</w:t>
      </w:r>
      <w:r w:rsidR="00FA3DF9">
        <w:rPr>
          <w:rFonts w:ascii="Open Sans" w:hAnsi="Open Sans" w:cs="Open Sans"/>
        </w:rPr>
        <w:t xml:space="preserve">. Care staff </w:t>
      </w:r>
      <w:r w:rsidR="00B124C4">
        <w:rPr>
          <w:rFonts w:ascii="Open Sans" w:hAnsi="Open Sans" w:cs="Open Sans"/>
        </w:rPr>
        <w:t>were aware of strategies to manage the named consumer</w:t>
      </w:r>
      <w:r w:rsidR="0040042C">
        <w:rPr>
          <w:rFonts w:ascii="Open Sans" w:hAnsi="Open Sans" w:cs="Open Sans"/>
        </w:rPr>
        <w:t xml:space="preserve">. </w:t>
      </w:r>
      <w:r w:rsidR="00FF4664">
        <w:rPr>
          <w:rFonts w:ascii="Open Sans" w:hAnsi="Open Sans" w:cs="Open Sans"/>
        </w:rPr>
        <w:t xml:space="preserve">The response from the provider acknowledged </w:t>
      </w:r>
      <w:r w:rsidR="00611617">
        <w:rPr>
          <w:rFonts w:ascii="Open Sans" w:hAnsi="Open Sans" w:cs="Open Sans"/>
        </w:rPr>
        <w:t>one care plan</w:t>
      </w:r>
      <w:r w:rsidR="00150195">
        <w:rPr>
          <w:rFonts w:ascii="Open Sans" w:hAnsi="Open Sans" w:cs="Open Sans"/>
        </w:rPr>
        <w:t xml:space="preserve"> had not been archived</w:t>
      </w:r>
      <w:r w:rsidR="008124FF">
        <w:rPr>
          <w:rFonts w:ascii="Open Sans" w:hAnsi="Open Sans" w:cs="Open Sans"/>
        </w:rPr>
        <w:t xml:space="preserve">, </w:t>
      </w:r>
      <w:r w:rsidR="00CF05FB">
        <w:rPr>
          <w:rFonts w:ascii="Open Sans" w:hAnsi="Open Sans" w:cs="Open Sans"/>
        </w:rPr>
        <w:t>and all other care plans were correct and reflective of the consumer’s needs. In the absence of evidence to suggest th</w:t>
      </w:r>
      <w:r w:rsidR="00906B83">
        <w:rPr>
          <w:rFonts w:ascii="Open Sans" w:hAnsi="Open Sans" w:cs="Open Sans"/>
        </w:rPr>
        <w:t xml:space="preserve">e named consumer was not receiving appropriate care and support I have not placed weight on this </w:t>
      </w:r>
      <w:r w:rsidR="008E5C69">
        <w:rPr>
          <w:rFonts w:ascii="Open Sans" w:hAnsi="Open Sans" w:cs="Open Sans"/>
        </w:rPr>
        <w:t>documentation deficit</w:t>
      </w:r>
      <w:r w:rsidR="00626028">
        <w:rPr>
          <w:rFonts w:ascii="Open Sans" w:hAnsi="Open Sans" w:cs="Open Sans"/>
        </w:rPr>
        <w:t xml:space="preserve">, </w:t>
      </w:r>
      <w:bookmarkStart w:id="3" w:name="_Hlk194491142"/>
      <w:r w:rsidR="00626028">
        <w:rPr>
          <w:rFonts w:ascii="Open Sans" w:hAnsi="Open Sans" w:cs="Open Sans"/>
        </w:rPr>
        <w:t xml:space="preserve">when reaching my decision relating to compliance. </w:t>
      </w:r>
      <w:r w:rsidR="008E5C69">
        <w:rPr>
          <w:rFonts w:ascii="Open Sans" w:hAnsi="Open Sans" w:cs="Open Sans"/>
        </w:rPr>
        <w:t xml:space="preserve"> </w:t>
      </w:r>
    </w:p>
    <w:bookmarkEnd w:id="3"/>
    <w:p w14:paraId="6EEFB548" w14:textId="031D7C66" w:rsidR="0018085D" w:rsidRDefault="0018085D" w:rsidP="0036130C">
      <w:pPr>
        <w:pStyle w:val="NormalArial"/>
        <w:rPr>
          <w:rFonts w:ascii="Open Sans" w:hAnsi="Open Sans" w:cs="Open Sans"/>
        </w:rPr>
      </w:pPr>
      <w:r>
        <w:rPr>
          <w:rFonts w:ascii="Open Sans" w:hAnsi="Open Sans" w:cs="Open Sans"/>
        </w:rPr>
        <w:t>For a second named consumer, discre</w:t>
      </w:r>
      <w:r w:rsidR="00784461">
        <w:rPr>
          <w:rFonts w:ascii="Open Sans" w:hAnsi="Open Sans" w:cs="Open Sans"/>
        </w:rPr>
        <w:t>pancies were noted in relation to the frequency of repositioning</w:t>
      </w:r>
      <w:r w:rsidR="005B03CA">
        <w:rPr>
          <w:rFonts w:ascii="Open Sans" w:hAnsi="Open Sans" w:cs="Open Sans"/>
        </w:rPr>
        <w:t xml:space="preserve"> in care planning. As noted in Requirement 3(3)(a) the response from the p</w:t>
      </w:r>
      <w:r w:rsidR="006A26E3">
        <w:rPr>
          <w:rFonts w:ascii="Open Sans" w:hAnsi="Open Sans" w:cs="Open Sans"/>
        </w:rPr>
        <w:t xml:space="preserve">rovider evidenced the consumer was repositioned every </w:t>
      </w:r>
      <w:r w:rsidR="006A26E3">
        <w:rPr>
          <w:rFonts w:ascii="Open Sans" w:hAnsi="Open Sans" w:cs="Open Sans"/>
        </w:rPr>
        <w:lastRenderedPageBreak/>
        <w:t>four hours. I am unable to</w:t>
      </w:r>
      <w:r w:rsidR="00695FAF">
        <w:rPr>
          <w:rFonts w:ascii="Open Sans" w:hAnsi="Open Sans" w:cs="Open Sans"/>
        </w:rPr>
        <w:t xml:space="preserve"> determine this documentation anomaly caused impact to the consumer and have therefore not placed weight on </w:t>
      </w:r>
      <w:r w:rsidR="00400EF5">
        <w:rPr>
          <w:rFonts w:ascii="Open Sans" w:hAnsi="Open Sans" w:cs="Open Sans"/>
        </w:rPr>
        <w:t>this information</w:t>
      </w:r>
      <w:r w:rsidR="00626028">
        <w:rPr>
          <w:rFonts w:ascii="Open Sans" w:hAnsi="Open Sans" w:cs="Open Sans"/>
        </w:rPr>
        <w:t>,</w:t>
      </w:r>
      <w:r w:rsidR="00400EF5">
        <w:rPr>
          <w:rFonts w:ascii="Open Sans" w:hAnsi="Open Sans" w:cs="Open Sans"/>
        </w:rPr>
        <w:t xml:space="preserve"> </w:t>
      </w:r>
      <w:r w:rsidR="00626028" w:rsidRPr="00626028">
        <w:rPr>
          <w:rFonts w:ascii="Open Sans" w:hAnsi="Open Sans" w:cs="Open Sans"/>
        </w:rPr>
        <w:t xml:space="preserve">when reaching my decision relating to compliance.  </w:t>
      </w:r>
    </w:p>
    <w:p w14:paraId="7A26B870" w14:textId="69BC7712" w:rsidR="00D80D3A" w:rsidRDefault="00605E64" w:rsidP="0036130C">
      <w:pPr>
        <w:pStyle w:val="NormalArial"/>
        <w:rPr>
          <w:rFonts w:ascii="Open Sans" w:hAnsi="Open Sans" w:cs="Open Sans"/>
        </w:rPr>
      </w:pPr>
      <w:r w:rsidRPr="00605E64">
        <w:rPr>
          <w:rFonts w:ascii="Open Sans" w:hAnsi="Open Sans" w:cs="Open Sans"/>
        </w:rPr>
        <w:t xml:space="preserve">For a third </w:t>
      </w:r>
      <w:r>
        <w:rPr>
          <w:rFonts w:ascii="Open Sans" w:hAnsi="Open Sans" w:cs="Open Sans"/>
        </w:rPr>
        <w:t xml:space="preserve">named consumer the report </w:t>
      </w:r>
      <w:r w:rsidR="00914158">
        <w:rPr>
          <w:rFonts w:ascii="Open Sans" w:hAnsi="Open Sans" w:cs="Open Sans"/>
        </w:rPr>
        <w:t>noted a risk assess</w:t>
      </w:r>
      <w:r w:rsidR="00016531">
        <w:rPr>
          <w:rFonts w:ascii="Open Sans" w:hAnsi="Open Sans" w:cs="Open Sans"/>
        </w:rPr>
        <w:t>ment had not been completed for a con</w:t>
      </w:r>
      <w:r w:rsidR="00D151F9">
        <w:rPr>
          <w:rFonts w:ascii="Open Sans" w:hAnsi="Open Sans" w:cs="Open Sans"/>
        </w:rPr>
        <w:t>sumer</w:t>
      </w:r>
      <w:r w:rsidR="00263348">
        <w:rPr>
          <w:rFonts w:ascii="Open Sans" w:hAnsi="Open Sans" w:cs="Open Sans"/>
        </w:rPr>
        <w:t xml:space="preserve"> who requires oxygen at times and was noted </w:t>
      </w:r>
      <w:r w:rsidR="00E27B57">
        <w:rPr>
          <w:rFonts w:ascii="Open Sans" w:hAnsi="Open Sans" w:cs="Open Sans"/>
        </w:rPr>
        <w:t xml:space="preserve">not to have oxygen in place at the time of the </w:t>
      </w:r>
      <w:r w:rsidR="00766572">
        <w:rPr>
          <w:rFonts w:ascii="Open Sans" w:hAnsi="Open Sans" w:cs="Open Sans"/>
        </w:rPr>
        <w:t xml:space="preserve">Assessment contact. </w:t>
      </w:r>
      <w:r w:rsidR="00040245">
        <w:rPr>
          <w:rFonts w:ascii="Open Sans" w:hAnsi="Open Sans" w:cs="Open Sans"/>
        </w:rPr>
        <w:t xml:space="preserve">The response </w:t>
      </w:r>
      <w:r w:rsidR="005760F6">
        <w:rPr>
          <w:rFonts w:ascii="Open Sans" w:hAnsi="Open Sans" w:cs="Open Sans"/>
        </w:rPr>
        <w:t>stated as the consumer</w:t>
      </w:r>
      <w:r w:rsidR="00051AAE">
        <w:rPr>
          <w:rFonts w:ascii="Open Sans" w:hAnsi="Open Sans" w:cs="Open Sans"/>
        </w:rPr>
        <w:t xml:space="preserve"> does not </w:t>
      </w:r>
      <w:r w:rsidR="003E7F16">
        <w:rPr>
          <w:rFonts w:ascii="Open Sans" w:hAnsi="Open Sans" w:cs="Open Sans"/>
        </w:rPr>
        <w:t>always need the oxygen</w:t>
      </w:r>
      <w:r w:rsidR="008B54F9">
        <w:rPr>
          <w:rFonts w:ascii="Open Sans" w:hAnsi="Open Sans" w:cs="Open Sans"/>
        </w:rPr>
        <w:t xml:space="preserve">, </w:t>
      </w:r>
      <w:r w:rsidR="00410B99">
        <w:rPr>
          <w:rFonts w:ascii="Open Sans" w:hAnsi="Open Sans" w:cs="Open Sans"/>
        </w:rPr>
        <w:t xml:space="preserve">there was no requirement for a risk assessment. </w:t>
      </w:r>
      <w:r w:rsidR="005B4424">
        <w:rPr>
          <w:rFonts w:ascii="Open Sans" w:hAnsi="Open Sans" w:cs="Open Sans"/>
        </w:rPr>
        <w:t xml:space="preserve">In relation to </w:t>
      </w:r>
      <w:r w:rsidR="0015032E">
        <w:rPr>
          <w:rFonts w:ascii="Open Sans" w:hAnsi="Open Sans" w:cs="Open Sans"/>
        </w:rPr>
        <w:t xml:space="preserve">absences of </w:t>
      </w:r>
      <w:r w:rsidR="00EC0C44">
        <w:rPr>
          <w:rFonts w:ascii="Open Sans" w:hAnsi="Open Sans" w:cs="Open Sans"/>
        </w:rPr>
        <w:t xml:space="preserve">recordings of the consumer’s oxygen levels, the response included </w:t>
      </w:r>
      <w:r w:rsidR="007F09B4">
        <w:rPr>
          <w:rFonts w:ascii="Open Sans" w:hAnsi="Open Sans" w:cs="Open Sans"/>
        </w:rPr>
        <w:t xml:space="preserve">completed oxygen levels for the consumer. </w:t>
      </w:r>
      <w:r w:rsidR="00B045F5">
        <w:rPr>
          <w:rFonts w:ascii="Open Sans" w:hAnsi="Open Sans" w:cs="Open Sans"/>
        </w:rPr>
        <w:t xml:space="preserve">I </w:t>
      </w:r>
      <w:r w:rsidR="000E376C">
        <w:rPr>
          <w:rFonts w:ascii="Open Sans" w:hAnsi="Open Sans" w:cs="Open Sans"/>
        </w:rPr>
        <w:t xml:space="preserve">have not considered this documentation deficit </w:t>
      </w:r>
      <w:r w:rsidR="003F5082">
        <w:rPr>
          <w:rFonts w:ascii="Open Sans" w:hAnsi="Open Sans" w:cs="Open Sans"/>
        </w:rPr>
        <w:t xml:space="preserve">when reaching my decision relating to compliance. </w:t>
      </w:r>
    </w:p>
    <w:p w14:paraId="6FF1524E" w14:textId="77777777" w:rsidR="00E61C2D" w:rsidRDefault="00B14CA5" w:rsidP="0036130C">
      <w:pPr>
        <w:pStyle w:val="NormalArial"/>
        <w:rPr>
          <w:rFonts w:ascii="Open Sans" w:hAnsi="Open Sans" w:cs="Open Sans"/>
        </w:rPr>
      </w:pPr>
      <w:r>
        <w:rPr>
          <w:rFonts w:ascii="Open Sans" w:hAnsi="Open Sans" w:cs="Open Sans"/>
        </w:rPr>
        <w:t>In coming to my decision regarding comp</w:t>
      </w:r>
      <w:r w:rsidR="0027640E">
        <w:rPr>
          <w:rFonts w:ascii="Open Sans" w:hAnsi="Open Sans" w:cs="Open Sans"/>
        </w:rPr>
        <w:t xml:space="preserve">liance in this requirement, I acknowledge there were deficiencies in the completion of information sources which direct care for </w:t>
      </w:r>
      <w:r w:rsidR="001E7383">
        <w:rPr>
          <w:rFonts w:ascii="Open Sans" w:hAnsi="Open Sans" w:cs="Open Sans"/>
        </w:rPr>
        <w:t>consumers,</w:t>
      </w:r>
      <w:r w:rsidR="0027640E">
        <w:rPr>
          <w:rFonts w:ascii="Open Sans" w:hAnsi="Open Sans" w:cs="Open Sans"/>
        </w:rPr>
        <w:t xml:space="preserve"> but I have not found evidence to support this led to or had the potential </w:t>
      </w:r>
      <w:r w:rsidR="00941BBE">
        <w:rPr>
          <w:rFonts w:ascii="Open Sans" w:hAnsi="Open Sans" w:cs="Open Sans"/>
        </w:rPr>
        <w:t xml:space="preserve">to lead to poor outcomes for consumers, therefore I have found the service </w:t>
      </w:r>
      <w:r w:rsidR="001E7383">
        <w:rPr>
          <w:rFonts w:ascii="Open Sans" w:hAnsi="Open Sans" w:cs="Open Sans"/>
        </w:rPr>
        <w:t xml:space="preserve">has returned to compliance in this Requirement. </w:t>
      </w:r>
    </w:p>
    <w:sectPr w:rsidR="00E61C2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D5DE" w14:textId="77777777" w:rsidR="00FE1B98" w:rsidRDefault="00FE1B98">
      <w:pPr>
        <w:spacing w:after="0"/>
      </w:pPr>
      <w:r>
        <w:separator/>
      </w:r>
    </w:p>
  </w:endnote>
  <w:endnote w:type="continuationSeparator" w:id="0">
    <w:p w14:paraId="2FA7D028" w14:textId="77777777" w:rsidR="00FE1B98" w:rsidRDefault="00FE1B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0EAB" w14:textId="77777777" w:rsidR="008F48B4" w:rsidRPr="00DF37F2" w:rsidRDefault="008F48B4" w:rsidP="00DF37F2">
    <w:pPr>
      <w:pStyle w:val="FooterArial9"/>
      <w:rPr>
        <w:rStyle w:val="FooterBold"/>
        <w:rFonts w:ascii="Arial" w:hAnsi="Arial"/>
        <w:b w:val="0"/>
      </w:rPr>
    </w:pPr>
    <w:bookmarkStart w:id="4" w:name="_Hlk144301213"/>
    <w:r w:rsidRPr="00DF37F2">
      <w:rPr>
        <w:rStyle w:val="FooterBold"/>
        <w:rFonts w:ascii="Arial" w:hAnsi="Arial"/>
        <w:b w:val="0"/>
      </w:rPr>
      <w:t xml:space="preserve">Name of service: </w:t>
    </w:r>
    <w:r w:rsidRPr="00D3376F">
      <w:rPr>
        <w:rFonts w:cs="Times New Roman"/>
        <w:color w:val="auto"/>
        <w:szCs w:val="18"/>
      </w:rPr>
      <w:t>Bolton Clarke Little Para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DBAAB88" w14:textId="77777777" w:rsidR="008F48B4" w:rsidRPr="00DF37F2" w:rsidRDefault="008F48B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6205</w:t>
    </w:r>
    <w:bookmarkEnd w:id="4"/>
    <w:r w:rsidRPr="00DF37F2">
      <w:rPr>
        <w:rStyle w:val="FooterBold"/>
        <w:rFonts w:ascii="Arial" w:hAnsi="Arial"/>
        <w:b w:val="0"/>
      </w:rPr>
      <w:tab/>
      <w:t xml:space="preserve">OFFICIAL: Sensitive </w:t>
    </w:r>
  </w:p>
  <w:p w14:paraId="5D537272" w14:textId="77777777" w:rsidR="008F48B4" w:rsidRPr="00DF37F2" w:rsidRDefault="008F48B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1152" w14:textId="77777777" w:rsidR="008F48B4" w:rsidRDefault="008F48B4"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8E6C" w14:textId="77777777" w:rsidR="00FE1B98" w:rsidRDefault="00FE1B98" w:rsidP="00D71F88">
      <w:pPr>
        <w:spacing w:after="0"/>
      </w:pPr>
      <w:r>
        <w:separator/>
      </w:r>
    </w:p>
  </w:footnote>
  <w:footnote w:type="continuationSeparator" w:id="0">
    <w:p w14:paraId="0507292E" w14:textId="77777777" w:rsidR="00FE1B98" w:rsidRDefault="00FE1B98" w:rsidP="00D71F88">
      <w:pPr>
        <w:spacing w:after="0"/>
      </w:pPr>
      <w:r>
        <w:continuationSeparator/>
      </w:r>
    </w:p>
  </w:footnote>
  <w:footnote w:id="1">
    <w:p w14:paraId="7BF1F4EE" w14:textId="37EF7C72" w:rsidR="008F48B4" w:rsidRDefault="008F48B4"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74753C">
        <w:rPr>
          <w:rFonts w:ascii="Arial" w:hAnsi="Arial"/>
          <w:color w:val="auto"/>
          <w:sz w:val="20"/>
          <w:szCs w:val="20"/>
        </w:rPr>
        <w:t>with section 68A</w:t>
      </w:r>
      <w:r w:rsidRPr="0074753C">
        <w:rPr>
          <w:rFonts w:ascii="Arial" w:hAnsi="Arial"/>
          <w:b/>
          <w:color w:val="auto"/>
          <w:sz w:val="20"/>
          <w:szCs w:val="20"/>
        </w:rPr>
        <w:t xml:space="preserve"> </w:t>
      </w:r>
      <w:r w:rsidRPr="0074753C">
        <w:rPr>
          <w:rFonts w:ascii="Arial" w:hAnsi="Arial"/>
          <w:color w:val="auto"/>
          <w:sz w:val="20"/>
          <w:szCs w:val="20"/>
        </w:rPr>
        <w:t>of the Aged Care</w:t>
      </w:r>
      <w:r w:rsidRPr="00443CA4">
        <w:rPr>
          <w:rFonts w:ascii="Arial" w:hAnsi="Arial"/>
          <w:sz w:val="20"/>
          <w:szCs w:val="20"/>
        </w:rPr>
        <w:t xml:space="preserve"> Quality and Safety Commission Rules 2018.</w:t>
      </w:r>
    </w:p>
    <w:p w14:paraId="0C4E50FD" w14:textId="77777777" w:rsidR="008F48B4" w:rsidRDefault="008F48B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FF1B" w14:textId="77777777" w:rsidR="008F48B4" w:rsidRDefault="008F48B4">
    <w:pPr>
      <w:pStyle w:val="Header"/>
    </w:pPr>
    <w:r>
      <w:rPr>
        <w:noProof/>
        <w:color w:val="2B579A"/>
        <w:shd w:val="clear" w:color="auto" w:fill="E6E6E6"/>
        <w:lang w:val="en-US"/>
      </w:rPr>
      <w:drawing>
        <wp:anchor distT="0" distB="0" distL="114300" distR="114300" simplePos="0" relativeHeight="251658241" behindDoc="1" locked="0" layoutInCell="1" allowOverlap="1" wp14:anchorId="25E733BD" wp14:editId="31B89EB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8606" w14:textId="77777777" w:rsidR="008F48B4" w:rsidRDefault="008F48B4">
    <w:pPr>
      <w:pStyle w:val="Header"/>
    </w:pPr>
    <w:r>
      <w:rPr>
        <w:noProof/>
      </w:rPr>
      <w:drawing>
        <wp:anchor distT="0" distB="0" distL="114300" distR="114300" simplePos="0" relativeHeight="251658240" behindDoc="0" locked="0" layoutInCell="1" allowOverlap="1" wp14:anchorId="12AECB00" wp14:editId="56AE68A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32A68A2">
      <w:start w:val="1"/>
      <w:numFmt w:val="lowerRoman"/>
      <w:lvlText w:val="(%1)"/>
      <w:lvlJc w:val="left"/>
      <w:pPr>
        <w:ind w:left="1080" w:hanging="720"/>
      </w:pPr>
      <w:rPr>
        <w:rFonts w:hint="default"/>
      </w:rPr>
    </w:lvl>
    <w:lvl w:ilvl="1" w:tplc="A630F8B0" w:tentative="1">
      <w:start w:val="1"/>
      <w:numFmt w:val="lowerLetter"/>
      <w:lvlText w:val="%2."/>
      <w:lvlJc w:val="left"/>
      <w:pPr>
        <w:ind w:left="1440" w:hanging="360"/>
      </w:pPr>
    </w:lvl>
    <w:lvl w:ilvl="2" w:tplc="3D148BA8" w:tentative="1">
      <w:start w:val="1"/>
      <w:numFmt w:val="lowerRoman"/>
      <w:lvlText w:val="%3."/>
      <w:lvlJc w:val="right"/>
      <w:pPr>
        <w:ind w:left="2160" w:hanging="180"/>
      </w:pPr>
    </w:lvl>
    <w:lvl w:ilvl="3" w:tplc="0FDCD9BC" w:tentative="1">
      <w:start w:val="1"/>
      <w:numFmt w:val="decimal"/>
      <w:lvlText w:val="%4."/>
      <w:lvlJc w:val="left"/>
      <w:pPr>
        <w:ind w:left="2880" w:hanging="360"/>
      </w:pPr>
    </w:lvl>
    <w:lvl w:ilvl="4" w:tplc="A782D65E" w:tentative="1">
      <w:start w:val="1"/>
      <w:numFmt w:val="lowerLetter"/>
      <w:lvlText w:val="%5."/>
      <w:lvlJc w:val="left"/>
      <w:pPr>
        <w:ind w:left="3600" w:hanging="360"/>
      </w:pPr>
    </w:lvl>
    <w:lvl w:ilvl="5" w:tplc="53EAC8DA" w:tentative="1">
      <w:start w:val="1"/>
      <w:numFmt w:val="lowerRoman"/>
      <w:lvlText w:val="%6."/>
      <w:lvlJc w:val="right"/>
      <w:pPr>
        <w:ind w:left="4320" w:hanging="180"/>
      </w:pPr>
    </w:lvl>
    <w:lvl w:ilvl="6" w:tplc="C5B08C32" w:tentative="1">
      <w:start w:val="1"/>
      <w:numFmt w:val="decimal"/>
      <w:lvlText w:val="%7."/>
      <w:lvlJc w:val="left"/>
      <w:pPr>
        <w:ind w:left="5040" w:hanging="360"/>
      </w:pPr>
    </w:lvl>
    <w:lvl w:ilvl="7" w:tplc="04C2C0CA" w:tentative="1">
      <w:start w:val="1"/>
      <w:numFmt w:val="lowerLetter"/>
      <w:lvlText w:val="%8."/>
      <w:lvlJc w:val="left"/>
      <w:pPr>
        <w:ind w:left="5760" w:hanging="360"/>
      </w:pPr>
    </w:lvl>
    <w:lvl w:ilvl="8" w:tplc="8E18D38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94C0DB0">
      <w:start w:val="1"/>
      <w:numFmt w:val="lowerRoman"/>
      <w:lvlText w:val="(%1)"/>
      <w:lvlJc w:val="left"/>
      <w:pPr>
        <w:ind w:left="1080" w:hanging="720"/>
      </w:pPr>
      <w:rPr>
        <w:rFonts w:hint="default"/>
      </w:rPr>
    </w:lvl>
    <w:lvl w:ilvl="1" w:tplc="9EA0DF0A" w:tentative="1">
      <w:start w:val="1"/>
      <w:numFmt w:val="lowerLetter"/>
      <w:lvlText w:val="%2."/>
      <w:lvlJc w:val="left"/>
      <w:pPr>
        <w:ind w:left="1440" w:hanging="360"/>
      </w:pPr>
    </w:lvl>
    <w:lvl w:ilvl="2" w:tplc="3FCCCBAC" w:tentative="1">
      <w:start w:val="1"/>
      <w:numFmt w:val="lowerRoman"/>
      <w:lvlText w:val="%3."/>
      <w:lvlJc w:val="right"/>
      <w:pPr>
        <w:ind w:left="2160" w:hanging="180"/>
      </w:pPr>
    </w:lvl>
    <w:lvl w:ilvl="3" w:tplc="11F43982" w:tentative="1">
      <w:start w:val="1"/>
      <w:numFmt w:val="decimal"/>
      <w:lvlText w:val="%4."/>
      <w:lvlJc w:val="left"/>
      <w:pPr>
        <w:ind w:left="2880" w:hanging="360"/>
      </w:pPr>
    </w:lvl>
    <w:lvl w:ilvl="4" w:tplc="8FC4D846" w:tentative="1">
      <w:start w:val="1"/>
      <w:numFmt w:val="lowerLetter"/>
      <w:lvlText w:val="%5."/>
      <w:lvlJc w:val="left"/>
      <w:pPr>
        <w:ind w:left="3600" w:hanging="360"/>
      </w:pPr>
    </w:lvl>
    <w:lvl w:ilvl="5" w:tplc="8C2AC8D4" w:tentative="1">
      <w:start w:val="1"/>
      <w:numFmt w:val="lowerRoman"/>
      <w:lvlText w:val="%6."/>
      <w:lvlJc w:val="right"/>
      <w:pPr>
        <w:ind w:left="4320" w:hanging="180"/>
      </w:pPr>
    </w:lvl>
    <w:lvl w:ilvl="6" w:tplc="01CC5A40" w:tentative="1">
      <w:start w:val="1"/>
      <w:numFmt w:val="decimal"/>
      <w:lvlText w:val="%7."/>
      <w:lvlJc w:val="left"/>
      <w:pPr>
        <w:ind w:left="5040" w:hanging="360"/>
      </w:pPr>
    </w:lvl>
    <w:lvl w:ilvl="7" w:tplc="B59E0CD2" w:tentative="1">
      <w:start w:val="1"/>
      <w:numFmt w:val="lowerLetter"/>
      <w:lvlText w:val="%8."/>
      <w:lvlJc w:val="left"/>
      <w:pPr>
        <w:ind w:left="5760" w:hanging="360"/>
      </w:pPr>
    </w:lvl>
    <w:lvl w:ilvl="8" w:tplc="512A1DC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FF20626">
      <w:start w:val="1"/>
      <w:numFmt w:val="lowerRoman"/>
      <w:lvlText w:val="(%1)"/>
      <w:lvlJc w:val="left"/>
      <w:pPr>
        <w:ind w:left="1080" w:hanging="720"/>
      </w:pPr>
      <w:rPr>
        <w:rFonts w:hint="default"/>
      </w:rPr>
    </w:lvl>
    <w:lvl w:ilvl="1" w:tplc="57780F44" w:tentative="1">
      <w:start w:val="1"/>
      <w:numFmt w:val="lowerLetter"/>
      <w:lvlText w:val="%2."/>
      <w:lvlJc w:val="left"/>
      <w:pPr>
        <w:ind w:left="1440" w:hanging="360"/>
      </w:pPr>
    </w:lvl>
    <w:lvl w:ilvl="2" w:tplc="04F8DFBE" w:tentative="1">
      <w:start w:val="1"/>
      <w:numFmt w:val="lowerRoman"/>
      <w:lvlText w:val="%3."/>
      <w:lvlJc w:val="right"/>
      <w:pPr>
        <w:ind w:left="2160" w:hanging="180"/>
      </w:pPr>
    </w:lvl>
    <w:lvl w:ilvl="3" w:tplc="2D2C3FEC" w:tentative="1">
      <w:start w:val="1"/>
      <w:numFmt w:val="decimal"/>
      <w:lvlText w:val="%4."/>
      <w:lvlJc w:val="left"/>
      <w:pPr>
        <w:ind w:left="2880" w:hanging="360"/>
      </w:pPr>
    </w:lvl>
    <w:lvl w:ilvl="4" w:tplc="B78276A8" w:tentative="1">
      <w:start w:val="1"/>
      <w:numFmt w:val="lowerLetter"/>
      <w:lvlText w:val="%5."/>
      <w:lvlJc w:val="left"/>
      <w:pPr>
        <w:ind w:left="3600" w:hanging="360"/>
      </w:pPr>
    </w:lvl>
    <w:lvl w:ilvl="5" w:tplc="6986C2FE" w:tentative="1">
      <w:start w:val="1"/>
      <w:numFmt w:val="lowerRoman"/>
      <w:lvlText w:val="%6."/>
      <w:lvlJc w:val="right"/>
      <w:pPr>
        <w:ind w:left="4320" w:hanging="180"/>
      </w:pPr>
    </w:lvl>
    <w:lvl w:ilvl="6" w:tplc="31283B24" w:tentative="1">
      <w:start w:val="1"/>
      <w:numFmt w:val="decimal"/>
      <w:lvlText w:val="%7."/>
      <w:lvlJc w:val="left"/>
      <w:pPr>
        <w:ind w:left="5040" w:hanging="360"/>
      </w:pPr>
    </w:lvl>
    <w:lvl w:ilvl="7" w:tplc="41DCE2B4" w:tentative="1">
      <w:start w:val="1"/>
      <w:numFmt w:val="lowerLetter"/>
      <w:lvlText w:val="%8."/>
      <w:lvlJc w:val="left"/>
      <w:pPr>
        <w:ind w:left="5760" w:hanging="360"/>
      </w:pPr>
    </w:lvl>
    <w:lvl w:ilvl="8" w:tplc="BF5CC01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18828E8">
      <w:start w:val="1"/>
      <w:numFmt w:val="bullet"/>
      <w:lvlText w:val=""/>
      <w:lvlJc w:val="left"/>
      <w:pPr>
        <w:ind w:left="720" w:hanging="360"/>
      </w:pPr>
      <w:rPr>
        <w:rFonts w:ascii="Symbol" w:hAnsi="Symbol" w:hint="default"/>
        <w:color w:val="auto"/>
        <w:sz w:val="24"/>
        <w:szCs w:val="24"/>
      </w:rPr>
    </w:lvl>
    <w:lvl w:ilvl="1" w:tplc="90AC95A4" w:tentative="1">
      <w:start w:val="1"/>
      <w:numFmt w:val="bullet"/>
      <w:lvlText w:val="o"/>
      <w:lvlJc w:val="left"/>
      <w:pPr>
        <w:ind w:left="1440" w:hanging="360"/>
      </w:pPr>
      <w:rPr>
        <w:rFonts w:ascii="Courier New" w:hAnsi="Courier New" w:cs="Courier New" w:hint="default"/>
      </w:rPr>
    </w:lvl>
    <w:lvl w:ilvl="2" w:tplc="5DACFEA4" w:tentative="1">
      <w:start w:val="1"/>
      <w:numFmt w:val="bullet"/>
      <w:lvlText w:val=""/>
      <w:lvlJc w:val="left"/>
      <w:pPr>
        <w:ind w:left="2160" w:hanging="360"/>
      </w:pPr>
      <w:rPr>
        <w:rFonts w:ascii="Wingdings" w:hAnsi="Wingdings" w:hint="default"/>
      </w:rPr>
    </w:lvl>
    <w:lvl w:ilvl="3" w:tplc="84FE9C92" w:tentative="1">
      <w:start w:val="1"/>
      <w:numFmt w:val="bullet"/>
      <w:lvlText w:val=""/>
      <w:lvlJc w:val="left"/>
      <w:pPr>
        <w:ind w:left="2880" w:hanging="360"/>
      </w:pPr>
      <w:rPr>
        <w:rFonts w:ascii="Symbol" w:hAnsi="Symbol" w:hint="default"/>
      </w:rPr>
    </w:lvl>
    <w:lvl w:ilvl="4" w:tplc="FB627964" w:tentative="1">
      <w:start w:val="1"/>
      <w:numFmt w:val="bullet"/>
      <w:lvlText w:val="o"/>
      <w:lvlJc w:val="left"/>
      <w:pPr>
        <w:ind w:left="3600" w:hanging="360"/>
      </w:pPr>
      <w:rPr>
        <w:rFonts w:ascii="Courier New" w:hAnsi="Courier New" w:cs="Courier New" w:hint="default"/>
      </w:rPr>
    </w:lvl>
    <w:lvl w:ilvl="5" w:tplc="50484EE4" w:tentative="1">
      <w:start w:val="1"/>
      <w:numFmt w:val="bullet"/>
      <w:lvlText w:val=""/>
      <w:lvlJc w:val="left"/>
      <w:pPr>
        <w:ind w:left="4320" w:hanging="360"/>
      </w:pPr>
      <w:rPr>
        <w:rFonts w:ascii="Wingdings" w:hAnsi="Wingdings" w:hint="default"/>
      </w:rPr>
    </w:lvl>
    <w:lvl w:ilvl="6" w:tplc="14DA776C" w:tentative="1">
      <w:start w:val="1"/>
      <w:numFmt w:val="bullet"/>
      <w:lvlText w:val=""/>
      <w:lvlJc w:val="left"/>
      <w:pPr>
        <w:ind w:left="5040" w:hanging="360"/>
      </w:pPr>
      <w:rPr>
        <w:rFonts w:ascii="Symbol" w:hAnsi="Symbol" w:hint="default"/>
      </w:rPr>
    </w:lvl>
    <w:lvl w:ilvl="7" w:tplc="E184101E" w:tentative="1">
      <w:start w:val="1"/>
      <w:numFmt w:val="bullet"/>
      <w:lvlText w:val="o"/>
      <w:lvlJc w:val="left"/>
      <w:pPr>
        <w:ind w:left="5760" w:hanging="360"/>
      </w:pPr>
      <w:rPr>
        <w:rFonts w:ascii="Courier New" w:hAnsi="Courier New" w:cs="Courier New" w:hint="default"/>
      </w:rPr>
    </w:lvl>
    <w:lvl w:ilvl="8" w:tplc="A914107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C784B78">
      <w:start w:val="1"/>
      <w:numFmt w:val="lowerRoman"/>
      <w:lvlText w:val="(%1)"/>
      <w:lvlJc w:val="left"/>
      <w:pPr>
        <w:ind w:left="1080" w:hanging="720"/>
      </w:pPr>
      <w:rPr>
        <w:rFonts w:hint="default"/>
      </w:rPr>
    </w:lvl>
    <w:lvl w:ilvl="1" w:tplc="CD305D1A" w:tentative="1">
      <w:start w:val="1"/>
      <w:numFmt w:val="lowerLetter"/>
      <w:lvlText w:val="%2."/>
      <w:lvlJc w:val="left"/>
      <w:pPr>
        <w:ind w:left="1440" w:hanging="360"/>
      </w:pPr>
    </w:lvl>
    <w:lvl w:ilvl="2" w:tplc="449C625E" w:tentative="1">
      <w:start w:val="1"/>
      <w:numFmt w:val="lowerRoman"/>
      <w:lvlText w:val="%3."/>
      <w:lvlJc w:val="right"/>
      <w:pPr>
        <w:ind w:left="2160" w:hanging="180"/>
      </w:pPr>
    </w:lvl>
    <w:lvl w:ilvl="3" w:tplc="0C2067B2" w:tentative="1">
      <w:start w:val="1"/>
      <w:numFmt w:val="decimal"/>
      <w:lvlText w:val="%4."/>
      <w:lvlJc w:val="left"/>
      <w:pPr>
        <w:ind w:left="2880" w:hanging="360"/>
      </w:pPr>
    </w:lvl>
    <w:lvl w:ilvl="4" w:tplc="88521222" w:tentative="1">
      <w:start w:val="1"/>
      <w:numFmt w:val="lowerLetter"/>
      <w:lvlText w:val="%5."/>
      <w:lvlJc w:val="left"/>
      <w:pPr>
        <w:ind w:left="3600" w:hanging="360"/>
      </w:pPr>
    </w:lvl>
    <w:lvl w:ilvl="5" w:tplc="DE68DD10" w:tentative="1">
      <w:start w:val="1"/>
      <w:numFmt w:val="lowerRoman"/>
      <w:lvlText w:val="%6."/>
      <w:lvlJc w:val="right"/>
      <w:pPr>
        <w:ind w:left="4320" w:hanging="180"/>
      </w:pPr>
    </w:lvl>
    <w:lvl w:ilvl="6" w:tplc="57782B30" w:tentative="1">
      <w:start w:val="1"/>
      <w:numFmt w:val="decimal"/>
      <w:lvlText w:val="%7."/>
      <w:lvlJc w:val="left"/>
      <w:pPr>
        <w:ind w:left="5040" w:hanging="360"/>
      </w:pPr>
    </w:lvl>
    <w:lvl w:ilvl="7" w:tplc="17464DAA" w:tentative="1">
      <w:start w:val="1"/>
      <w:numFmt w:val="lowerLetter"/>
      <w:lvlText w:val="%8."/>
      <w:lvlJc w:val="left"/>
      <w:pPr>
        <w:ind w:left="5760" w:hanging="360"/>
      </w:pPr>
    </w:lvl>
    <w:lvl w:ilvl="8" w:tplc="07A6EB3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9CCC5DE">
      <w:start w:val="1"/>
      <w:numFmt w:val="lowerRoman"/>
      <w:lvlText w:val="(%1)"/>
      <w:lvlJc w:val="left"/>
      <w:pPr>
        <w:ind w:left="1080" w:hanging="720"/>
      </w:pPr>
      <w:rPr>
        <w:rFonts w:hint="default"/>
      </w:rPr>
    </w:lvl>
    <w:lvl w:ilvl="1" w:tplc="8E7466F6" w:tentative="1">
      <w:start w:val="1"/>
      <w:numFmt w:val="lowerLetter"/>
      <w:lvlText w:val="%2."/>
      <w:lvlJc w:val="left"/>
      <w:pPr>
        <w:ind w:left="1440" w:hanging="360"/>
      </w:pPr>
    </w:lvl>
    <w:lvl w:ilvl="2" w:tplc="4C724146" w:tentative="1">
      <w:start w:val="1"/>
      <w:numFmt w:val="lowerRoman"/>
      <w:lvlText w:val="%3."/>
      <w:lvlJc w:val="right"/>
      <w:pPr>
        <w:ind w:left="2160" w:hanging="180"/>
      </w:pPr>
    </w:lvl>
    <w:lvl w:ilvl="3" w:tplc="8B7A6330" w:tentative="1">
      <w:start w:val="1"/>
      <w:numFmt w:val="decimal"/>
      <w:lvlText w:val="%4."/>
      <w:lvlJc w:val="left"/>
      <w:pPr>
        <w:ind w:left="2880" w:hanging="360"/>
      </w:pPr>
    </w:lvl>
    <w:lvl w:ilvl="4" w:tplc="C35405DA" w:tentative="1">
      <w:start w:val="1"/>
      <w:numFmt w:val="lowerLetter"/>
      <w:lvlText w:val="%5."/>
      <w:lvlJc w:val="left"/>
      <w:pPr>
        <w:ind w:left="3600" w:hanging="360"/>
      </w:pPr>
    </w:lvl>
    <w:lvl w:ilvl="5" w:tplc="E8F21F7C" w:tentative="1">
      <w:start w:val="1"/>
      <w:numFmt w:val="lowerRoman"/>
      <w:lvlText w:val="%6."/>
      <w:lvlJc w:val="right"/>
      <w:pPr>
        <w:ind w:left="4320" w:hanging="180"/>
      </w:pPr>
    </w:lvl>
    <w:lvl w:ilvl="6" w:tplc="25022432" w:tentative="1">
      <w:start w:val="1"/>
      <w:numFmt w:val="decimal"/>
      <w:lvlText w:val="%7."/>
      <w:lvlJc w:val="left"/>
      <w:pPr>
        <w:ind w:left="5040" w:hanging="360"/>
      </w:pPr>
    </w:lvl>
    <w:lvl w:ilvl="7" w:tplc="02C23ECC" w:tentative="1">
      <w:start w:val="1"/>
      <w:numFmt w:val="lowerLetter"/>
      <w:lvlText w:val="%8."/>
      <w:lvlJc w:val="left"/>
      <w:pPr>
        <w:ind w:left="5760" w:hanging="360"/>
      </w:pPr>
    </w:lvl>
    <w:lvl w:ilvl="8" w:tplc="997C9F4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1A814DA">
      <w:start w:val="1"/>
      <w:numFmt w:val="lowerRoman"/>
      <w:lvlText w:val="(%1)"/>
      <w:lvlJc w:val="left"/>
      <w:pPr>
        <w:ind w:left="1080" w:hanging="720"/>
      </w:pPr>
      <w:rPr>
        <w:rFonts w:hint="default"/>
      </w:rPr>
    </w:lvl>
    <w:lvl w:ilvl="1" w:tplc="30F0C08A" w:tentative="1">
      <w:start w:val="1"/>
      <w:numFmt w:val="lowerLetter"/>
      <w:lvlText w:val="%2."/>
      <w:lvlJc w:val="left"/>
      <w:pPr>
        <w:ind w:left="1440" w:hanging="360"/>
      </w:pPr>
    </w:lvl>
    <w:lvl w:ilvl="2" w:tplc="0ACA4312" w:tentative="1">
      <w:start w:val="1"/>
      <w:numFmt w:val="lowerRoman"/>
      <w:lvlText w:val="%3."/>
      <w:lvlJc w:val="right"/>
      <w:pPr>
        <w:ind w:left="2160" w:hanging="180"/>
      </w:pPr>
    </w:lvl>
    <w:lvl w:ilvl="3" w:tplc="6FB886CA" w:tentative="1">
      <w:start w:val="1"/>
      <w:numFmt w:val="decimal"/>
      <w:lvlText w:val="%4."/>
      <w:lvlJc w:val="left"/>
      <w:pPr>
        <w:ind w:left="2880" w:hanging="360"/>
      </w:pPr>
    </w:lvl>
    <w:lvl w:ilvl="4" w:tplc="8452D270" w:tentative="1">
      <w:start w:val="1"/>
      <w:numFmt w:val="lowerLetter"/>
      <w:lvlText w:val="%5."/>
      <w:lvlJc w:val="left"/>
      <w:pPr>
        <w:ind w:left="3600" w:hanging="360"/>
      </w:pPr>
    </w:lvl>
    <w:lvl w:ilvl="5" w:tplc="891A43F2" w:tentative="1">
      <w:start w:val="1"/>
      <w:numFmt w:val="lowerRoman"/>
      <w:lvlText w:val="%6."/>
      <w:lvlJc w:val="right"/>
      <w:pPr>
        <w:ind w:left="4320" w:hanging="180"/>
      </w:pPr>
    </w:lvl>
    <w:lvl w:ilvl="6" w:tplc="2FA2B7EA" w:tentative="1">
      <w:start w:val="1"/>
      <w:numFmt w:val="decimal"/>
      <w:lvlText w:val="%7."/>
      <w:lvlJc w:val="left"/>
      <w:pPr>
        <w:ind w:left="5040" w:hanging="360"/>
      </w:pPr>
    </w:lvl>
    <w:lvl w:ilvl="7" w:tplc="1CFC5D74" w:tentative="1">
      <w:start w:val="1"/>
      <w:numFmt w:val="lowerLetter"/>
      <w:lvlText w:val="%8."/>
      <w:lvlJc w:val="left"/>
      <w:pPr>
        <w:ind w:left="5760" w:hanging="360"/>
      </w:pPr>
    </w:lvl>
    <w:lvl w:ilvl="8" w:tplc="C744F77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F4C00346">
      <w:start w:val="1"/>
      <w:numFmt w:val="lowerRoman"/>
      <w:lvlText w:val="(%1)"/>
      <w:lvlJc w:val="left"/>
      <w:pPr>
        <w:ind w:left="1080" w:hanging="720"/>
      </w:pPr>
      <w:rPr>
        <w:rFonts w:hint="default"/>
      </w:rPr>
    </w:lvl>
    <w:lvl w:ilvl="1" w:tplc="F4089FC4" w:tentative="1">
      <w:start w:val="1"/>
      <w:numFmt w:val="lowerLetter"/>
      <w:lvlText w:val="%2."/>
      <w:lvlJc w:val="left"/>
      <w:pPr>
        <w:ind w:left="1440" w:hanging="360"/>
      </w:pPr>
    </w:lvl>
    <w:lvl w:ilvl="2" w:tplc="D1124844" w:tentative="1">
      <w:start w:val="1"/>
      <w:numFmt w:val="lowerRoman"/>
      <w:lvlText w:val="%3."/>
      <w:lvlJc w:val="right"/>
      <w:pPr>
        <w:ind w:left="2160" w:hanging="180"/>
      </w:pPr>
    </w:lvl>
    <w:lvl w:ilvl="3" w:tplc="CFE88AFA" w:tentative="1">
      <w:start w:val="1"/>
      <w:numFmt w:val="decimal"/>
      <w:lvlText w:val="%4."/>
      <w:lvlJc w:val="left"/>
      <w:pPr>
        <w:ind w:left="2880" w:hanging="360"/>
      </w:pPr>
    </w:lvl>
    <w:lvl w:ilvl="4" w:tplc="0B68EDA6" w:tentative="1">
      <w:start w:val="1"/>
      <w:numFmt w:val="lowerLetter"/>
      <w:lvlText w:val="%5."/>
      <w:lvlJc w:val="left"/>
      <w:pPr>
        <w:ind w:left="3600" w:hanging="360"/>
      </w:pPr>
    </w:lvl>
    <w:lvl w:ilvl="5" w:tplc="C3145810" w:tentative="1">
      <w:start w:val="1"/>
      <w:numFmt w:val="lowerRoman"/>
      <w:lvlText w:val="%6."/>
      <w:lvlJc w:val="right"/>
      <w:pPr>
        <w:ind w:left="4320" w:hanging="180"/>
      </w:pPr>
    </w:lvl>
    <w:lvl w:ilvl="6" w:tplc="C5888E62" w:tentative="1">
      <w:start w:val="1"/>
      <w:numFmt w:val="decimal"/>
      <w:lvlText w:val="%7."/>
      <w:lvlJc w:val="left"/>
      <w:pPr>
        <w:ind w:left="5040" w:hanging="360"/>
      </w:pPr>
    </w:lvl>
    <w:lvl w:ilvl="7" w:tplc="D3E80CC4" w:tentative="1">
      <w:start w:val="1"/>
      <w:numFmt w:val="lowerLetter"/>
      <w:lvlText w:val="%8."/>
      <w:lvlJc w:val="left"/>
      <w:pPr>
        <w:ind w:left="5760" w:hanging="360"/>
      </w:pPr>
    </w:lvl>
    <w:lvl w:ilvl="8" w:tplc="F7D40F2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E1225C26">
      <w:start w:val="1"/>
      <w:numFmt w:val="lowerRoman"/>
      <w:lvlText w:val="(%1)"/>
      <w:lvlJc w:val="left"/>
      <w:pPr>
        <w:ind w:left="1080" w:hanging="720"/>
      </w:pPr>
      <w:rPr>
        <w:rFonts w:hint="default"/>
      </w:rPr>
    </w:lvl>
    <w:lvl w:ilvl="1" w:tplc="90DCE298" w:tentative="1">
      <w:start w:val="1"/>
      <w:numFmt w:val="lowerLetter"/>
      <w:lvlText w:val="%2."/>
      <w:lvlJc w:val="left"/>
      <w:pPr>
        <w:ind w:left="1440" w:hanging="360"/>
      </w:pPr>
    </w:lvl>
    <w:lvl w:ilvl="2" w:tplc="6E6451F6" w:tentative="1">
      <w:start w:val="1"/>
      <w:numFmt w:val="lowerRoman"/>
      <w:lvlText w:val="%3."/>
      <w:lvlJc w:val="right"/>
      <w:pPr>
        <w:ind w:left="2160" w:hanging="180"/>
      </w:pPr>
    </w:lvl>
    <w:lvl w:ilvl="3" w:tplc="DD5EFF42" w:tentative="1">
      <w:start w:val="1"/>
      <w:numFmt w:val="decimal"/>
      <w:lvlText w:val="%4."/>
      <w:lvlJc w:val="left"/>
      <w:pPr>
        <w:ind w:left="2880" w:hanging="360"/>
      </w:pPr>
    </w:lvl>
    <w:lvl w:ilvl="4" w:tplc="2042D50C" w:tentative="1">
      <w:start w:val="1"/>
      <w:numFmt w:val="lowerLetter"/>
      <w:lvlText w:val="%5."/>
      <w:lvlJc w:val="left"/>
      <w:pPr>
        <w:ind w:left="3600" w:hanging="360"/>
      </w:pPr>
    </w:lvl>
    <w:lvl w:ilvl="5" w:tplc="AFDCFB32" w:tentative="1">
      <w:start w:val="1"/>
      <w:numFmt w:val="lowerRoman"/>
      <w:lvlText w:val="%6."/>
      <w:lvlJc w:val="right"/>
      <w:pPr>
        <w:ind w:left="4320" w:hanging="180"/>
      </w:pPr>
    </w:lvl>
    <w:lvl w:ilvl="6" w:tplc="50461BB8" w:tentative="1">
      <w:start w:val="1"/>
      <w:numFmt w:val="decimal"/>
      <w:lvlText w:val="%7."/>
      <w:lvlJc w:val="left"/>
      <w:pPr>
        <w:ind w:left="5040" w:hanging="360"/>
      </w:pPr>
    </w:lvl>
    <w:lvl w:ilvl="7" w:tplc="A6A0B790" w:tentative="1">
      <w:start w:val="1"/>
      <w:numFmt w:val="lowerLetter"/>
      <w:lvlText w:val="%8."/>
      <w:lvlJc w:val="left"/>
      <w:pPr>
        <w:ind w:left="5760" w:hanging="360"/>
      </w:pPr>
    </w:lvl>
    <w:lvl w:ilvl="8" w:tplc="A95A8D8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EE6E7834">
      <w:start w:val="1"/>
      <w:numFmt w:val="lowerRoman"/>
      <w:lvlText w:val="(%1)"/>
      <w:lvlJc w:val="left"/>
      <w:pPr>
        <w:ind w:left="1080" w:hanging="720"/>
      </w:pPr>
      <w:rPr>
        <w:rFonts w:hint="default"/>
      </w:rPr>
    </w:lvl>
    <w:lvl w:ilvl="1" w:tplc="E1E81E0A" w:tentative="1">
      <w:start w:val="1"/>
      <w:numFmt w:val="lowerLetter"/>
      <w:lvlText w:val="%2."/>
      <w:lvlJc w:val="left"/>
      <w:pPr>
        <w:ind w:left="1440" w:hanging="360"/>
      </w:pPr>
    </w:lvl>
    <w:lvl w:ilvl="2" w:tplc="EF4A8234" w:tentative="1">
      <w:start w:val="1"/>
      <w:numFmt w:val="lowerRoman"/>
      <w:lvlText w:val="%3."/>
      <w:lvlJc w:val="right"/>
      <w:pPr>
        <w:ind w:left="2160" w:hanging="180"/>
      </w:pPr>
    </w:lvl>
    <w:lvl w:ilvl="3" w:tplc="7EC481B6" w:tentative="1">
      <w:start w:val="1"/>
      <w:numFmt w:val="decimal"/>
      <w:lvlText w:val="%4."/>
      <w:lvlJc w:val="left"/>
      <w:pPr>
        <w:ind w:left="2880" w:hanging="360"/>
      </w:pPr>
    </w:lvl>
    <w:lvl w:ilvl="4" w:tplc="B84CECE8" w:tentative="1">
      <w:start w:val="1"/>
      <w:numFmt w:val="lowerLetter"/>
      <w:lvlText w:val="%5."/>
      <w:lvlJc w:val="left"/>
      <w:pPr>
        <w:ind w:left="3600" w:hanging="360"/>
      </w:pPr>
    </w:lvl>
    <w:lvl w:ilvl="5" w:tplc="3AFC217E" w:tentative="1">
      <w:start w:val="1"/>
      <w:numFmt w:val="lowerRoman"/>
      <w:lvlText w:val="%6."/>
      <w:lvlJc w:val="right"/>
      <w:pPr>
        <w:ind w:left="4320" w:hanging="180"/>
      </w:pPr>
    </w:lvl>
    <w:lvl w:ilvl="6" w:tplc="527E229C" w:tentative="1">
      <w:start w:val="1"/>
      <w:numFmt w:val="decimal"/>
      <w:lvlText w:val="%7."/>
      <w:lvlJc w:val="left"/>
      <w:pPr>
        <w:ind w:left="5040" w:hanging="360"/>
      </w:pPr>
    </w:lvl>
    <w:lvl w:ilvl="7" w:tplc="0C208F9E" w:tentative="1">
      <w:start w:val="1"/>
      <w:numFmt w:val="lowerLetter"/>
      <w:lvlText w:val="%8."/>
      <w:lvlJc w:val="left"/>
      <w:pPr>
        <w:ind w:left="5760" w:hanging="360"/>
      </w:pPr>
    </w:lvl>
    <w:lvl w:ilvl="8" w:tplc="08D2AB7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37761283">
    <w:abstractNumId w:val="11"/>
  </w:num>
  <w:num w:numId="2" w16cid:durableId="129790736">
    <w:abstractNumId w:val="4"/>
  </w:num>
  <w:num w:numId="3" w16cid:durableId="1838114876">
    <w:abstractNumId w:val="2"/>
  </w:num>
  <w:num w:numId="4" w16cid:durableId="190342667">
    <w:abstractNumId w:val="7"/>
  </w:num>
  <w:num w:numId="5" w16cid:durableId="1419250439">
    <w:abstractNumId w:val="6"/>
  </w:num>
  <w:num w:numId="6" w16cid:durableId="2104453426">
    <w:abstractNumId w:val="1"/>
  </w:num>
  <w:num w:numId="7" w16cid:durableId="2053533341">
    <w:abstractNumId w:val="9"/>
  </w:num>
  <w:num w:numId="8" w16cid:durableId="1165046919">
    <w:abstractNumId w:val="5"/>
  </w:num>
  <w:num w:numId="9" w16cid:durableId="699937069">
    <w:abstractNumId w:val="8"/>
  </w:num>
  <w:num w:numId="10" w16cid:durableId="1172375126">
    <w:abstractNumId w:val="3"/>
  </w:num>
  <w:num w:numId="11" w16cid:durableId="199780406">
    <w:abstractNumId w:val="10"/>
  </w:num>
  <w:num w:numId="12" w16cid:durableId="1260526058">
    <w:abstractNumId w:val="0"/>
  </w:num>
  <w:num w:numId="13" w16cid:durableId="369382020">
    <w:abstractNumId w:val="11"/>
  </w:num>
  <w:num w:numId="14" w16cid:durableId="1225943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B0"/>
    <w:rsid w:val="00016531"/>
    <w:rsid w:val="00030A6C"/>
    <w:rsid w:val="00032B4F"/>
    <w:rsid w:val="00034EB9"/>
    <w:rsid w:val="00040245"/>
    <w:rsid w:val="000427A9"/>
    <w:rsid w:val="00051AAE"/>
    <w:rsid w:val="0005499A"/>
    <w:rsid w:val="00070B4B"/>
    <w:rsid w:val="00071CD6"/>
    <w:rsid w:val="000855FF"/>
    <w:rsid w:val="00094B98"/>
    <w:rsid w:val="00095263"/>
    <w:rsid w:val="000A36D9"/>
    <w:rsid w:val="000B31E4"/>
    <w:rsid w:val="000B3795"/>
    <w:rsid w:val="000B3D45"/>
    <w:rsid w:val="000E376C"/>
    <w:rsid w:val="000F0F22"/>
    <w:rsid w:val="000F1303"/>
    <w:rsid w:val="00114872"/>
    <w:rsid w:val="0012369A"/>
    <w:rsid w:val="00135405"/>
    <w:rsid w:val="00150195"/>
    <w:rsid w:val="0015032E"/>
    <w:rsid w:val="001515C2"/>
    <w:rsid w:val="0015249E"/>
    <w:rsid w:val="00166090"/>
    <w:rsid w:val="0018085D"/>
    <w:rsid w:val="00193B6D"/>
    <w:rsid w:val="001A1870"/>
    <w:rsid w:val="001A1AD4"/>
    <w:rsid w:val="001A51C6"/>
    <w:rsid w:val="001C25F7"/>
    <w:rsid w:val="001C7647"/>
    <w:rsid w:val="001E7383"/>
    <w:rsid w:val="001F2D28"/>
    <w:rsid w:val="001F336F"/>
    <w:rsid w:val="001F3978"/>
    <w:rsid w:val="0020022E"/>
    <w:rsid w:val="00203981"/>
    <w:rsid w:val="00220A07"/>
    <w:rsid w:val="00263348"/>
    <w:rsid w:val="00267E3A"/>
    <w:rsid w:val="00270ECE"/>
    <w:rsid w:val="00271E81"/>
    <w:rsid w:val="0027640E"/>
    <w:rsid w:val="00291DFF"/>
    <w:rsid w:val="00294301"/>
    <w:rsid w:val="002A22DB"/>
    <w:rsid w:val="002C1439"/>
    <w:rsid w:val="002C4292"/>
    <w:rsid w:val="002D05A0"/>
    <w:rsid w:val="002E4C12"/>
    <w:rsid w:val="003054EA"/>
    <w:rsid w:val="00314959"/>
    <w:rsid w:val="00335602"/>
    <w:rsid w:val="00347820"/>
    <w:rsid w:val="00357472"/>
    <w:rsid w:val="00371700"/>
    <w:rsid w:val="0037230C"/>
    <w:rsid w:val="003741A5"/>
    <w:rsid w:val="00374494"/>
    <w:rsid w:val="003813C1"/>
    <w:rsid w:val="00385FA5"/>
    <w:rsid w:val="00386969"/>
    <w:rsid w:val="00391B8B"/>
    <w:rsid w:val="003A60E8"/>
    <w:rsid w:val="003C1223"/>
    <w:rsid w:val="003C278B"/>
    <w:rsid w:val="003D4210"/>
    <w:rsid w:val="003E0437"/>
    <w:rsid w:val="003E7F16"/>
    <w:rsid w:val="003F5082"/>
    <w:rsid w:val="003F7991"/>
    <w:rsid w:val="0040042C"/>
    <w:rsid w:val="00400EF5"/>
    <w:rsid w:val="00401B2E"/>
    <w:rsid w:val="004077BE"/>
    <w:rsid w:val="00410B99"/>
    <w:rsid w:val="00416EE0"/>
    <w:rsid w:val="00456D58"/>
    <w:rsid w:val="00476652"/>
    <w:rsid w:val="004773EB"/>
    <w:rsid w:val="00484140"/>
    <w:rsid w:val="004930CD"/>
    <w:rsid w:val="004949A3"/>
    <w:rsid w:val="004A3B84"/>
    <w:rsid w:val="004A41BF"/>
    <w:rsid w:val="004A4F80"/>
    <w:rsid w:val="004C34DE"/>
    <w:rsid w:val="004F7667"/>
    <w:rsid w:val="00516AA1"/>
    <w:rsid w:val="0053602A"/>
    <w:rsid w:val="00540C55"/>
    <w:rsid w:val="0054162A"/>
    <w:rsid w:val="00551D78"/>
    <w:rsid w:val="005531F1"/>
    <w:rsid w:val="00555FFB"/>
    <w:rsid w:val="005601C1"/>
    <w:rsid w:val="005679E5"/>
    <w:rsid w:val="005760F6"/>
    <w:rsid w:val="005917E3"/>
    <w:rsid w:val="005B03CA"/>
    <w:rsid w:val="005B4424"/>
    <w:rsid w:val="005B7FDF"/>
    <w:rsid w:val="005C4A22"/>
    <w:rsid w:val="00600AEB"/>
    <w:rsid w:val="00605E64"/>
    <w:rsid w:val="00611617"/>
    <w:rsid w:val="00620FA7"/>
    <w:rsid w:val="00626028"/>
    <w:rsid w:val="00635B3E"/>
    <w:rsid w:val="00650C08"/>
    <w:rsid w:val="006615A5"/>
    <w:rsid w:val="00671EFE"/>
    <w:rsid w:val="00695FAF"/>
    <w:rsid w:val="00696909"/>
    <w:rsid w:val="006A26E3"/>
    <w:rsid w:val="006A3AE2"/>
    <w:rsid w:val="006B5E38"/>
    <w:rsid w:val="006F0346"/>
    <w:rsid w:val="007051F7"/>
    <w:rsid w:val="00712DCB"/>
    <w:rsid w:val="0071484B"/>
    <w:rsid w:val="007161B4"/>
    <w:rsid w:val="00727288"/>
    <w:rsid w:val="00727ECE"/>
    <w:rsid w:val="007331CF"/>
    <w:rsid w:val="00736A32"/>
    <w:rsid w:val="007435BE"/>
    <w:rsid w:val="0074753C"/>
    <w:rsid w:val="0075182E"/>
    <w:rsid w:val="007534CA"/>
    <w:rsid w:val="007569D7"/>
    <w:rsid w:val="00766572"/>
    <w:rsid w:val="00771926"/>
    <w:rsid w:val="00784461"/>
    <w:rsid w:val="00792419"/>
    <w:rsid w:val="007A18E3"/>
    <w:rsid w:val="007C0320"/>
    <w:rsid w:val="007C0758"/>
    <w:rsid w:val="007D4330"/>
    <w:rsid w:val="007E041A"/>
    <w:rsid w:val="007F09B4"/>
    <w:rsid w:val="007F2EAA"/>
    <w:rsid w:val="008124FF"/>
    <w:rsid w:val="00815A02"/>
    <w:rsid w:val="00825911"/>
    <w:rsid w:val="00825C12"/>
    <w:rsid w:val="0082665D"/>
    <w:rsid w:val="00831B04"/>
    <w:rsid w:val="00840A08"/>
    <w:rsid w:val="00847427"/>
    <w:rsid w:val="008724E2"/>
    <w:rsid w:val="008753BE"/>
    <w:rsid w:val="00887260"/>
    <w:rsid w:val="00890794"/>
    <w:rsid w:val="008B3319"/>
    <w:rsid w:val="008B54F9"/>
    <w:rsid w:val="008C1E75"/>
    <w:rsid w:val="008E324B"/>
    <w:rsid w:val="008E5C69"/>
    <w:rsid w:val="008F0262"/>
    <w:rsid w:val="008F48B4"/>
    <w:rsid w:val="00905512"/>
    <w:rsid w:val="00905C71"/>
    <w:rsid w:val="00906B83"/>
    <w:rsid w:val="00910097"/>
    <w:rsid w:val="00914158"/>
    <w:rsid w:val="00916569"/>
    <w:rsid w:val="00917B00"/>
    <w:rsid w:val="00921F35"/>
    <w:rsid w:val="00923CCB"/>
    <w:rsid w:val="00936FD2"/>
    <w:rsid w:val="0094030A"/>
    <w:rsid w:val="00941BBE"/>
    <w:rsid w:val="00950870"/>
    <w:rsid w:val="00971CB0"/>
    <w:rsid w:val="00982E13"/>
    <w:rsid w:val="009830B4"/>
    <w:rsid w:val="00983773"/>
    <w:rsid w:val="0099176D"/>
    <w:rsid w:val="009938D7"/>
    <w:rsid w:val="0099577A"/>
    <w:rsid w:val="009A7077"/>
    <w:rsid w:val="009C1123"/>
    <w:rsid w:val="009D73D3"/>
    <w:rsid w:val="009F2C4C"/>
    <w:rsid w:val="009F4116"/>
    <w:rsid w:val="009F422A"/>
    <w:rsid w:val="009F7C4F"/>
    <w:rsid w:val="00A17EE2"/>
    <w:rsid w:val="00A42CF1"/>
    <w:rsid w:val="00A432FA"/>
    <w:rsid w:val="00A434DD"/>
    <w:rsid w:val="00A4619A"/>
    <w:rsid w:val="00A614E1"/>
    <w:rsid w:val="00A677B0"/>
    <w:rsid w:val="00A9003C"/>
    <w:rsid w:val="00A9789C"/>
    <w:rsid w:val="00AA1C01"/>
    <w:rsid w:val="00AA78BD"/>
    <w:rsid w:val="00AB1E8E"/>
    <w:rsid w:val="00AC4E96"/>
    <w:rsid w:val="00AD6348"/>
    <w:rsid w:val="00AE4E4B"/>
    <w:rsid w:val="00AE7DD2"/>
    <w:rsid w:val="00AF10AF"/>
    <w:rsid w:val="00B045F5"/>
    <w:rsid w:val="00B124C4"/>
    <w:rsid w:val="00B14CA5"/>
    <w:rsid w:val="00B25052"/>
    <w:rsid w:val="00B370B1"/>
    <w:rsid w:val="00B50FDE"/>
    <w:rsid w:val="00B71C46"/>
    <w:rsid w:val="00B73A79"/>
    <w:rsid w:val="00B73CA0"/>
    <w:rsid w:val="00B76866"/>
    <w:rsid w:val="00B927C9"/>
    <w:rsid w:val="00BA7572"/>
    <w:rsid w:val="00BC474F"/>
    <w:rsid w:val="00BD6648"/>
    <w:rsid w:val="00BE2A9D"/>
    <w:rsid w:val="00C03186"/>
    <w:rsid w:val="00C3252D"/>
    <w:rsid w:val="00C32B1F"/>
    <w:rsid w:val="00C414E8"/>
    <w:rsid w:val="00C45B9C"/>
    <w:rsid w:val="00C56E70"/>
    <w:rsid w:val="00C71F84"/>
    <w:rsid w:val="00C74098"/>
    <w:rsid w:val="00C75C03"/>
    <w:rsid w:val="00C81AB8"/>
    <w:rsid w:val="00C927FA"/>
    <w:rsid w:val="00CA1BB0"/>
    <w:rsid w:val="00CC11BB"/>
    <w:rsid w:val="00CC4464"/>
    <w:rsid w:val="00CF05FB"/>
    <w:rsid w:val="00D04559"/>
    <w:rsid w:val="00D1023A"/>
    <w:rsid w:val="00D151F9"/>
    <w:rsid w:val="00D23ED8"/>
    <w:rsid w:val="00D246CD"/>
    <w:rsid w:val="00D30DA1"/>
    <w:rsid w:val="00D67EC3"/>
    <w:rsid w:val="00D714C9"/>
    <w:rsid w:val="00D80370"/>
    <w:rsid w:val="00D80D3A"/>
    <w:rsid w:val="00DA7D72"/>
    <w:rsid w:val="00DC59E0"/>
    <w:rsid w:val="00DD198E"/>
    <w:rsid w:val="00DE1C64"/>
    <w:rsid w:val="00E00D49"/>
    <w:rsid w:val="00E13642"/>
    <w:rsid w:val="00E20242"/>
    <w:rsid w:val="00E27B57"/>
    <w:rsid w:val="00E310C2"/>
    <w:rsid w:val="00E33A1D"/>
    <w:rsid w:val="00E523A4"/>
    <w:rsid w:val="00E55D2E"/>
    <w:rsid w:val="00E61C2D"/>
    <w:rsid w:val="00E66481"/>
    <w:rsid w:val="00E72C53"/>
    <w:rsid w:val="00E761E1"/>
    <w:rsid w:val="00E803A2"/>
    <w:rsid w:val="00E84279"/>
    <w:rsid w:val="00E9131D"/>
    <w:rsid w:val="00EB64CF"/>
    <w:rsid w:val="00EC0C44"/>
    <w:rsid w:val="00EC2E81"/>
    <w:rsid w:val="00EC578C"/>
    <w:rsid w:val="00EF6900"/>
    <w:rsid w:val="00F036C4"/>
    <w:rsid w:val="00F37AD2"/>
    <w:rsid w:val="00F42171"/>
    <w:rsid w:val="00F47B55"/>
    <w:rsid w:val="00F52E24"/>
    <w:rsid w:val="00F652B8"/>
    <w:rsid w:val="00F67E5D"/>
    <w:rsid w:val="00F778C8"/>
    <w:rsid w:val="00F811E1"/>
    <w:rsid w:val="00FA3DF9"/>
    <w:rsid w:val="00FA6EA4"/>
    <w:rsid w:val="00FC604D"/>
    <w:rsid w:val="00FE1B98"/>
    <w:rsid w:val="00FE775F"/>
    <w:rsid w:val="00FF2392"/>
    <w:rsid w:val="00FF46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2353C04"/>
  <w15:docId w15:val="{6623D41F-EDDD-428C-99B9-8A8B2284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F40ED" w:rsidRDefault="002F40ED">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F40ED" w:rsidRDefault="002F40ED" w:rsidP="00AF0AC5">
          <w:pPr>
            <w:pStyle w:val="39029122E116421E9EE19D2FCE4517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2F40ED" w:rsidRDefault="002F40ED" w:rsidP="00AF0AC5">
          <w:pPr>
            <w:pStyle w:val="0796204703484FAD9B1778A33922F94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40ED"/>
    <w:rsid w:val="002F40ED"/>
    <w:rsid w:val="004B41E4"/>
    <w:rsid w:val="00620FA7"/>
    <w:rsid w:val="008753BE"/>
    <w:rsid w:val="00971CB0"/>
    <w:rsid w:val="00982E13"/>
    <w:rsid w:val="009D73D3"/>
    <w:rsid w:val="00CC4464"/>
    <w:rsid w:val="00E66481"/>
    <w:rsid w:val="00EF42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0796204703484FAD9B1778A33922F943">
    <w:name w:val="0796204703484FAD9B1778A33922F94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1732629D-607D-4CBB-8727-618382B54FB6}"/>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2025-04-03T21:32:00Z</dcterms:created>
  <dcterms:modified xsi:type="dcterms:W3CDTF">2025-04-03T21:32:00Z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