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929C1" w14:textId="77777777" w:rsidR="00EC26BE" w:rsidRPr="002C3EBF" w:rsidRDefault="00E4328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ED1D96" wp14:editId="7994F4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403C626" w14:textId="77777777" w:rsidR="00EC26BE" w:rsidRDefault="00E4328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D5955E" w14:textId="77777777" w:rsidR="00EC26BE" w:rsidRDefault="00E4328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D010D6" w14:textId="77777777" w:rsidR="00EC26BE" w:rsidRPr="002C3EBF" w:rsidRDefault="00E4328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E7084" w14:paraId="48719836" w14:textId="77777777" w:rsidTr="003E7084">
        <w:tc>
          <w:tcPr>
            <w:cnfStyle w:val="001000000000" w:firstRow="0" w:lastRow="0" w:firstColumn="1" w:lastColumn="0" w:oddVBand="0" w:evenVBand="0" w:oddHBand="0" w:evenHBand="0" w:firstRowFirstColumn="0" w:firstRowLastColumn="0" w:lastRowFirstColumn="0" w:lastRowLastColumn="0"/>
            <w:tcW w:w="3227" w:type="dxa"/>
          </w:tcPr>
          <w:p w14:paraId="7C22CBD6" w14:textId="77777777" w:rsidR="00EC26BE" w:rsidRPr="00996FAF" w:rsidRDefault="00E4328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F2D8BC" w14:textId="77777777" w:rsidR="00EC26BE" w:rsidRPr="00996FAF" w:rsidRDefault="00E432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Christophorus</w:t>
            </w:r>
            <w:proofErr w:type="spellEnd"/>
            <w:r w:rsidRPr="00C27BE3">
              <w:rPr>
                <w:rFonts w:ascii="Arial" w:hAnsi="Arial" w:cs="Arial"/>
              </w:rPr>
              <w:t xml:space="preserve"> House Hostel</w:t>
            </w:r>
          </w:p>
        </w:tc>
      </w:tr>
      <w:tr w:rsidR="003E7084" w14:paraId="018610DA" w14:textId="77777777" w:rsidTr="003E70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E92962" w14:textId="77777777" w:rsidR="00EC26BE" w:rsidRPr="00996FAF" w:rsidRDefault="00E4328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E55F4E" w14:textId="77777777" w:rsidR="00EC26BE" w:rsidRPr="00C27BE3" w:rsidRDefault="00E432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0200</w:t>
            </w:r>
          </w:p>
        </w:tc>
      </w:tr>
      <w:tr w:rsidR="003E7084" w14:paraId="31C90AEB" w14:textId="77777777" w:rsidTr="003E70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4122B0" w14:textId="77777777" w:rsidR="00EC26BE" w:rsidRPr="00996FAF" w:rsidRDefault="00E4328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DC62D9" w14:textId="77777777" w:rsidR="00EC26BE" w:rsidRPr="00996FAF" w:rsidRDefault="00E432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396 Peats</w:t>
            </w:r>
            <w:r>
              <w:rPr>
                <w:rFonts w:ascii="Arial" w:eastAsia="Times New Roman" w:hAnsi="Arial" w:cs="Arial"/>
                <w:lang w:eastAsia="en-AU"/>
              </w:rPr>
              <w:t xml:space="preserve"> Ferry Road, HORNSBY, New South Wales, 2077</w:t>
            </w:r>
          </w:p>
        </w:tc>
      </w:tr>
      <w:tr w:rsidR="003E7084" w14:paraId="715DF547" w14:textId="77777777" w:rsidTr="003E70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B4A0B5" w14:textId="77777777" w:rsidR="00EC26BE" w:rsidRPr="00996FAF" w:rsidRDefault="00E4328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85F03C" w14:textId="77777777" w:rsidR="00EC26BE" w:rsidRPr="00996FAF" w:rsidRDefault="00E432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E7084" w14:paraId="4A4DD7FA" w14:textId="77777777" w:rsidTr="003E70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78992" w14:textId="77777777" w:rsidR="00EC26BE" w:rsidRPr="00996FAF" w:rsidRDefault="00E4328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858BB8" w14:textId="77777777" w:rsidR="00EC26BE" w:rsidRPr="00996FAF" w:rsidRDefault="00E432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January 2024</w:t>
            </w:r>
          </w:p>
        </w:tc>
      </w:tr>
      <w:tr w:rsidR="003E7084" w14:paraId="3BAA28B1" w14:textId="77777777" w:rsidTr="003E70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636C43" w14:textId="77777777" w:rsidR="00EC26BE" w:rsidRPr="00996FAF" w:rsidRDefault="00E4328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18372967"/>
            <w:placeholder>
              <w:docPart w:val="DefaultPlaceholder_-1854013437"/>
            </w:placeholder>
            <w:date w:fullDate="2024-02-13T00:00:00Z">
              <w:dateFormat w:val="d MMMM yyyy"/>
              <w:lid w:val="en-AU"/>
              <w:storeMappedDataAs w:val="dateTime"/>
              <w:calendar w:val="gregorian"/>
            </w:date>
          </w:sdtPr>
          <w:sdtEndPr/>
          <w:sdtContent>
            <w:tc>
              <w:tcPr>
                <w:tcW w:w="7114" w:type="dxa"/>
                <w:shd w:val="clear" w:color="auto" w:fill="FFFFFF" w:themeFill="background1"/>
              </w:tcPr>
              <w:p w14:paraId="2C3D0309" w14:textId="77777777" w:rsidR="00EC26BE" w:rsidRPr="00996FAF" w:rsidRDefault="00D85A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February 2024</w:t>
                </w:r>
              </w:p>
            </w:tc>
          </w:sdtContent>
        </w:sdt>
      </w:tr>
      <w:tr w:rsidR="003E7084" w14:paraId="3F74DCFC" w14:textId="77777777" w:rsidTr="003E70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E7DF87" w14:textId="77777777" w:rsidR="00EC26BE" w:rsidRPr="00996FAF" w:rsidRDefault="00E4328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76EDA0" w14:textId="77777777" w:rsidR="00EC26BE" w:rsidRPr="009B6303" w:rsidRDefault="00E432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431 </w:t>
            </w:r>
            <w:proofErr w:type="spellStart"/>
            <w:r w:rsidRPr="009B6303">
              <w:rPr>
                <w:rFonts w:ascii="Arial" w:hAnsi="Arial" w:cs="Arial"/>
              </w:rPr>
              <w:t>Christophorus</w:t>
            </w:r>
            <w:proofErr w:type="spellEnd"/>
            <w:r w:rsidRPr="009B6303">
              <w:rPr>
                <w:rFonts w:ascii="Arial" w:hAnsi="Arial" w:cs="Arial"/>
              </w:rPr>
              <w:t xml:space="preserve"> House Retirement Village </w:t>
            </w:r>
          </w:p>
          <w:p w14:paraId="3086D3B7" w14:textId="77777777" w:rsidR="00EC26BE" w:rsidRPr="009B6303" w:rsidRDefault="00E432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216 </w:t>
            </w:r>
            <w:proofErr w:type="spellStart"/>
            <w:r w:rsidRPr="009B6303">
              <w:rPr>
                <w:rFonts w:ascii="Arial" w:hAnsi="Arial" w:cs="Arial"/>
              </w:rPr>
              <w:t>Christophorus</w:t>
            </w:r>
            <w:proofErr w:type="spellEnd"/>
            <w:r w:rsidRPr="009B6303">
              <w:rPr>
                <w:rFonts w:ascii="Arial" w:hAnsi="Arial" w:cs="Arial"/>
              </w:rPr>
              <w:t xml:space="preserve"> House Hostel</w:t>
            </w:r>
          </w:p>
        </w:tc>
      </w:tr>
    </w:tbl>
    <w:bookmarkEnd w:id="0"/>
    <w:p w14:paraId="014E90A8" w14:textId="77777777" w:rsidR="00EC26BE" w:rsidRPr="00996FAF" w:rsidRDefault="00E4328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104018" w14:textId="77777777" w:rsidR="00EC26BE" w:rsidRPr="00996FAF" w:rsidRDefault="00E4328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077A201" w14:textId="77777777" w:rsidR="00EC26BE" w:rsidRPr="00996FAF" w:rsidRDefault="00E43284" w:rsidP="0036130C">
      <w:pPr>
        <w:pStyle w:val="NormalArial"/>
      </w:pPr>
      <w:r w:rsidRPr="00996FAF">
        <w:t xml:space="preserve">This performance report for </w:t>
      </w:r>
      <w:proofErr w:type="spellStart"/>
      <w:r w:rsidRPr="00C27BE3">
        <w:rPr>
          <w:color w:val="auto"/>
        </w:rPr>
        <w:t>Christophorus</w:t>
      </w:r>
      <w:proofErr w:type="spellEnd"/>
      <w:r w:rsidRPr="00C27BE3">
        <w:rPr>
          <w:color w:val="auto"/>
        </w:rPr>
        <w:t xml:space="preserve"> House Hostel</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8EB1AA" w14:textId="77777777" w:rsidR="00EC26BE" w:rsidRPr="00996FAF" w:rsidRDefault="00E43284"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7542B486" w14:textId="77777777" w:rsidR="00EC26BE" w:rsidRPr="00996FAF" w:rsidRDefault="00E43284" w:rsidP="0036130C">
      <w:pPr>
        <w:pStyle w:val="NormalArial"/>
      </w:pPr>
      <w:r w:rsidRPr="00996FAF">
        <w:t>The report also specifies any areas in which improvements must be made to ensur</w:t>
      </w:r>
      <w:r w:rsidRPr="00996FAF">
        <w:t>e the Quality Standards are complied with.</w:t>
      </w:r>
    </w:p>
    <w:p w14:paraId="1B147CDB" w14:textId="77777777" w:rsidR="00EC26BE" w:rsidRPr="00996FAF" w:rsidRDefault="00E43284" w:rsidP="00712752">
      <w:pPr>
        <w:pStyle w:val="Heading1"/>
        <w:spacing w:before="240" w:after="240" w:line="22" w:lineRule="atLeast"/>
        <w:rPr>
          <w:rFonts w:ascii="Arial" w:hAnsi="Arial" w:cs="Arial"/>
        </w:rPr>
      </w:pPr>
      <w:r w:rsidRPr="00996FAF">
        <w:rPr>
          <w:rFonts w:ascii="Arial" w:hAnsi="Arial" w:cs="Arial"/>
        </w:rPr>
        <w:t>Material relied on</w:t>
      </w:r>
    </w:p>
    <w:p w14:paraId="7C06A0EA" w14:textId="77777777" w:rsidR="00EC26BE" w:rsidRPr="00996FAF" w:rsidRDefault="00E43284" w:rsidP="0036130C">
      <w:pPr>
        <w:pStyle w:val="NormalArial"/>
      </w:pPr>
      <w:r w:rsidRPr="00996FAF">
        <w:t>The following information has been considered in preparing the performance report:</w:t>
      </w:r>
    </w:p>
    <w:p w14:paraId="25583C87" w14:textId="77777777" w:rsidR="00EC26BE" w:rsidRPr="00692189" w:rsidRDefault="00E4328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692189">
        <w:rPr>
          <w:rFonts w:ascii="Arial" w:hAnsi="Arial" w:cs="Arial"/>
          <w:color w:val="auto"/>
        </w:rPr>
        <w:t>informed by a site assessment, observations at the service, review of documents and interviews with staff, consumers/</w:t>
      </w:r>
      <w:proofErr w:type="gramStart"/>
      <w:r w:rsidRPr="00692189">
        <w:rPr>
          <w:rFonts w:ascii="Arial" w:hAnsi="Arial" w:cs="Arial"/>
          <w:color w:val="auto"/>
        </w:rPr>
        <w:t>representatives</w:t>
      </w:r>
      <w:proofErr w:type="gramEnd"/>
      <w:r w:rsidRPr="00692189">
        <w:rPr>
          <w:rFonts w:ascii="Arial" w:hAnsi="Arial" w:cs="Arial"/>
          <w:color w:val="auto"/>
        </w:rPr>
        <w:t xml:space="preserve"> and others</w:t>
      </w:r>
      <w:r w:rsidR="00692189" w:rsidRPr="00692189">
        <w:rPr>
          <w:rFonts w:ascii="Arial" w:hAnsi="Arial" w:cs="Arial"/>
          <w:color w:val="auto"/>
        </w:rPr>
        <w:t>.</w:t>
      </w:r>
    </w:p>
    <w:p w14:paraId="4516C2E9" w14:textId="77777777" w:rsidR="00EC26BE" w:rsidRPr="00996FAF" w:rsidRDefault="00E4328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5A637E">
        <w:rPr>
          <w:rFonts w:ascii="Arial" w:hAnsi="Arial" w:cs="Arial"/>
        </w:rPr>
        <w:t xml:space="preserve"> 1</w:t>
      </w:r>
      <w:r w:rsidR="004F6B05">
        <w:rPr>
          <w:rFonts w:ascii="Arial" w:hAnsi="Arial" w:cs="Arial"/>
        </w:rPr>
        <w:t>2</w:t>
      </w:r>
      <w:r w:rsidR="005A637E">
        <w:rPr>
          <w:rFonts w:ascii="Arial" w:hAnsi="Arial" w:cs="Arial"/>
        </w:rPr>
        <w:t xml:space="preserve"> February 2024. </w:t>
      </w:r>
      <w:r w:rsidRPr="00A36AA9">
        <w:rPr>
          <w:rFonts w:ascii="Arial" w:hAnsi="Arial" w:cs="Arial"/>
        </w:rPr>
        <w:t xml:space="preserve"> </w:t>
      </w:r>
      <w:r w:rsidRPr="00996FAF">
        <w:rPr>
          <w:rFonts w:ascii="Arial" w:hAnsi="Arial" w:cs="Arial"/>
        </w:rPr>
        <w:t xml:space="preserve"> </w:t>
      </w:r>
    </w:p>
    <w:p w14:paraId="15404382" w14:textId="77777777" w:rsidR="00EC26BE" w:rsidRPr="00712752" w:rsidRDefault="00E4328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6A840D" w14:textId="77777777" w:rsidR="00EC26BE" w:rsidRPr="00996FAF" w:rsidRDefault="00E4328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E7084" w14:paraId="3C8393A8" w14:textId="77777777" w:rsidTr="003E70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58DEE8" w14:textId="77777777" w:rsidR="00EC26BE" w:rsidRPr="00996FAF" w:rsidRDefault="00E43284" w:rsidP="002C5FA9">
            <w:pPr>
              <w:keepNext/>
              <w:spacing w:before="0" w:line="22" w:lineRule="atLeast"/>
              <w:ind w:right="-109"/>
              <w:rPr>
                <w:rFonts w:ascii="Arial" w:hAnsi="Arial" w:cs="Arial"/>
              </w:rPr>
            </w:pPr>
            <w:r w:rsidRPr="00996FAF">
              <w:rPr>
                <w:rFonts w:ascii="Arial" w:hAnsi="Arial" w:cs="Arial"/>
              </w:rPr>
              <w:t>Sta</w:t>
            </w:r>
            <w:r w:rsidRPr="00996FAF">
              <w:rPr>
                <w:rFonts w:ascii="Arial" w:hAnsi="Arial" w:cs="Arial"/>
              </w:rPr>
              <w:t>ndard 2</w:t>
            </w:r>
            <w:r w:rsidRPr="00996FAF">
              <w:rPr>
                <w:rFonts w:ascii="Arial" w:hAnsi="Arial" w:cs="Arial"/>
                <w:b w:val="0"/>
              </w:rPr>
              <w:t xml:space="preserve"> Ongoing assessment and planning with consumers</w:t>
            </w:r>
          </w:p>
        </w:tc>
        <w:tc>
          <w:tcPr>
            <w:tcW w:w="1175" w:type="pct"/>
            <w:shd w:val="clear" w:color="auto" w:fill="auto"/>
          </w:tcPr>
          <w:p w14:paraId="1E6C519C" w14:textId="77777777" w:rsidR="00EC26BE" w:rsidRPr="002C5FA9" w:rsidRDefault="00D11A4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3E7084" w14:paraId="2A97D36D" w14:textId="77777777" w:rsidTr="003E70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C46089" w14:textId="77777777" w:rsidR="00EC26BE" w:rsidRPr="00996FAF" w:rsidRDefault="00E4328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EB82CB3" w14:textId="77777777" w:rsidR="00EC26BE" w:rsidRPr="00E84296" w:rsidRDefault="00E842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84296">
              <w:rPr>
                <w:rFonts w:ascii="Arial" w:hAnsi="Arial" w:cs="Arial"/>
                <w:b/>
              </w:rPr>
              <w:t>Not Applicable</w:t>
            </w:r>
          </w:p>
        </w:tc>
      </w:tr>
      <w:tr w:rsidR="003E7084" w14:paraId="7DA354FF" w14:textId="77777777" w:rsidTr="003E70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96D4F1" w14:textId="77777777" w:rsidR="00EC26BE" w:rsidRPr="00996FAF" w:rsidRDefault="00E4328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E73DAF2" w14:textId="77777777" w:rsidR="00EC26BE" w:rsidRPr="002C5FA9" w:rsidRDefault="00E4328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480952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44D87">
                  <w:rPr>
                    <w:rFonts w:ascii="Arial" w:hAnsi="Arial" w:cs="Arial"/>
                    <w:b/>
                    <w:bCs/>
                  </w:rPr>
                  <w:t>Not Compliant</w:t>
                </w:r>
              </w:sdtContent>
            </w:sdt>
          </w:p>
        </w:tc>
      </w:tr>
    </w:tbl>
    <w:p w14:paraId="7E00A7BB" w14:textId="77777777" w:rsidR="00EC26BE" w:rsidRPr="00996FAF" w:rsidRDefault="00E4328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A2F9CC1" w14:textId="77777777" w:rsidR="00EC26BE" w:rsidRPr="00996FAF" w:rsidRDefault="00E43284" w:rsidP="00712752">
      <w:pPr>
        <w:pStyle w:val="Heading1"/>
        <w:spacing w:before="0" w:after="240" w:line="22" w:lineRule="atLeast"/>
        <w:rPr>
          <w:rFonts w:ascii="Arial" w:hAnsi="Arial" w:cs="Arial"/>
        </w:rPr>
      </w:pPr>
      <w:r w:rsidRPr="00996FAF">
        <w:rPr>
          <w:rFonts w:ascii="Arial" w:hAnsi="Arial" w:cs="Arial"/>
        </w:rPr>
        <w:t>Areas for improvement</w:t>
      </w:r>
    </w:p>
    <w:p w14:paraId="0F9D80A4" w14:textId="77777777" w:rsidR="00EC26BE" w:rsidRDefault="00E43284" w:rsidP="0036130C">
      <w:pPr>
        <w:pStyle w:val="NormalArial"/>
      </w:pPr>
      <w:r w:rsidRPr="00996FAF">
        <w:t xml:space="preserve">Areas have been identified in which </w:t>
      </w:r>
      <w:r w:rsidRPr="005F0133">
        <w:rPr>
          <w:bCs/>
        </w:rPr>
        <w:t>improvements must be made to ensure compliance with the Quality Standards</w:t>
      </w:r>
      <w:r w:rsidRPr="00996FAF">
        <w:t>. This is based on non-compliance with the Quality Standards as described in this performance report.</w:t>
      </w:r>
    </w:p>
    <w:p w14:paraId="285CD60B" w14:textId="77777777" w:rsidR="00E1284C" w:rsidRPr="00996FAF" w:rsidRDefault="00E1284C" w:rsidP="00E1284C">
      <w:pPr>
        <w:pStyle w:val="NormalArial"/>
      </w:pPr>
      <w:r w:rsidRPr="00996FAF">
        <w:rPr>
          <w:color w:val="auto"/>
        </w:rPr>
        <w:t xml:space="preserve">Requirement </w:t>
      </w:r>
      <w:r>
        <w:rPr>
          <w:color w:val="auto"/>
        </w:rPr>
        <w:t>8</w:t>
      </w:r>
      <w:r w:rsidRPr="00996FAF">
        <w:rPr>
          <w:color w:val="auto"/>
        </w:rPr>
        <w:t>(3)(</w:t>
      </w:r>
      <w:r>
        <w:rPr>
          <w:color w:val="auto"/>
        </w:rPr>
        <w:t>d</w:t>
      </w:r>
      <w:r w:rsidRPr="00996FAF">
        <w:rPr>
          <w:color w:val="auto"/>
        </w:rPr>
        <w:t>)</w:t>
      </w:r>
    </w:p>
    <w:p w14:paraId="0C8C1BE5" w14:textId="77777777" w:rsidR="00E1284C" w:rsidRDefault="00E1284C" w:rsidP="00E1284C">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effective risk management systems and practices are in place, specifically related to the management of high-impact/high-prevalence risks, abuse of consumers, managing and preventing incidents.</w:t>
      </w:r>
    </w:p>
    <w:p w14:paraId="67A8B76D" w14:textId="77777777" w:rsidR="00EC26BE" w:rsidRPr="00996FAF" w:rsidRDefault="00E43284" w:rsidP="0036130C">
      <w:pPr>
        <w:pStyle w:val="NormalArial"/>
      </w:pPr>
      <w:r w:rsidRPr="00996FAF">
        <w:br w:type="page"/>
      </w:r>
    </w:p>
    <w:p w14:paraId="4E91B4ED" w14:textId="77777777" w:rsidR="00EC26BE" w:rsidRPr="00996FAF" w:rsidRDefault="00E4328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3E7084" w14:paraId="3438EC2D" w14:textId="77777777" w:rsidTr="00B31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46D6CA41" w14:textId="77777777" w:rsidR="00EC26BE" w:rsidRPr="0075021E" w:rsidRDefault="00E4328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w:t>
            </w:r>
            <w:r w:rsidRPr="0075021E">
              <w:rPr>
                <w:rFonts w:ascii="Arial" w:hAnsi="Arial" w:cs="Arial"/>
                <w:color w:val="FFFFFF" w:themeColor="background1"/>
              </w:rPr>
              <w:t>assessment and planning with consumers</w:t>
            </w:r>
          </w:p>
        </w:tc>
        <w:tc>
          <w:tcPr>
            <w:tcW w:w="970" w:type="pct"/>
            <w:tcBorders>
              <w:left w:val="single" w:sz="4" w:space="0" w:color="BFBFBF" w:themeColor="background1" w:themeShade="BF"/>
            </w:tcBorders>
          </w:tcPr>
          <w:p w14:paraId="3919F781" w14:textId="77777777" w:rsidR="00EC26BE" w:rsidRPr="00996FAF" w:rsidRDefault="00EC2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7084" w14:paraId="740E49E6" w14:textId="77777777" w:rsidTr="00B31741">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06C94BCC" w14:textId="77777777" w:rsidR="00EC26BE" w:rsidRPr="00996FAF" w:rsidRDefault="00E43284" w:rsidP="002C5FA9">
            <w:pPr>
              <w:spacing w:line="22" w:lineRule="atLeast"/>
              <w:rPr>
                <w:rFonts w:ascii="Arial" w:hAnsi="Arial" w:cs="Arial"/>
              </w:rPr>
            </w:pPr>
            <w:r w:rsidRPr="00996FAF">
              <w:rPr>
                <w:rFonts w:ascii="Arial" w:hAnsi="Arial" w:cs="Arial"/>
              </w:rPr>
              <w:t>Requirement 2(3)(a)</w:t>
            </w:r>
          </w:p>
        </w:tc>
        <w:tc>
          <w:tcPr>
            <w:tcW w:w="3162" w:type="pct"/>
            <w:tcBorders>
              <w:left w:val="single" w:sz="4" w:space="0" w:color="BFBFBF" w:themeColor="background1" w:themeShade="BF"/>
            </w:tcBorders>
            <w:shd w:val="clear" w:color="auto" w:fill="auto"/>
          </w:tcPr>
          <w:p w14:paraId="736D9597" w14:textId="77777777" w:rsidR="00EC26BE" w:rsidRPr="00996FAF" w:rsidRDefault="00E43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E10C2CE" w14:textId="77777777" w:rsidR="00EC26BE" w:rsidRPr="00996FAF" w:rsidRDefault="00E43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64713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336006D" w14:textId="77777777" w:rsidR="00EC26BE" w:rsidRDefault="00E43284" w:rsidP="00D87E7C">
      <w:pPr>
        <w:pStyle w:val="Heading20"/>
      </w:pPr>
      <w:r w:rsidRPr="00996FAF">
        <w:t>Findings</w:t>
      </w:r>
    </w:p>
    <w:p w14:paraId="29BB49D0" w14:textId="77777777" w:rsidR="00FA52BC" w:rsidRDefault="00FA52BC" w:rsidP="00FA52BC">
      <w:pPr>
        <w:pStyle w:val="NormalArial"/>
        <w:rPr>
          <w:color w:val="auto"/>
        </w:rPr>
      </w:pPr>
      <w:r w:rsidRPr="002F16CE">
        <w:rPr>
          <w:color w:val="auto"/>
        </w:rPr>
        <w:t xml:space="preserve">Requirement </w:t>
      </w:r>
      <w:r>
        <w:rPr>
          <w:color w:val="auto"/>
        </w:rPr>
        <w:t>2(</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10B7FD7" w14:textId="77777777" w:rsidR="00646674" w:rsidRDefault="00D11A40" w:rsidP="0036130C">
      <w:pPr>
        <w:pStyle w:val="NormalArial"/>
      </w:pPr>
      <w:r>
        <w:t>The service demonstrated that risk assessment and planning took each consumer’s individual needs and preferences into consideration to inform the delivery of safe and effective care for each consumer. Management stated consumer care planning and risks were taken into consideration on a yearly basis and when needed. Staff were able to demonstrate their knowledge of specific consumer risks, and clinical documentation for each consumer was reflective of regular assessment when needed.</w:t>
      </w:r>
    </w:p>
    <w:p w14:paraId="01341554" w14:textId="77777777" w:rsidR="00EC26BE" w:rsidRPr="00334B7D" w:rsidRDefault="00E43284" w:rsidP="0036130C">
      <w:pPr>
        <w:pStyle w:val="NormalArial"/>
      </w:pPr>
      <w:r w:rsidRPr="00996FAF">
        <w:t xml:space="preserve"> </w:t>
      </w:r>
      <w:r w:rsidRPr="00996FAF">
        <w:br w:type="page"/>
      </w:r>
    </w:p>
    <w:p w14:paraId="4622F029" w14:textId="77777777" w:rsidR="00EC26BE" w:rsidRPr="00996FAF" w:rsidRDefault="00E4328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442"/>
        <w:gridCol w:w="1951"/>
      </w:tblGrid>
      <w:tr w:rsidR="003E7084" w14:paraId="7915ACC3" w14:textId="77777777" w:rsidTr="00B31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45643B06" w14:textId="77777777" w:rsidR="00EC26BE" w:rsidRPr="00996FAF" w:rsidRDefault="00E4328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392A39" w14:textId="77777777" w:rsidR="00EC26BE" w:rsidRPr="00996FAF" w:rsidRDefault="00EC2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7084" w14:paraId="7CEFD882" w14:textId="77777777" w:rsidTr="00B3174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F91AFCC" w14:textId="77777777" w:rsidR="00EC26BE" w:rsidRPr="00996FAF" w:rsidRDefault="00E43284" w:rsidP="002C5FA9">
            <w:pPr>
              <w:spacing w:line="22" w:lineRule="atLeast"/>
              <w:rPr>
                <w:rFonts w:ascii="Arial" w:hAnsi="Arial" w:cs="Arial"/>
              </w:rPr>
            </w:pPr>
            <w:r w:rsidRPr="00996FAF">
              <w:rPr>
                <w:rFonts w:ascii="Arial" w:hAnsi="Arial" w:cs="Arial"/>
              </w:rPr>
              <w:t>Requirement 3(3)(d)</w:t>
            </w:r>
          </w:p>
        </w:tc>
        <w:tc>
          <w:tcPr>
            <w:tcW w:w="6634" w:type="dxa"/>
            <w:shd w:val="clear" w:color="auto" w:fill="auto"/>
          </w:tcPr>
          <w:p w14:paraId="231201CC" w14:textId="77777777" w:rsidR="00EC26BE" w:rsidRPr="00996FAF" w:rsidRDefault="00E43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Deterioration or change of a </w:t>
            </w:r>
            <w:r w:rsidRPr="00996FAF">
              <w:rPr>
                <w:rFonts w:ascii="Arial" w:hAnsi="Arial" w:cs="Arial"/>
              </w:rPr>
              <w:t>consumer’s mental health, cognitive or physical function, capacity or condition is recognised and responded to in a timely manner.</w:t>
            </w:r>
          </w:p>
        </w:tc>
        <w:tc>
          <w:tcPr>
            <w:tcW w:w="1977" w:type="dxa"/>
            <w:shd w:val="clear" w:color="auto" w:fill="auto"/>
          </w:tcPr>
          <w:p w14:paraId="04DBBD0A" w14:textId="77777777" w:rsidR="00EC26BE" w:rsidRPr="00996FAF" w:rsidRDefault="00E4328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42395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851F60E" w14:textId="77777777" w:rsidR="00EC26BE" w:rsidRDefault="00E43284" w:rsidP="00D87E7C">
      <w:pPr>
        <w:pStyle w:val="Heading20"/>
      </w:pPr>
      <w:r w:rsidRPr="00996FAF">
        <w:t>Findings</w:t>
      </w:r>
    </w:p>
    <w:p w14:paraId="1B593042" w14:textId="77777777" w:rsidR="00646674" w:rsidRDefault="00646674" w:rsidP="0036130C">
      <w:pPr>
        <w:pStyle w:val="NormalArial"/>
      </w:pPr>
      <w:r>
        <w:t xml:space="preserve">The service management team described actions they have undertaken to increase support and oversee clinical care provided. A new management structure has occurred as of November 2023 and plans are currently underway to improve education for all staff regarding behaviour management, wound management, documentation processes including incident reporting and risk mitigation. </w:t>
      </w:r>
    </w:p>
    <w:p w14:paraId="479D1E28" w14:textId="77777777" w:rsidR="00017D32" w:rsidRDefault="00646674" w:rsidP="0036130C">
      <w:pPr>
        <w:pStyle w:val="NormalArial"/>
      </w:pPr>
      <w:r>
        <w:t xml:space="preserve">Feedback from consumers and/or representatives is positive. Clinical staff described their process for identification of deterioration such as head-to-toe assessments, vital signs observations and neurovascular observations and referrals to the consumer’s doctor and were able to provide consumer-specific examples when asked. Care staff were able to describe their escalation processes when they recognise a change in consumer function, capacity, or condition. </w:t>
      </w:r>
    </w:p>
    <w:p w14:paraId="719AB7A0" w14:textId="77777777" w:rsidR="00017D32" w:rsidRDefault="00017D32" w:rsidP="0036130C">
      <w:pPr>
        <w:pStyle w:val="NormalArial"/>
      </w:pPr>
      <w:r>
        <w:t xml:space="preserve">The Assessment Team identified areas for improvement related to </w:t>
      </w:r>
      <w:r w:rsidR="00C97178">
        <w:t xml:space="preserve">the </w:t>
      </w:r>
      <w:r w:rsidR="00056795">
        <w:t>monitoring and documentation of consumer conditions and prevention of incidents reoccurring.</w:t>
      </w:r>
    </w:p>
    <w:p w14:paraId="57835FD2" w14:textId="29D39FF6" w:rsidR="00017D32" w:rsidRDefault="00017D32" w:rsidP="00017D32">
      <w:pPr>
        <w:pStyle w:val="NormalArial"/>
      </w:pPr>
      <w:r>
        <w:rPr>
          <w:color w:val="auto"/>
        </w:rPr>
        <w:t xml:space="preserve">The </w:t>
      </w:r>
      <w:r w:rsidRPr="00D7360A">
        <w:rPr>
          <w:color w:val="auto"/>
        </w:rPr>
        <w:t xml:space="preserve">Approved Provider responded with additional documentation </w:t>
      </w:r>
      <w:r>
        <w:t>address</w:t>
      </w:r>
      <w:r w:rsidR="0027194E">
        <w:t>ing</w:t>
      </w:r>
      <w:r>
        <w:t xml:space="preserve"> the identified non-compliance. </w:t>
      </w:r>
    </w:p>
    <w:p w14:paraId="65FFEE4D" w14:textId="77777777" w:rsidR="00017D32" w:rsidRDefault="00017D32" w:rsidP="00017D32">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d</w:t>
      </w:r>
      <w:r w:rsidRPr="00776F08">
        <w:rPr>
          <w:color w:val="auto"/>
        </w:rPr>
        <w:t xml:space="preserve">) is found </w:t>
      </w:r>
      <w:r>
        <w:rPr>
          <w:color w:val="auto"/>
        </w:rPr>
        <w:t>C</w:t>
      </w:r>
      <w:r w:rsidRPr="00776F08">
        <w:rPr>
          <w:color w:val="auto"/>
        </w:rPr>
        <w:t>ompliant.</w:t>
      </w:r>
    </w:p>
    <w:p w14:paraId="2665F935" w14:textId="77777777" w:rsidR="00EC26BE" w:rsidRPr="00262C0B" w:rsidRDefault="00E43284" w:rsidP="0036130C">
      <w:pPr>
        <w:pStyle w:val="NormalArial"/>
      </w:pPr>
      <w:r>
        <w:br w:type="page"/>
      </w:r>
    </w:p>
    <w:p w14:paraId="31163C0C" w14:textId="77777777" w:rsidR="00EC26BE" w:rsidRPr="00996FAF" w:rsidRDefault="00CC5B69" w:rsidP="00FC045E">
      <w:pPr>
        <w:pStyle w:val="Heading1"/>
        <w:spacing w:before="120" w:after="240" w:line="22" w:lineRule="atLeast"/>
        <w:rPr>
          <w:rFonts w:ascii="Arial" w:hAnsi="Arial" w:cs="Arial"/>
        </w:rPr>
      </w:pPr>
      <w:r>
        <w:rPr>
          <w:rFonts w:ascii="Arial" w:hAnsi="Arial" w:cs="Arial"/>
        </w:rPr>
        <w:lastRenderedPageBreak/>
        <w:t>S</w:t>
      </w:r>
      <w:r w:rsidRPr="00996FAF">
        <w:rPr>
          <w:rFonts w:ascii="Arial" w:hAnsi="Arial" w:cs="Arial"/>
        </w:rPr>
        <w:t>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843"/>
      </w:tblGrid>
      <w:tr w:rsidR="003E7084" w14:paraId="6F5E511E" w14:textId="77777777" w:rsidTr="00B31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3D0A7160" w14:textId="77777777" w:rsidR="00EC26BE" w:rsidRPr="00996FAF" w:rsidRDefault="00E4328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3" w:type="dxa"/>
          </w:tcPr>
          <w:p w14:paraId="54AC419F" w14:textId="77777777" w:rsidR="00EC26BE" w:rsidRPr="00996FAF" w:rsidRDefault="00EC26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7084" w14:paraId="478FC130" w14:textId="77777777" w:rsidTr="00B3174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05ADC5E" w14:textId="77777777" w:rsidR="00EC26BE" w:rsidRPr="00996FAF" w:rsidRDefault="00E43284"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08C4CE5B" w14:textId="77777777" w:rsidR="00EC26BE" w:rsidRPr="00996FAF" w:rsidRDefault="00E43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2D2220" w14:textId="77777777" w:rsidR="00EC26BE" w:rsidRPr="00996FAF" w:rsidRDefault="00E4328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B82C76B" w14:textId="77777777" w:rsidR="00EC26BE" w:rsidRPr="00996FAF" w:rsidRDefault="00E4328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w:t>
            </w:r>
            <w:r w:rsidRPr="00996FAF">
              <w:rPr>
                <w:rFonts w:ascii="Arial" w:hAnsi="Arial" w:cs="Arial"/>
              </w:rPr>
              <w:t>rs;</w:t>
            </w:r>
            <w:proofErr w:type="gramEnd"/>
          </w:p>
          <w:p w14:paraId="23292AA4" w14:textId="77777777" w:rsidR="00EC26BE" w:rsidRPr="00996FAF" w:rsidRDefault="00E4328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D55A18D" w14:textId="77777777" w:rsidR="00EC26BE" w:rsidRPr="00996FAF" w:rsidRDefault="00E4328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tcPr>
          <w:p w14:paraId="5923A578" w14:textId="77777777" w:rsidR="00EC26BE" w:rsidRPr="00996FAF" w:rsidRDefault="00E4328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0905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6197E">
                  <w:rPr>
                    <w:rFonts w:ascii="Arial" w:hAnsi="Arial" w:cs="Arial"/>
                    <w:color w:val="auto"/>
                  </w:rPr>
                  <w:t>Not Compliant</w:t>
                </w:r>
              </w:sdtContent>
            </w:sdt>
          </w:p>
        </w:tc>
      </w:tr>
    </w:tbl>
    <w:p w14:paraId="70F32B0C" w14:textId="77777777" w:rsidR="00EC26BE" w:rsidRDefault="00E43284" w:rsidP="00D87E7C">
      <w:pPr>
        <w:pStyle w:val="Heading20"/>
      </w:pPr>
      <w:r w:rsidRPr="00996FAF">
        <w:t>Findings</w:t>
      </w:r>
    </w:p>
    <w:p w14:paraId="3BC758AE" w14:textId="77777777" w:rsidR="00D41A86" w:rsidRDefault="00D41A86" w:rsidP="0056197E">
      <w:pPr>
        <w:pStyle w:val="NormalArial"/>
        <w:rPr>
          <w:color w:val="auto"/>
        </w:rPr>
      </w:pPr>
      <w:r>
        <w:t>The organisation was unable to demonstrate e</w:t>
      </w:r>
      <w:r w:rsidRPr="00996FAF">
        <w:t>ffective risk management systems and practices</w:t>
      </w:r>
      <w:r w:rsidRPr="0056197E">
        <w:rPr>
          <w:color w:val="auto"/>
        </w:rPr>
        <w:t xml:space="preserve"> </w:t>
      </w:r>
      <w:r>
        <w:rPr>
          <w:color w:val="auto"/>
        </w:rPr>
        <w:t xml:space="preserve">in place for the service. </w:t>
      </w:r>
    </w:p>
    <w:p w14:paraId="69A1E5A6" w14:textId="77777777" w:rsidR="0056197E" w:rsidRPr="0056197E" w:rsidRDefault="00D41A86" w:rsidP="0056197E">
      <w:pPr>
        <w:pStyle w:val="NormalArial"/>
        <w:rPr>
          <w:color w:val="auto"/>
        </w:rPr>
      </w:pPr>
      <w:r>
        <w:rPr>
          <w:color w:val="auto"/>
        </w:rPr>
        <w:t>The Assessment Team acknowledges that s</w:t>
      </w:r>
      <w:r w:rsidR="0056197E" w:rsidRPr="0056197E">
        <w:rPr>
          <w:color w:val="auto"/>
        </w:rPr>
        <w:t xml:space="preserve">ince the employment of a clinical care manager significant improvements have been made to processes for managing high-impact risk to the care of consumers, however several actions have yet to be implemented and improvements made have yet to be evaluated for effectiveness. The organisation has not ensured that deficiencies in relation to risk at the service have been addressed or demonstrate effective corporate oversight of monitoring and management of risk at the service. This Assessment </w:t>
      </w:r>
      <w:r>
        <w:rPr>
          <w:color w:val="auto"/>
        </w:rPr>
        <w:t xml:space="preserve">Team identified </w:t>
      </w:r>
      <w:r w:rsidR="0056197E" w:rsidRPr="0056197E">
        <w:rPr>
          <w:color w:val="auto"/>
        </w:rPr>
        <w:t>th</w:t>
      </w:r>
      <w:r>
        <w:rPr>
          <w:color w:val="auto"/>
        </w:rPr>
        <w:t>e</w:t>
      </w:r>
      <w:r w:rsidR="0056197E" w:rsidRPr="0056197E">
        <w:rPr>
          <w:color w:val="auto"/>
        </w:rPr>
        <w:t xml:space="preserve"> correct process for mandatory reporting w</w:t>
      </w:r>
      <w:r w:rsidR="001D6917">
        <w:rPr>
          <w:color w:val="auto"/>
        </w:rPr>
        <w:t>as</w:t>
      </w:r>
      <w:r w:rsidR="0056197E" w:rsidRPr="0056197E">
        <w:rPr>
          <w:color w:val="auto"/>
        </w:rPr>
        <w:t xml:space="preserve"> not </w:t>
      </w:r>
      <w:r>
        <w:rPr>
          <w:color w:val="auto"/>
        </w:rPr>
        <w:t>consistently</w:t>
      </w:r>
      <w:r w:rsidR="0056197E" w:rsidRPr="0056197E">
        <w:rPr>
          <w:color w:val="auto"/>
        </w:rPr>
        <w:t xml:space="preserve"> followed. </w:t>
      </w:r>
    </w:p>
    <w:p w14:paraId="02F3F45D" w14:textId="77777777" w:rsidR="0056197E" w:rsidRDefault="0051517E" w:rsidP="0056197E">
      <w:pPr>
        <w:pStyle w:val="NormalArial"/>
        <w:rPr>
          <w:color w:val="auto"/>
        </w:rPr>
      </w:pPr>
      <w:r>
        <w:rPr>
          <w:color w:val="auto"/>
        </w:rPr>
        <w:t xml:space="preserve">The </w:t>
      </w:r>
      <w:r w:rsidR="0056197E">
        <w:rPr>
          <w:color w:val="auto"/>
        </w:rPr>
        <w:t>clinical care manager confirmed that the organisation does not have a risk register to identify high-impact, high- prevalence risk to consumers</w:t>
      </w:r>
      <w:r>
        <w:rPr>
          <w:color w:val="auto"/>
        </w:rPr>
        <w:t xml:space="preserve">, and </w:t>
      </w:r>
      <w:r w:rsidR="0056197E">
        <w:rPr>
          <w:color w:val="auto"/>
        </w:rPr>
        <w:t xml:space="preserve">advised this is still </w:t>
      </w:r>
      <w:r>
        <w:rPr>
          <w:color w:val="auto"/>
        </w:rPr>
        <w:t xml:space="preserve">in progress and </w:t>
      </w:r>
      <w:r w:rsidR="0056197E">
        <w:rPr>
          <w:color w:val="auto"/>
        </w:rPr>
        <w:t>is planned to be implemented in 2024.</w:t>
      </w:r>
    </w:p>
    <w:p w14:paraId="63F24C34" w14:textId="54A2713A" w:rsidR="00020B3D" w:rsidRDefault="00020B3D" w:rsidP="00020B3D">
      <w:pPr>
        <w:pStyle w:val="NormalArial"/>
      </w:pPr>
      <w:r>
        <w:rPr>
          <w:color w:val="auto"/>
        </w:rPr>
        <w:t xml:space="preserve">The </w:t>
      </w:r>
      <w:r w:rsidRPr="00D7360A">
        <w:rPr>
          <w:color w:val="auto"/>
        </w:rPr>
        <w:t xml:space="preserve">Approved Provider responded with additional documentation </w:t>
      </w:r>
      <w:r>
        <w:t xml:space="preserve">to address the identified non-compliance. </w:t>
      </w:r>
    </w:p>
    <w:p w14:paraId="61625E7A" w14:textId="77777777" w:rsidR="00020B3D" w:rsidRDefault="00020B3D" w:rsidP="00020B3D">
      <w:pPr>
        <w:pStyle w:val="NormalArial"/>
        <w:rPr>
          <w:color w:val="auto"/>
        </w:rPr>
      </w:pPr>
      <w:r w:rsidRPr="00776F08">
        <w:rPr>
          <w:color w:val="auto"/>
        </w:rPr>
        <w:t xml:space="preserve">Based on the information provided by the Assessment Team and the Approved Provider, Requirement </w:t>
      </w:r>
      <w:r>
        <w:rPr>
          <w:color w:val="auto"/>
        </w:rPr>
        <w:t>8</w:t>
      </w:r>
      <w:r w:rsidRPr="00776F08">
        <w:rPr>
          <w:color w:val="auto"/>
        </w:rPr>
        <w:t>(3)(</w:t>
      </w:r>
      <w:r>
        <w:rPr>
          <w:color w:val="auto"/>
        </w:rPr>
        <w:t>d</w:t>
      </w:r>
      <w:r w:rsidRPr="00776F08">
        <w:rPr>
          <w:color w:val="auto"/>
        </w:rPr>
        <w:t xml:space="preserve">) is found </w:t>
      </w:r>
      <w:proofErr w:type="gramStart"/>
      <w:r>
        <w:rPr>
          <w:color w:val="auto"/>
        </w:rPr>
        <w:t>Non-c</w:t>
      </w:r>
      <w:r w:rsidRPr="00776F08">
        <w:rPr>
          <w:color w:val="auto"/>
        </w:rPr>
        <w:t>ompliant</w:t>
      </w:r>
      <w:proofErr w:type="gramEnd"/>
      <w:r w:rsidRPr="00776F08">
        <w:rPr>
          <w:color w:val="auto"/>
        </w:rPr>
        <w:t>.</w:t>
      </w:r>
    </w:p>
    <w:sectPr w:rsidR="00020B3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DE20D" w14:textId="77777777" w:rsidR="00864342" w:rsidRDefault="00864342">
      <w:pPr>
        <w:spacing w:after="0"/>
      </w:pPr>
      <w:r>
        <w:separator/>
      </w:r>
    </w:p>
  </w:endnote>
  <w:endnote w:type="continuationSeparator" w:id="0">
    <w:p w14:paraId="4A62A0FD" w14:textId="77777777" w:rsidR="00864342" w:rsidRDefault="008643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BDE0" w14:textId="77777777" w:rsidR="00EC26BE" w:rsidRPr="00DF37F2" w:rsidRDefault="00E4328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Christophorus</w:t>
    </w:r>
    <w:proofErr w:type="spellEnd"/>
    <w:r w:rsidRPr="00D3376F">
      <w:rPr>
        <w:rFonts w:cs="Times New Roman"/>
        <w:color w:val="auto"/>
        <w:szCs w:val="18"/>
      </w:rPr>
      <w:t xml:space="preserve"> House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2F32A3" w14:textId="77777777" w:rsidR="00EC26BE" w:rsidRPr="00DF37F2" w:rsidRDefault="00E4328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0200</w:t>
    </w:r>
    <w:bookmarkEnd w:id="1"/>
    <w:r w:rsidRPr="00DF37F2">
      <w:rPr>
        <w:rStyle w:val="FooterBold"/>
        <w:rFonts w:ascii="Arial" w:hAnsi="Arial"/>
        <w:b w:val="0"/>
      </w:rPr>
      <w:tab/>
      <w:t xml:space="preserve">OFFICIAL: Sensitive </w:t>
    </w:r>
  </w:p>
  <w:p w14:paraId="3CB67626" w14:textId="77777777" w:rsidR="00EC26BE" w:rsidRPr="00DF37F2" w:rsidRDefault="00E432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7238" w14:textId="77777777" w:rsidR="00EC26BE" w:rsidRDefault="00EC26B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F1C90" w14:textId="77777777" w:rsidR="00864342" w:rsidRDefault="00864342" w:rsidP="00D71F88">
      <w:pPr>
        <w:spacing w:after="0"/>
      </w:pPr>
      <w:r>
        <w:separator/>
      </w:r>
    </w:p>
  </w:footnote>
  <w:footnote w:type="continuationSeparator" w:id="0">
    <w:p w14:paraId="151BFD35" w14:textId="77777777" w:rsidR="00864342" w:rsidRDefault="00864342" w:rsidP="00D71F88">
      <w:pPr>
        <w:spacing w:after="0"/>
      </w:pPr>
      <w:r>
        <w:continuationSeparator/>
      </w:r>
    </w:p>
  </w:footnote>
  <w:footnote w:id="1">
    <w:p w14:paraId="43C2EE06" w14:textId="77777777" w:rsidR="00EC26BE" w:rsidRDefault="00E4328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92189">
        <w:rPr>
          <w:rFonts w:ascii="Arial" w:hAnsi="Arial" w:cs="Arial"/>
          <w:color w:val="auto"/>
          <w:sz w:val="20"/>
          <w:szCs w:val="20"/>
        </w:rPr>
        <w:t>section 68A</w:t>
      </w:r>
      <w:r w:rsidRPr="00692189">
        <w:rPr>
          <w:rFonts w:ascii="Arial" w:hAnsi="Arial" w:cs="Arial"/>
          <w:b/>
          <w:color w:val="auto"/>
          <w:sz w:val="20"/>
          <w:szCs w:val="20"/>
        </w:rPr>
        <w:t xml:space="preserve"> </w:t>
      </w:r>
      <w:r w:rsidRPr="0069218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83234AC" w14:textId="77777777" w:rsidR="00EC26BE" w:rsidRDefault="00EC26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291A" w14:textId="77777777" w:rsidR="00EC26BE" w:rsidRDefault="00E43284">
    <w:pPr>
      <w:pStyle w:val="Header"/>
    </w:pPr>
    <w:r>
      <w:rPr>
        <w:noProof/>
        <w:color w:val="2B579A"/>
        <w:shd w:val="clear" w:color="auto" w:fill="E6E6E6"/>
        <w:lang w:val="en-US"/>
      </w:rPr>
      <w:drawing>
        <wp:anchor distT="0" distB="0" distL="114300" distR="114300" simplePos="0" relativeHeight="251658241" behindDoc="1" locked="0" layoutInCell="1" allowOverlap="1" wp14:anchorId="56F4B453" wp14:editId="04B6B87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C76F" w14:textId="77777777" w:rsidR="00EC26BE" w:rsidRDefault="00E43284">
    <w:pPr>
      <w:pStyle w:val="Header"/>
    </w:pPr>
    <w:r>
      <w:rPr>
        <w:noProof/>
      </w:rPr>
      <w:drawing>
        <wp:anchor distT="0" distB="0" distL="114300" distR="114300" simplePos="0" relativeHeight="251658240" behindDoc="0" locked="0" layoutInCell="1" allowOverlap="1" wp14:anchorId="70D028D6" wp14:editId="7CBB97F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E09D20">
      <w:start w:val="1"/>
      <w:numFmt w:val="lowerRoman"/>
      <w:lvlText w:val="(%1)"/>
      <w:lvlJc w:val="left"/>
      <w:pPr>
        <w:ind w:left="1080" w:hanging="720"/>
      </w:pPr>
      <w:rPr>
        <w:rFonts w:hint="default"/>
      </w:rPr>
    </w:lvl>
    <w:lvl w:ilvl="1" w:tplc="5DEA5114" w:tentative="1">
      <w:start w:val="1"/>
      <w:numFmt w:val="lowerLetter"/>
      <w:lvlText w:val="%2."/>
      <w:lvlJc w:val="left"/>
      <w:pPr>
        <w:ind w:left="1440" w:hanging="360"/>
      </w:pPr>
    </w:lvl>
    <w:lvl w:ilvl="2" w:tplc="BF606240" w:tentative="1">
      <w:start w:val="1"/>
      <w:numFmt w:val="lowerRoman"/>
      <w:lvlText w:val="%3."/>
      <w:lvlJc w:val="right"/>
      <w:pPr>
        <w:ind w:left="2160" w:hanging="180"/>
      </w:pPr>
    </w:lvl>
    <w:lvl w:ilvl="3" w:tplc="B92A179C" w:tentative="1">
      <w:start w:val="1"/>
      <w:numFmt w:val="decimal"/>
      <w:lvlText w:val="%4."/>
      <w:lvlJc w:val="left"/>
      <w:pPr>
        <w:ind w:left="2880" w:hanging="360"/>
      </w:pPr>
    </w:lvl>
    <w:lvl w:ilvl="4" w:tplc="38E657FA" w:tentative="1">
      <w:start w:val="1"/>
      <w:numFmt w:val="lowerLetter"/>
      <w:lvlText w:val="%5."/>
      <w:lvlJc w:val="left"/>
      <w:pPr>
        <w:ind w:left="3600" w:hanging="360"/>
      </w:pPr>
    </w:lvl>
    <w:lvl w:ilvl="5" w:tplc="A2087E50" w:tentative="1">
      <w:start w:val="1"/>
      <w:numFmt w:val="lowerRoman"/>
      <w:lvlText w:val="%6."/>
      <w:lvlJc w:val="right"/>
      <w:pPr>
        <w:ind w:left="4320" w:hanging="180"/>
      </w:pPr>
    </w:lvl>
    <w:lvl w:ilvl="6" w:tplc="5AE0D07E" w:tentative="1">
      <w:start w:val="1"/>
      <w:numFmt w:val="decimal"/>
      <w:lvlText w:val="%7."/>
      <w:lvlJc w:val="left"/>
      <w:pPr>
        <w:ind w:left="5040" w:hanging="360"/>
      </w:pPr>
    </w:lvl>
    <w:lvl w:ilvl="7" w:tplc="F51E1514" w:tentative="1">
      <w:start w:val="1"/>
      <w:numFmt w:val="lowerLetter"/>
      <w:lvlText w:val="%8."/>
      <w:lvlJc w:val="left"/>
      <w:pPr>
        <w:ind w:left="5760" w:hanging="360"/>
      </w:pPr>
    </w:lvl>
    <w:lvl w:ilvl="8" w:tplc="0ACA36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4064582">
      <w:start w:val="1"/>
      <w:numFmt w:val="lowerRoman"/>
      <w:lvlText w:val="(%1)"/>
      <w:lvlJc w:val="left"/>
      <w:pPr>
        <w:ind w:left="1080" w:hanging="720"/>
      </w:pPr>
      <w:rPr>
        <w:rFonts w:hint="default"/>
      </w:rPr>
    </w:lvl>
    <w:lvl w:ilvl="1" w:tplc="09A8E9A4" w:tentative="1">
      <w:start w:val="1"/>
      <w:numFmt w:val="lowerLetter"/>
      <w:lvlText w:val="%2."/>
      <w:lvlJc w:val="left"/>
      <w:pPr>
        <w:ind w:left="1440" w:hanging="360"/>
      </w:pPr>
    </w:lvl>
    <w:lvl w:ilvl="2" w:tplc="D28E15F6" w:tentative="1">
      <w:start w:val="1"/>
      <w:numFmt w:val="lowerRoman"/>
      <w:lvlText w:val="%3."/>
      <w:lvlJc w:val="right"/>
      <w:pPr>
        <w:ind w:left="2160" w:hanging="180"/>
      </w:pPr>
    </w:lvl>
    <w:lvl w:ilvl="3" w:tplc="FF809B7E" w:tentative="1">
      <w:start w:val="1"/>
      <w:numFmt w:val="decimal"/>
      <w:lvlText w:val="%4."/>
      <w:lvlJc w:val="left"/>
      <w:pPr>
        <w:ind w:left="2880" w:hanging="360"/>
      </w:pPr>
    </w:lvl>
    <w:lvl w:ilvl="4" w:tplc="C3145510" w:tentative="1">
      <w:start w:val="1"/>
      <w:numFmt w:val="lowerLetter"/>
      <w:lvlText w:val="%5."/>
      <w:lvlJc w:val="left"/>
      <w:pPr>
        <w:ind w:left="3600" w:hanging="360"/>
      </w:pPr>
    </w:lvl>
    <w:lvl w:ilvl="5" w:tplc="B8CE6052" w:tentative="1">
      <w:start w:val="1"/>
      <w:numFmt w:val="lowerRoman"/>
      <w:lvlText w:val="%6."/>
      <w:lvlJc w:val="right"/>
      <w:pPr>
        <w:ind w:left="4320" w:hanging="180"/>
      </w:pPr>
    </w:lvl>
    <w:lvl w:ilvl="6" w:tplc="C2A02084" w:tentative="1">
      <w:start w:val="1"/>
      <w:numFmt w:val="decimal"/>
      <w:lvlText w:val="%7."/>
      <w:lvlJc w:val="left"/>
      <w:pPr>
        <w:ind w:left="5040" w:hanging="360"/>
      </w:pPr>
    </w:lvl>
    <w:lvl w:ilvl="7" w:tplc="B6D6A9C0" w:tentative="1">
      <w:start w:val="1"/>
      <w:numFmt w:val="lowerLetter"/>
      <w:lvlText w:val="%8."/>
      <w:lvlJc w:val="left"/>
      <w:pPr>
        <w:ind w:left="5760" w:hanging="360"/>
      </w:pPr>
    </w:lvl>
    <w:lvl w:ilvl="8" w:tplc="D23CF7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67086FC">
      <w:start w:val="1"/>
      <w:numFmt w:val="lowerRoman"/>
      <w:lvlText w:val="(%1)"/>
      <w:lvlJc w:val="left"/>
      <w:pPr>
        <w:ind w:left="1080" w:hanging="720"/>
      </w:pPr>
      <w:rPr>
        <w:rFonts w:hint="default"/>
      </w:rPr>
    </w:lvl>
    <w:lvl w:ilvl="1" w:tplc="18EC6B74" w:tentative="1">
      <w:start w:val="1"/>
      <w:numFmt w:val="lowerLetter"/>
      <w:lvlText w:val="%2."/>
      <w:lvlJc w:val="left"/>
      <w:pPr>
        <w:ind w:left="1440" w:hanging="360"/>
      </w:pPr>
    </w:lvl>
    <w:lvl w:ilvl="2" w:tplc="BFC67ECE" w:tentative="1">
      <w:start w:val="1"/>
      <w:numFmt w:val="lowerRoman"/>
      <w:lvlText w:val="%3."/>
      <w:lvlJc w:val="right"/>
      <w:pPr>
        <w:ind w:left="2160" w:hanging="180"/>
      </w:pPr>
    </w:lvl>
    <w:lvl w:ilvl="3" w:tplc="34E6B660" w:tentative="1">
      <w:start w:val="1"/>
      <w:numFmt w:val="decimal"/>
      <w:lvlText w:val="%4."/>
      <w:lvlJc w:val="left"/>
      <w:pPr>
        <w:ind w:left="2880" w:hanging="360"/>
      </w:pPr>
    </w:lvl>
    <w:lvl w:ilvl="4" w:tplc="397243A2" w:tentative="1">
      <w:start w:val="1"/>
      <w:numFmt w:val="lowerLetter"/>
      <w:lvlText w:val="%5."/>
      <w:lvlJc w:val="left"/>
      <w:pPr>
        <w:ind w:left="3600" w:hanging="360"/>
      </w:pPr>
    </w:lvl>
    <w:lvl w:ilvl="5" w:tplc="F8DCD662" w:tentative="1">
      <w:start w:val="1"/>
      <w:numFmt w:val="lowerRoman"/>
      <w:lvlText w:val="%6."/>
      <w:lvlJc w:val="right"/>
      <w:pPr>
        <w:ind w:left="4320" w:hanging="180"/>
      </w:pPr>
    </w:lvl>
    <w:lvl w:ilvl="6" w:tplc="F1726268" w:tentative="1">
      <w:start w:val="1"/>
      <w:numFmt w:val="decimal"/>
      <w:lvlText w:val="%7."/>
      <w:lvlJc w:val="left"/>
      <w:pPr>
        <w:ind w:left="5040" w:hanging="360"/>
      </w:pPr>
    </w:lvl>
    <w:lvl w:ilvl="7" w:tplc="BCB4E27E" w:tentative="1">
      <w:start w:val="1"/>
      <w:numFmt w:val="lowerLetter"/>
      <w:lvlText w:val="%8."/>
      <w:lvlJc w:val="left"/>
      <w:pPr>
        <w:ind w:left="5760" w:hanging="360"/>
      </w:pPr>
    </w:lvl>
    <w:lvl w:ilvl="8" w:tplc="965AA0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B25294">
      <w:start w:val="1"/>
      <w:numFmt w:val="bullet"/>
      <w:lvlText w:val=""/>
      <w:lvlJc w:val="left"/>
      <w:pPr>
        <w:ind w:left="720" w:hanging="360"/>
      </w:pPr>
      <w:rPr>
        <w:rFonts w:ascii="Symbol" w:hAnsi="Symbol" w:hint="default"/>
        <w:color w:val="auto"/>
        <w:sz w:val="24"/>
        <w:szCs w:val="24"/>
      </w:rPr>
    </w:lvl>
    <w:lvl w:ilvl="1" w:tplc="728CE67E" w:tentative="1">
      <w:start w:val="1"/>
      <w:numFmt w:val="bullet"/>
      <w:lvlText w:val="o"/>
      <w:lvlJc w:val="left"/>
      <w:pPr>
        <w:ind w:left="1440" w:hanging="360"/>
      </w:pPr>
      <w:rPr>
        <w:rFonts w:ascii="Courier New" w:hAnsi="Courier New" w:cs="Courier New" w:hint="default"/>
      </w:rPr>
    </w:lvl>
    <w:lvl w:ilvl="2" w:tplc="3106276A" w:tentative="1">
      <w:start w:val="1"/>
      <w:numFmt w:val="bullet"/>
      <w:lvlText w:val=""/>
      <w:lvlJc w:val="left"/>
      <w:pPr>
        <w:ind w:left="2160" w:hanging="360"/>
      </w:pPr>
      <w:rPr>
        <w:rFonts w:ascii="Wingdings" w:hAnsi="Wingdings" w:hint="default"/>
      </w:rPr>
    </w:lvl>
    <w:lvl w:ilvl="3" w:tplc="6156AAFC" w:tentative="1">
      <w:start w:val="1"/>
      <w:numFmt w:val="bullet"/>
      <w:lvlText w:val=""/>
      <w:lvlJc w:val="left"/>
      <w:pPr>
        <w:ind w:left="2880" w:hanging="360"/>
      </w:pPr>
      <w:rPr>
        <w:rFonts w:ascii="Symbol" w:hAnsi="Symbol" w:hint="default"/>
      </w:rPr>
    </w:lvl>
    <w:lvl w:ilvl="4" w:tplc="025A86CE" w:tentative="1">
      <w:start w:val="1"/>
      <w:numFmt w:val="bullet"/>
      <w:lvlText w:val="o"/>
      <w:lvlJc w:val="left"/>
      <w:pPr>
        <w:ind w:left="3600" w:hanging="360"/>
      </w:pPr>
      <w:rPr>
        <w:rFonts w:ascii="Courier New" w:hAnsi="Courier New" w:cs="Courier New" w:hint="default"/>
      </w:rPr>
    </w:lvl>
    <w:lvl w:ilvl="5" w:tplc="1ACA045C" w:tentative="1">
      <w:start w:val="1"/>
      <w:numFmt w:val="bullet"/>
      <w:lvlText w:val=""/>
      <w:lvlJc w:val="left"/>
      <w:pPr>
        <w:ind w:left="4320" w:hanging="360"/>
      </w:pPr>
      <w:rPr>
        <w:rFonts w:ascii="Wingdings" w:hAnsi="Wingdings" w:hint="default"/>
      </w:rPr>
    </w:lvl>
    <w:lvl w:ilvl="6" w:tplc="9618AC64" w:tentative="1">
      <w:start w:val="1"/>
      <w:numFmt w:val="bullet"/>
      <w:lvlText w:val=""/>
      <w:lvlJc w:val="left"/>
      <w:pPr>
        <w:ind w:left="5040" w:hanging="360"/>
      </w:pPr>
      <w:rPr>
        <w:rFonts w:ascii="Symbol" w:hAnsi="Symbol" w:hint="default"/>
      </w:rPr>
    </w:lvl>
    <w:lvl w:ilvl="7" w:tplc="093C9A36" w:tentative="1">
      <w:start w:val="1"/>
      <w:numFmt w:val="bullet"/>
      <w:lvlText w:val="o"/>
      <w:lvlJc w:val="left"/>
      <w:pPr>
        <w:ind w:left="5760" w:hanging="360"/>
      </w:pPr>
      <w:rPr>
        <w:rFonts w:ascii="Courier New" w:hAnsi="Courier New" w:cs="Courier New" w:hint="default"/>
      </w:rPr>
    </w:lvl>
    <w:lvl w:ilvl="8" w:tplc="9F3689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A0825F4">
      <w:start w:val="1"/>
      <w:numFmt w:val="lowerRoman"/>
      <w:lvlText w:val="(%1)"/>
      <w:lvlJc w:val="left"/>
      <w:pPr>
        <w:ind w:left="1080" w:hanging="720"/>
      </w:pPr>
      <w:rPr>
        <w:rFonts w:hint="default"/>
      </w:rPr>
    </w:lvl>
    <w:lvl w:ilvl="1" w:tplc="43E2C7A4" w:tentative="1">
      <w:start w:val="1"/>
      <w:numFmt w:val="lowerLetter"/>
      <w:lvlText w:val="%2."/>
      <w:lvlJc w:val="left"/>
      <w:pPr>
        <w:ind w:left="1440" w:hanging="360"/>
      </w:pPr>
    </w:lvl>
    <w:lvl w:ilvl="2" w:tplc="84CE7192" w:tentative="1">
      <w:start w:val="1"/>
      <w:numFmt w:val="lowerRoman"/>
      <w:lvlText w:val="%3."/>
      <w:lvlJc w:val="right"/>
      <w:pPr>
        <w:ind w:left="2160" w:hanging="180"/>
      </w:pPr>
    </w:lvl>
    <w:lvl w:ilvl="3" w:tplc="55F2B9EC" w:tentative="1">
      <w:start w:val="1"/>
      <w:numFmt w:val="decimal"/>
      <w:lvlText w:val="%4."/>
      <w:lvlJc w:val="left"/>
      <w:pPr>
        <w:ind w:left="2880" w:hanging="360"/>
      </w:pPr>
    </w:lvl>
    <w:lvl w:ilvl="4" w:tplc="0C8EFC14" w:tentative="1">
      <w:start w:val="1"/>
      <w:numFmt w:val="lowerLetter"/>
      <w:lvlText w:val="%5."/>
      <w:lvlJc w:val="left"/>
      <w:pPr>
        <w:ind w:left="3600" w:hanging="360"/>
      </w:pPr>
    </w:lvl>
    <w:lvl w:ilvl="5" w:tplc="24149AC0" w:tentative="1">
      <w:start w:val="1"/>
      <w:numFmt w:val="lowerRoman"/>
      <w:lvlText w:val="%6."/>
      <w:lvlJc w:val="right"/>
      <w:pPr>
        <w:ind w:left="4320" w:hanging="180"/>
      </w:pPr>
    </w:lvl>
    <w:lvl w:ilvl="6" w:tplc="374229AA" w:tentative="1">
      <w:start w:val="1"/>
      <w:numFmt w:val="decimal"/>
      <w:lvlText w:val="%7."/>
      <w:lvlJc w:val="left"/>
      <w:pPr>
        <w:ind w:left="5040" w:hanging="360"/>
      </w:pPr>
    </w:lvl>
    <w:lvl w:ilvl="7" w:tplc="AD9EFA7E" w:tentative="1">
      <w:start w:val="1"/>
      <w:numFmt w:val="lowerLetter"/>
      <w:lvlText w:val="%8."/>
      <w:lvlJc w:val="left"/>
      <w:pPr>
        <w:ind w:left="5760" w:hanging="360"/>
      </w:pPr>
    </w:lvl>
    <w:lvl w:ilvl="8" w:tplc="7CB6D7C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83E2872">
      <w:start w:val="1"/>
      <w:numFmt w:val="lowerRoman"/>
      <w:lvlText w:val="(%1)"/>
      <w:lvlJc w:val="left"/>
      <w:pPr>
        <w:ind w:left="1080" w:hanging="720"/>
      </w:pPr>
      <w:rPr>
        <w:rFonts w:hint="default"/>
      </w:rPr>
    </w:lvl>
    <w:lvl w:ilvl="1" w:tplc="16948446" w:tentative="1">
      <w:start w:val="1"/>
      <w:numFmt w:val="lowerLetter"/>
      <w:lvlText w:val="%2."/>
      <w:lvlJc w:val="left"/>
      <w:pPr>
        <w:ind w:left="1440" w:hanging="360"/>
      </w:pPr>
    </w:lvl>
    <w:lvl w:ilvl="2" w:tplc="CF6CF304" w:tentative="1">
      <w:start w:val="1"/>
      <w:numFmt w:val="lowerRoman"/>
      <w:lvlText w:val="%3."/>
      <w:lvlJc w:val="right"/>
      <w:pPr>
        <w:ind w:left="2160" w:hanging="180"/>
      </w:pPr>
    </w:lvl>
    <w:lvl w:ilvl="3" w:tplc="647C5750" w:tentative="1">
      <w:start w:val="1"/>
      <w:numFmt w:val="decimal"/>
      <w:lvlText w:val="%4."/>
      <w:lvlJc w:val="left"/>
      <w:pPr>
        <w:ind w:left="2880" w:hanging="360"/>
      </w:pPr>
    </w:lvl>
    <w:lvl w:ilvl="4" w:tplc="01B254BA" w:tentative="1">
      <w:start w:val="1"/>
      <w:numFmt w:val="lowerLetter"/>
      <w:lvlText w:val="%5."/>
      <w:lvlJc w:val="left"/>
      <w:pPr>
        <w:ind w:left="3600" w:hanging="360"/>
      </w:pPr>
    </w:lvl>
    <w:lvl w:ilvl="5" w:tplc="EE248D3E" w:tentative="1">
      <w:start w:val="1"/>
      <w:numFmt w:val="lowerRoman"/>
      <w:lvlText w:val="%6."/>
      <w:lvlJc w:val="right"/>
      <w:pPr>
        <w:ind w:left="4320" w:hanging="180"/>
      </w:pPr>
    </w:lvl>
    <w:lvl w:ilvl="6" w:tplc="F580C746" w:tentative="1">
      <w:start w:val="1"/>
      <w:numFmt w:val="decimal"/>
      <w:lvlText w:val="%7."/>
      <w:lvlJc w:val="left"/>
      <w:pPr>
        <w:ind w:left="5040" w:hanging="360"/>
      </w:pPr>
    </w:lvl>
    <w:lvl w:ilvl="7" w:tplc="429E1BE6" w:tentative="1">
      <w:start w:val="1"/>
      <w:numFmt w:val="lowerLetter"/>
      <w:lvlText w:val="%8."/>
      <w:lvlJc w:val="left"/>
      <w:pPr>
        <w:ind w:left="5760" w:hanging="360"/>
      </w:pPr>
    </w:lvl>
    <w:lvl w:ilvl="8" w:tplc="88EC6A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16E30A">
      <w:start w:val="1"/>
      <w:numFmt w:val="lowerRoman"/>
      <w:lvlText w:val="(%1)"/>
      <w:lvlJc w:val="left"/>
      <w:pPr>
        <w:ind w:left="1080" w:hanging="720"/>
      </w:pPr>
      <w:rPr>
        <w:rFonts w:hint="default"/>
      </w:rPr>
    </w:lvl>
    <w:lvl w:ilvl="1" w:tplc="B554C3F6" w:tentative="1">
      <w:start w:val="1"/>
      <w:numFmt w:val="lowerLetter"/>
      <w:lvlText w:val="%2."/>
      <w:lvlJc w:val="left"/>
      <w:pPr>
        <w:ind w:left="1440" w:hanging="360"/>
      </w:pPr>
    </w:lvl>
    <w:lvl w:ilvl="2" w:tplc="2ACC284E" w:tentative="1">
      <w:start w:val="1"/>
      <w:numFmt w:val="lowerRoman"/>
      <w:lvlText w:val="%3."/>
      <w:lvlJc w:val="right"/>
      <w:pPr>
        <w:ind w:left="2160" w:hanging="180"/>
      </w:pPr>
    </w:lvl>
    <w:lvl w:ilvl="3" w:tplc="B87E5C44" w:tentative="1">
      <w:start w:val="1"/>
      <w:numFmt w:val="decimal"/>
      <w:lvlText w:val="%4."/>
      <w:lvlJc w:val="left"/>
      <w:pPr>
        <w:ind w:left="2880" w:hanging="360"/>
      </w:pPr>
    </w:lvl>
    <w:lvl w:ilvl="4" w:tplc="266A3516" w:tentative="1">
      <w:start w:val="1"/>
      <w:numFmt w:val="lowerLetter"/>
      <w:lvlText w:val="%5."/>
      <w:lvlJc w:val="left"/>
      <w:pPr>
        <w:ind w:left="3600" w:hanging="360"/>
      </w:pPr>
    </w:lvl>
    <w:lvl w:ilvl="5" w:tplc="F2B239A0" w:tentative="1">
      <w:start w:val="1"/>
      <w:numFmt w:val="lowerRoman"/>
      <w:lvlText w:val="%6."/>
      <w:lvlJc w:val="right"/>
      <w:pPr>
        <w:ind w:left="4320" w:hanging="180"/>
      </w:pPr>
    </w:lvl>
    <w:lvl w:ilvl="6" w:tplc="2290480E" w:tentative="1">
      <w:start w:val="1"/>
      <w:numFmt w:val="decimal"/>
      <w:lvlText w:val="%7."/>
      <w:lvlJc w:val="left"/>
      <w:pPr>
        <w:ind w:left="5040" w:hanging="360"/>
      </w:pPr>
    </w:lvl>
    <w:lvl w:ilvl="7" w:tplc="B2645C30" w:tentative="1">
      <w:start w:val="1"/>
      <w:numFmt w:val="lowerLetter"/>
      <w:lvlText w:val="%8."/>
      <w:lvlJc w:val="left"/>
      <w:pPr>
        <w:ind w:left="5760" w:hanging="360"/>
      </w:pPr>
    </w:lvl>
    <w:lvl w:ilvl="8" w:tplc="0520F30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A94CCAC">
      <w:start w:val="1"/>
      <w:numFmt w:val="lowerRoman"/>
      <w:lvlText w:val="(%1)"/>
      <w:lvlJc w:val="left"/>
      <w:pPr>
        <w:ind w:left="1080" w:hanging="720"/>
      </w:pPr>
      <w:rPr>
        <w:rFonts w:hint="default"/>
      </w:rPr>
    </w:lvl>
    <w:lvl w:ilvl="1" w:tplc="974E2546" w:tentative="1">
      <w:start w:val="1"/>
      <w:numFmt w:val="lowerLetter"/>
      <w:lvlText w:val="%2."/>
      <w:lvlJc w:val="left"/>
      <w:pPr>
        <w:ind w:left="1440" w:hanging="360"/>
      </w:pPr>
    </w:lvl>
    <w:lvl w:ilvl="2" w:tplc="78C2181E" w:tentative="1">
      <w:start w:val="1"/>
      <w:numFmt w:val="lowerRoman"/>
      <w:lvlText w:val="%3."/>
      <w:lvlJc w:val="right"/>
      <w:pPr>
        <w:ind w:left="2160" w:hanging="180"/>
      </w:pPr>
    </w:lvl>
    <w:lvl w:ilvl="3" w:tplc="95E275D4" w:tentative="1">
      <w:start w:val="1"/>
      <w:numFmt w:val="decimal"/>
      <w:lvlText w:val="%4."/>
      <w:lvlJc w:val="left"/>
      <w:pPr>
        <w:ind w:left="2880" w:hanging="360"/>
      </w:pPr>
    </w:lvl>
    <w:lvl w:ilvl="4" w:tplc="C1324DF8" w:tentative="1">
      <w:start w:val="1"/>
      <w:numFmt w:val="lowerLetter"/>
      <w:lvlText w:val="%5."/>
      <w:lvlJc w:val="left"/>
      <w:pPr>
        <w:ind w:left="3600" w:hanging="360"/>
      </w:pPr>
    </w:lvl>
    <w:lvl w:ilvl="5" w:tplc="B3DECD60" w:tentative="1">
      <w:start w:val="1"/>
      <w:numFmt w:val="lowerRoman"/>
      <w:lvlText w:val="%6."/>
      <w:lvlJc w:val="right"/>
      <w:pPr>
        <w:ind w:left="4320" w:hanging="180"/>
      </w:pPr>
    </w:lvl>
    <w:lvl w:ilvl="6" w:tplc="7C38F9EC" w:tentative="1">
      <w:start w:val="1"/>
      <w:numFmt w:val="decimal"/>
      <w:lvlText w:val="%7."/>
      <w:lvlJc w:val="left"/>
      <w:pPr>
        <w:ind w:left="5040" w:hanging="360"/>
      </w:pPr>
    </w:lvl>
    <w:lvl w:ilvl="7" w:tplc="595C913C" w:tentative="1">
      <w:start w:val="1"/>
      <w:numFmt w:val="lowerLetter"/>
      <w:lvlText w:val="%8."/>
      <w:lvlJc w:val="left"/>
      <w:pPr>
        <w:ind w:left="5760" w:hanging="360"/>
      </w:pPr>
    </w:lvl>
    <w:lvl w:ilvl="8" w:tplc="43BCED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274F8CA">
      <w:start w:val="1"/>
      <w:numFmt w:val="lowerRoman"/>
      <w:lvlText w:val="(%1)"/>
      <w:lvlJc w:val="left"/>
      <w:pPr>
        <w:ind w:left="1080" w:hanging="720"/>
      </w:pPr>
      <w:rPr>
        <w:rFonts w:hint="default"/>
      </w:rPr>
    </w:lvl>
    <w:lvl w:ilvl="1" w:tplc="17F45A04" w:tentative="1">
      <w:start w:val="1"/>
      <w:numFmt w:val="lowerLetter"/>
      <w:lvlText w:val="%2."/>
      <w:lvlJc w:val="left"/>
      <w:pPr>
        <w:ind w:left="1440" w:hanging="360"/>
      </w:pPr>
    </w:lvl>
    <w:lvl w:ilvl="2" w:tplc="CDF49048" w:tentative="1">
      <w:start w:val="1"/>
      <w:numFmt w:val="lowerRoman"/>
      <w:lvlText w:val="%3."/>
      <w:lvlJc w:val="right"/>
      <w:pPr>
        <w:ind w:left="2160" w:hanging="180"/>
      </w:pPr>
    </w:lvl>
    <w:lvl w:ilvl="3" w:tplc="BD061C00" w:tentative="1">
      <w:start w:val="1"/>
      <w:numFmt w:val="decimal"/>
      <w:lvlText w:val="%4."/>
      <w:lvlJc w:val="left"/>
      <w:pPr>
        <w:ind w:left="2880" w:hanging="360"/>
      </w:pPr>
    </w:lvl>
    <w:lvl w:ilvl="4" w:tplc="73C48F82" w:tentative="1">
      <w:start w:val="1"/>
      <w:numFmt w:val="lowerLetter"/>
      <w:lvlText w:val="%5."/>
      <w:lvlJc w:val="left"/>
      <w:pPr>
        <w:ind w:left="3600" w:hanging="360"/>
      </w:pPr>
    </w:lvl>
    <w:lvl w:ilvl="5" w:tplc="D32A7F80" w:tentative="1">
      <w:start w:val="1"/>
      <w:numFmt w:val="lowerRoman"/>
      <w:lvlText w:val="%6."/>
      <w:lvlJc w:val="right"/>
      <w:pPr>
        <w:ind w:left="4320" w:hanging="180"/>
      </w:pPr>
    </w:lvl>
    <w:lvl w:ilvl="6" w:tplc="BC325AA0" w:tentative="1">
      <w:start w:val="1"/>
      <w:numFmt w:val="decimal"/>
      <w:lvlText w:val="%7."/>
      <w:lvlJc w:val="left"/>
      <w:pPr>
        <w:ind w:left="5040" w:hanging="360"/>
      </w:pPr>
    </w:lvl>
    <w:lvl w:ilvl="7" w:tplc="4650DAA8" w:tentative="1">
      <w:start w:val="1"/>
      <w:numFmt w:val="lowerLetter"/>
      <w:lvlText w:val="%8."/>
      <w:lvlJc w:val="left"/>
      <w:pPr>
        <w:ind w:left="5760" w:hanging="360"/>
      </w:pPr>
    </w:lvl>
    <w:lvl w:ilvl="8" w:tplc="05CA713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BCA4CD2">
      <w:start w:val="1"/>
      <w:numFmt w:val="lowerRoman"/>
      <w:lvlText w:val="(%1)"/>
      <w:lvlJc w:val="left"/>
      <w:pPr>
        <w:ind w:left="1080" w:hanging="720"/>
      </w:pPr>
      <w:rPr>
        <w:rFonts w:hint="default"/>
      </w:rPr>
    </w:lvl>
    <w:lvl w:ilvl="1" w:tplc="8AA089F8" w:tentative="1">
      <w:start w:val="1"/>
      <w:numFmt w:val="lowerLetter"/>
      <w:lvlText w:val="%2."/>
      <w:lvlJc w:val="left"/>
      <w:pPr>
        <w:ind w:left="1440" w:hanging="360"/>
      </w:pPr>
    </w:lvl>
    <w:lvl w:ilvl="2" w:tplc="8332A33A" w:tentative="1">
      <w:start w:val="1"/>
      <w:numFmt w:val="lowerRoman"/>
      <w:lvlText w:val="%3."/>
      <w:lvlJc w:val="right"/>
      <w:pPr>
        <w:ind w:left="2160" w:hanging="180"/>
      </w:pPr>
    </w:lvl>
    <w:lvl w:ilvl="3" w:tplc="7AE06024" w:tentative="1">
      <w:start w:val="1"/>
      <w:numFmt w:val="decimal"/>
      <w:lvlText w:val="%4."/>
      <w:lvlJc w:val="left"/>
      <w:pPr>
        <w:ind w:left="2880" w:hanging="360"/>
      </w:pPr>
    </w:lvl>
    <w:lvl w:ilvl="4" w:tplc="BD5C24EA" w:tentative="1">
      <w:start w:val="1"/>
      <w:numFmt w:val="lowerLetter"/>
      <w:lvlText w:val="%5."/>
      <w:lvlJc w:val="left"/>
      <w:pPr>
        <w:ind w:left="3600" w:hanging="360"/>
      </w:pPr>
    </w:lvl>
    <w:lvl w:ilvl="5" w:tplc="67407EB8" w:tentative="1">
      <w:start w:val="1"/>
      <w:numFmt w:val="lowerRoman"/>
      <w:lvlText w:val="%6."/>
      <w:lvlJc w:val="right"/>
      <w:pPr>
        <w:ind w:left="4320" w:hanging="180"/>
      </w:pPr>
    </w:lvl>
    <w:lvl w:ilvl="6" w:tplc="CEDA3E58" w:tentative="1">
      <w:start w:val="1"/>
      <w:numFmt w:val="decimal"/>
      <w:lvlText w:val="%7."/>
      <w:lvlJc w:val="left"/>
      <w:pPr>
        <w:ind w:left="5040" w:hanging="360"/>
      </w:pPr>
    </w:lvl>
    <w:lvl w:ilvl="7" w:tplc="207C7E9C" w:tentative="1">
      <w:start w:val="1"/>
      <w:numFmt w:val="lowerLetter"/>
      <w:lvlText w:val="%8."/>
      <w:lvlJc w:val="left"/>
      <w:pPr>
        <w:ind w:left="5760" w:hanging="360"/>
      </w:pPr>
    </w:lvl>
    <w:lvl w:ilvl="8" w:tplc="A75E72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272514">
    <w:abstractNumId w:val="11"/>
  </w:num>
  <w:num w:numId="2" w16cid:durableId="491873229">
    <w:abstractNumId w:val="4"/>
  </w:num>
  <w:num w:numId="3" w16cid:durableId="1115949885">
    <w:abstractNumId w:val="2"/>
  </w:num>
  <w:num w:numId="4" w16cid:durableId="130052472">
    <w:abstractNumId w:val="7"/>
  </w:num>
  <w:num w:numId="5" w16cid:durableId="680814050">
    <w:abstractNumId w:val="6"/>
  </w:num>
  <w:num w:numId="6" w16cid:durableId="989477160">
    <w:abstractNumId w:val="1"/>
  </w:num>
  <w:num w:numId="7" w16cid:durableId="995298685">
    <w:abstractNumId w:val="9"/>
  </w:num>
  <w:num w:numId="8" w16cid:durableId="955217355">
    <w:abstractNumId w:val="5"/>
  </w:num>
  <w:num w:numId="9" w16cid:durableId="1471630064">
    <w:abstractNumId w:val="8"/>
  </w:num>
  <w:num w:numId="10" w16cid:durableId="46147907">
    <w:abstractNumId w:val="3"/>
  </w:num>
  <w:num w:numId="11" w16cid:durableId="1900092399">
    <w:abstractNumId w:val="10"/>
  </w:num>
  <w:num w:numId="12" w16cid:durableId="497043920">
    <w:abstractNumId w:val="0"/>
  </w:num>
  <w:num w:numId="13" w16cid:durableId="2054454116">
    <w:abstractNumId w:val="11"/>
  </w:num>
  <w:num w:numId="14" w16cid:durableId="1609749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084"/>
    <w:rsid w:val="000039D1"/>
    <w:rsid w:val="00017D32"/>
    <w:rsid w:val="00020B3D"/>
    <w:rsid w:val="00056795"/>
    <w:rsid w:val="00106A8F"/>
    <w:rsid w:val="00180254"/>
    <w:rsid w:val="001D6917"/>
    <w:rsid w:val="0027194E"/>
    <w:rsid w:val="003E7084"/>
    <w:rsid w:val="0045011C"/>
    <w:rsid w:val="004C0C63"/>
    <w:rsid w:val="004F6B05"/>
    <w:rsid w:val="0051517E"/>
    <w:rsid w:val="0056197E"/>
    <w:rsid w:val="005A637E"/>
    <w:rsid w:val="005F0133"/>
    <w:rsid w:val="00646674"/>
    <w:rsid w:val="00692189"/>
    <w:rsid w:val="00707F60"/>
    <w:rsid w:val="00844D87"/>
    <w:rsid w:val="00864342"/>
    <w:rsid w:val="00A91140"/>
    <w:rsid w:val="00B31741"/>
    <w:rsid w:val="00C97178"/>
    <w:rsid w:val="00CC5B69"/>
    <w:rsid w:val="00D11A40"/>
    <w:rsid w:val="00D41A86"/>
    <w:rsid w:val="00D85A91"/>
    <w:rsid w:val="00E1284C"/>
    <w:rsid w:val="00E43284"/>
    <w:rsid w:val="00E84296"/>
    <w:rsid w:val="00EC26BE"/>
    <w:rsid w:val="00FA5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8E0C"/>
  <w15:docId w15:val="{AD7B062D-372F-4FD8-B107-61361E52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92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33379" w:rsidRDefault="001A252D">
          <w:r w:rsidRPr="00925A3E">
            <w:rPr>
              <w:rStyle w:val="PlaceholderText"/>
            </w:rPr>
            <w:t>Click or tap to enter a date.</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B6B99" w:rsidRDefault="001A252D"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B6B99" w:rsidRDefault="001A252D" w:rsidP="00AF0AC5">
          <w:pPr>
            <w:pStyle w:val="C796FB26220542558C2A81DE34485313"/>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B6B99" w:rsidRDefault="001A252D"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B6B99" w:rsidRDefault="001A252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6B99"/>
    <w:rsid w:val="00033379"/>
    <w:rsid w:val="001A252D"/>
    <w:rsid w:val="003D30A4"/>
    <w:rsid w:val="00DE58B8"/>
    <w:rsid w:val="00FB6B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2024-02-14T01:25:00Z</dcterms:created>
  <dcterms:modified xsi:type="dcterms:W3CDTF">2024-02-14T01:25:00Z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