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2C3C" w14:textId="77777777" w:rsidR="00AF09F5" w:rsidRPr="002C3EBF" w:rsidRDefault="00AF09F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56580A" wp14:editId="447C2A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C201DE" w14:textId="77777777" w:rsidR="00AF09F5" w:rsidRDefault="00AF09F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CE7618" w14:textId="77777777" w:rsidR="00AF09F5" w:rsidRDefault="00AF09F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954564" w14:textId="77777777" w:rsidR="00AF09F5" w:rsidRPr="002C3EBF" w:rsidRDefault="00AF09F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7BF0" w14:paraId="687CB80D" w14:textId="77777777" w:rsidTr="001D7BF0">
        <w:tc>
          <w:tcPr>
            <w:cnfStyle w:val="001000000000" w:firstRow="0" w:lastRow="0" w:firstColumn="1" w:lastColumn="0" w:oddVBand="0" w:evenVBand="0" w:oddHBand="0" w:evenHBand="0" w:firstRowFirstColumn="0" w:firstRowLastColumn="0" w:lastRowFirstColumn="0" w:lastRowLastColumn="0"/>
            <w:tcW w:w="3227" w:type="dxa"/>
          </w:tcPr>
          <w:p w14:paraId="639402E4" w14:textId="77777777" w:rsidR="00AF09F5" w:rsidRPr="00996FAF" w:rsidRDefault="00AF09F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03FBE85" w14:textId="77777777" w:rsidR="00AF09F5" w:rsidRPr="00996FAF" w:rsidRDefault="00AF09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Florence Price Gardens</w:t>
            </w:r>
          </w:p>
        </w:tc>
      </w:tr>
      <w:tr w:rsidR="001D7BF0" w14:paraId="5FB41690" w14:textId="77777777" w:rsidTr="001D7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DAC5B" w14:textId="77777777" w:rsidR="00AF09F5" w:rsidRPr="00996FAF" w:rsidRDefault="00AF09F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B9EC8A" w14:textId="77777777" w:rsidR="00AF09F5" w:rsidRPr="00C27BE3" w:rsidRDefault="00AF09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2681</w:t>
            </w:r>
          </w:p>
        </w:tc>
      </w:tr>
      <w:tr w:rsidR="001D7BF0" w14:paraId="6D623C96" w14:textId="77777777" w:rsidTr="001D7B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28781" w14:textId="77777777" w:rsidR="00AF09F5" w:rsidRPr="00996FAF" w:rsidRDefault="00AF09F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A516A3" w14:textId="77777777" w:rsidR="00AF09F5" w:rsidRPr="00996FAF" w:rsidRDefault="00AF09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Hackett</w:t>
            </w:r>
            <w:r>
              <w:rPr>
                <w:rFonts w:ascii="Arial" w:eastAsia="Times New Roman" w:hAnsi="Arial" w:cs="Arial"/>
                <w:lang w:eastAsia="en-AU"/>
              </w:rPr>
              <w:t xml:space="preserve"> Lane, BALLINA, New South Wales, 2478</w:t>
            </w:r>
          </w:p>
        </w:tc>
      </w:tr>
      <w:tr w:rsidR="001D7BF0" w14:paraId="5CE8FDE8" w14:textId="77777777" w:rsidTr="001D7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B2A5F" w14:textId="77777777" w:rsidR="00AF09F5" w:rsidRPr="00996FAF" w:rsidRDefault="00AF09F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555D4B" w14:textId="77777777" w:rsidR="00AF09F5" w:rsidRPr="00996FAF" w:rsidRDefault="00AF09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D7BF0" w14:paraId="70917CCE" w14:textId="77777777" w:rsidTr="001D7B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18A31" w14:textId="77777777" w:rsidR="00AF09F5" w:rsidRPr="00996FAF" w:rsidRDefault="00AF09F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FF5CA2" w14:textId="77777777" w:rsidR="00AF09F5" w:rsidRPr="00996FAF" w:rsidRDefault="00AF09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March 2024</w:t>
            </w:r>
          </w:p>
        </w:tc>
      </w:tr>
      <w:tr w:rsidR="001D7BF0" w14:paraId="45A597D0" w14:textId="77777777" w:rsidTr="001D7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6DCF64" w14:textId="77777777" w:rsidR="00AF09F5" w:rsidRPr="00996FAF" w:rsidRDefault="00AF09F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63020372"/>
            <w:placeholder>
              <w:docPart w:val="DefaultPlaceholder_-1854013437"/>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47BA002D" w14:textId="28AA4D12" w:rsidR="00AF09F5" w:rsidRPr="00996FAF" w:rsidRDefault="00E711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1D7BF0" w14:paraId="199CA90B" w14:textId="77777777" w:rsidTr="001D7B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BDDBC1" w14:textId="77777777" w:rsidR="00AF09F5" w:rsidRPr="00996FAF" w:rsidRDefault="00AF09F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A4691C" w14:textId="77777777" w:rsidR="00AF09F5" w:rsidRPr="009B6303" w:rsidRDefault="00AF09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30612386" w14:textId="77777777" w:rsidR="00AF09F5" w:rsidRPr="009B6303" w:rsidRDefault="00AF09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1038 Florence Price Gardens</w:t>
            </w:r>
          </w:p>
        </w:tc>
      </w:tr>
    </w:tbl>
    <w:bookmarkEnd w:id="0"/>
    <w:p w14:paraId="2A0DCAE9" w14:textId="77777777" w:rsidR="00AF09F5" w:rsidRPr="00996FAF" w:rsidRDefault="00AF09F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2E2429" w14:textId="77777777" w:rsidR="00AF09F5" w:rsidRPr="00996FAF" w:rsidRDefault="00AF09F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B2E18B9" w14:textId="77777777" w:rsidR="00AF09F5" w:rsidRPr="00996FAF" w:rsidRDefault="00AF09F5" w:rsidP="0036130C">
      <w:pPr>
        <w:pStyle w:val="NormalArial"/>
      </w:pPr>
      <w:r w:rsidRPr="00996FAF">
        <w:t xml:space="preserve">This performance report for </w:t>
      </w:r>
      <w:r w:rsidRPr="00C27BE3">
        <w:rPr>
          <w:color w:val="auto"/>
        </w:rPr>
        <w:t>Florence Price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2777DB3" w14:textId="77777777" w:rsidR="00AF09F5" w:rsidRPr="00996FAF" w:rsidRDefault="00AF09F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1E05AF" w14:textId="77777777" w:rsidR="00AF09F5" w:rsidRPr="00996FAF" w:rsidRDefault="00AF09F5" w:rsidP="0036130C">
      <w:pPr>
        <w:pStyle w:val="NormalArial"/>
      </w:pPr>
      <w:r w:rsidRPr="00996FAF">
        <w:t>The report also specifies any areas in which improvements must be made to ensure the Quality Standards are complied with.</w:t>
      </w:r>
    </w:p>
    <w:p w14:paraId="73CCD340" w14:textId="77777777" w:rsidR="00AF09F5" w:rsidRPr="00996FAF" w:rsidRDefault="00AF09F5" w:rsidP="00712752">
      <w:pPr>
        <w:pStyle w:val="Heading1"/>
        <w:spacing w:before="240" w:after="240" w:line="22" w:lineRule="atLeast"/>
        <w:rPr>
          <w:rFonts w:ascii="Arial" w:hAnsi="Arial" w:cs="Arial"/>
        </w:rPr>
      </w:pPr>
      <w:r w:rsidRPr="00996FAF">
        <w:rPr>
          <w:rFonts w:ascii="Arial" w:hAnsi="Arial" w:cs="Arial"/>
        </w:rPr>
        <w:t>Material relied on</w:t>
      </w:r>
    </w:p>
    <w:p w14:paraId="13D145CC" w14:textId="77777777" w:rsidR="00AF09F5" w:rsidRPr="00996FAF" w:rsidRDefault="00AF09F5" w:rsidP="0036130C">
      <w:pPr>
        <w:pStyle w:val="NormalArial"/>
      </w:pPr>
      <w:r w:rsidRPr="00996FAF">
        <w:t>The following information has been considered in preparing the performance report:</w:t>
      </w:r>
    </w:p>
    <w:p w14:paraId="5E6F6D36" w14:textId="25595250" w:rsidR="00AF09F5" w:rsidRPr="00B1713A" w:rsidRDefault="00AF09F5" w:rsidP="00712752">
      <w:pPr>
        <w:pStyle w:val="ListParagraph"/>
        <w:numPr>
          <w:ilvl w:val="0"/>
          <w:numId w:val="2"/>
        </w:numPr>
        <w:spacing w:line="240" w:lineRule="atLeast"/>
        <w:ind w:left="714" w:hanging="357"/>
        <w:contextualSpacing w:val="0"/>
        <w:rPr>
          <w:rFonts w:ascii="Arial" w:hAnsi="Arial" w:cs="Arial"/>
          <w:color w:val="auto"/>
        </w:rPr>
      </w:pPr>
      <w:r w:rsidRPr="00B1713A">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B1713A">
        <w:rPr>
          <w:rFonts w:ascii="Arial" w:hAnsi="Arial" w:cs="Arial"/>
          <w:color w:val="auto"/>
        </w:rPr>
        <w:t>others</w:t>
      </w:r>
      <w:proofErr w:type="gramEnd"/>
    </w:p>
    <w:p w14:paraId="73BDA31B" w14:textId="17230F29" w:rsidR="00AF09F5" w:rsidRPr="00B1713A" w:rsidRDefault="00AF09F5" w:rsidP="00712752">
      <w:pPr>
        <w:pStyle w:val="ListParagraph"/>
        <w:numPr>
          <w:ilvl w:val="0"/>
          <w:numId w:val="2"/>
        </w:numPr>
        <w:spacing w:line="240" w:lineRule="atLeast"/>
        <w:ind w:left="714" w:hanging="357"/>
        <w:contextualSpacing w:val="0"/>
        <w:rPr>
          <w:rFonts w:ascii="Arial" w:hAnsi="Arial" w:cs="Arial"/>
          <w:color w:val="auto"/>
        </w:rPr>
      </w:pPr>
      <w:r w:rsidRPr="00B1713A">
        <w:rPr>
          <w:rFonts w:ascii="Arial" w:hAnsi="Arial" w:cs="Arial"/>
          <w:color w:val="auto"/>
        </w:rPr>
        <w:t xml:space="preserve">the provider’s response to the </w:t>
      </w:r>
      <w:r w:rsidR="00237920">
        <w:rPr>
          <w:rFonts w:ascii="Arial" w:hAnsi="Arial" w:cs="Arial"/>
          <w:color w:val="auto"/>
        </w:rPr>
        <w:t>A</w:t>
      </w:r>
      <w:r w:rsidRPr="00B1713A">
        <w:rPr>
          <w:rFonts w:ascii="Arial" w:hAnsi="Arial" w:cs="Arial"/>
          <w:color w:val="auto"/>
        </w:rPr>
        <w:t xml:space="preserve">ssessment </w:t>
      </w:r>
      <w:r w:rsidR="00237920">
        <w:rPr>
          <w:rFonts w:ascii="Arial" w:hAnsi="Arial" w:cs="Arial"/>
          <w:color w:val="auto"/>
        </w:rPr>
        <w:t>T</w:t>
      </w:r>
      <w:r w:rsidRPr="00B1713A">
        <w:rPr>
          <w:rFonts w:ascii="Arial" w:hAnsi="Arial" w:cs="Arial"/>
          <w:color w:val="auto"/>
        </w:rPr>
        <w:t xml:space="preserve">eam’s report received </w:t>
      </w:r>
      <w:r w:rsidR="00B1713A" w:rsidRPr="00B1713A">
        <w:rPr>
          <w:rFonts w:ascii="Arial" w:hAnsi="Arial" w:cs="Arial"/>
          <w:color w:val="auto"/>
        </w:rPr>
        <w:t>04 April 2024</w:t>
      </w:r>
    </w:p>
    <w:p w14:paraId="4D2731A1" w14:textId="602862B6" w:rsidR="00B1713A" w:rsidRPr="00B1713A" w:rsidRDefault="00B1713A" w:rsidP="00B1713A">
      <w:pPr>
        <w:pStyle w:val="ListParagraph"/>
        <w:numPr>
          <w:ilvl w:val="0"/>
          <w:numId w:val="2"/>
        </w:numPr>
        <w:spacing w:line="240" w:lineRule="atLeast"/>
        <w:ind w:left="714" w:hanging="357"/>
        <w:contextualSpacing w:val="0"/>
        <w:rPr>
          <w:rFonts w:ascii="Arial" w:hAnsi="Arial" w:cs="Arial"/>
          <w:color w:val="auto"/>
        </w:rPr>
      </w:pPr>
      <w:r w:rsidRPr="00B1713A">
        <w:rPr>
          <w:rFonts w:ascii="Arial" w:hAnsi="Arial" w:cs="Arial"/>
          <w:color w:val="auto"/>
        </w:rPr>
        <w:t xml:space="preserve">other information and intelligence held by the Commission in relation to the service. </w:t>
      </w:r>
    </w:p>
    <w:p w14:paraId="04914A78" w14:textId="3B42A3BB" w:rsidR="00AF09F5" w:rsidRPr="00B1713A" w:rsidRDefault="00AF09F5" w:rsidP="008E1713">
      <w:pPr>
        <w:pStyle w:val="ListParagraph"/>
        <w:numPr>
          <w:ilvl w:val="0"/>
          <w:numId w:val="2"/>
        </w:numPr>
        <w:spacing w:line="22" w:lineRule="atLeast"/>
        <w:ind w:left="714" w:hanging="357"/>
        <w:contextualSpacing w:val="0"/>
        <w:rPr>
          <w:rFonts w:ascii="Arial" w:hAnsi="Arial" w:cs="Arial"/>
          <w:color w:val="auto"/>
        </w:rPr>
      </w:pPr>
      <w:r w:rsidRPr="00B1713A">
        <w:rPr>
          <w:rFonts w:ascii="Arial" w:hAnsi="Arial" w:cs="Arial"/>
          <w:color w:val="auto"/>
        </w:rPr>
        <w:br w:type="page"/>
      </w:r>
    </w:p>
    <w:p w14:paraId="54E29DA8" w14:textId="77777777" w:rsidR="00AF09F5" w:rsidRPr="00996FAF" w:rsidRDefault="00AF09F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D7BF0" w14:paraId="3A660A56" w14:textId="77777777" w:rsidTr="001D7B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941CF6" w14:textId="77777777" w:rsidR="00AF09F5" w:rsidRPr="00996FAF" w:rsidRDefault="00AF09F5" w:rsidP="002C5FA9">
            <w:pPr>
              <w:keepNext/>
              <w:spacing w:before="0" w:line="22" w:lineRule="atLeast"/>
              <w:rPr>
                <w:rFonts w:ascii="Arial" w:hAnsi="Arial" w:cs="Arial"/>
              </w:rPr>
            </w:pPr>
            <w:r w:rsidRPr="00996FAF">
              <w:rPr>
                <w:rFonts w:ascii="Arial" w:hAnsi="Arial" w:cs="Arial"/>
              </w:rPr>
              <w:t xml:space="preserve">Standard 3 </w:t>
            </w:r>
            <w:r w:rsidRPr="005D0C62">
              <w:rPr>
                <w:rFonts w:ascii="Arial" w:hAnsi="Arial" w:cs="Arial"/>
                <w:b w:val="0"/>
                <w:bCs/>
              </w:rPr>
              <w:t>Personal care and clinical care</w:t>
            </w:r>
          </w:p>
        </w:tc>
        <w:tc>
          <w:tcPr>
            <w:tcW w:w="1175" w:type="pct"/>
            <w:shd w:val="clear" w:color="auto" w:fill="auto"/>
          </w:tcPr>
          <w:p w14:paraId="1527FEC8" w14:textId="28BBA42F" w:rsidR="00AF09F5" w:rsidRPr="002C5FA9" w:rsidRDefault="004D339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6969384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50E4C" w:rsidRPr="005D0C62">
                  <w:rPr>
                    <w:rFonts w:ascii="Arial" w:hAnsi="Arial" w:cs="Arial"/>
                  </w:rPr>
                  <w:t>Not Compliant</w:t>
                </w:r>
              </w:sdtContent>
            </w:sdt>
          </w:p>
        </w:tc>
      </w:tr>
    </w:tbl>
    <w:p w14:paraId="6D58BE16" w14:textId="77777777" w:rsidR="00AF09F5" w:rsidRPr="00996FAF" w:rsidRDefault="00AF09F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813CB2" w14:textId="77777777" w:rsidR="00AF09F5" w:rsidRPr="00996FAF" w:rsidRDefault="00AF09F5" w:rsidP="00712752">
      <w:pPr>
        <w:pStyle w:val="Heading1"/>
        <w:spacing w:before="0" w:after="240" w:line="22" w:lineRule="atLeast"/>
        <w:rPr>
          <w:rFonts w:ascii="Arial" w:hAnsi="Arial" w:cs="Arial"/>
        </w:rPr>
      </w:pPr>
      <w:r w:rsidRPr="00996FAF">
        <w:rPr>
          <w:rFonts w:ascii="Arial" w:hAnsi="Arial" w:cs="Arial"/>
        </w:rPr>
        <w:t>Areas for improvement</w:t>
      </w:r>
    </w:p>
    <w:p w14:paraId="34A3C0B4" w14:textId="77777777" w:rsidR="00AF09F5" w:rsidRPr="00996FAF" w:rsidRDefault="00AF09F5" w:rsidP="0036130C">
      <w:pPr>
        <w:pStyle w:val="NormalArial"/>
      </w:pPr>
      <w:r w:rsidRPr="00996FAF">
        <w:t xml:space="preserve">Areas have been identified in which </w:t>
      </w:r>
      <w:r w:rsidRPr="005D0C62">
        <w:rPr>
          <w:bCs/>
        </w:rPr>
        <w:t>improvements must be made to ensure compliance with the Quality Standards</w:t>
      </w:r>
      <w:r w:rsidRPr="00996FAF">
        <w:t>. This is based on non-compliance with the Quality Standards as described in this performance report.</w:t>
      </w:r>
    </w:p>
    <w:p w14:paraId="09247650" w14:textId="6738B3F2" w:rsidR="00AF09F5" w:rsidRPr="00996FAF" w:rsidRDefault="004D3393"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206630689"/>
          <w:placeholder>
            <w:docPart w:val="31A6E85FD01B4416BCA5D6257A7AFB1E"/>
          </w:placeholder>
        </w:sdtPr>
        <w:sdtEndPr>
          <w:rPr>
            <w:rFonts w:ascii="Fira Sans Light" w:hAnsi="Fira Sans Light" w:cstheme="minorBidi"/>
          </w:rPr>
        </w:sdtEndPr>
        <w:sdtContent>
          <w:r w:rsidR="00AB0ACC">
            <w:rPr>
              <w:rFonts w:ascii="Arial" w:hAnsi="Arial" w:cs="Arial"/>
            </w:rPr>
            <w:t xml:space="preserve">The risk to consumers in relation to the administration of time sensitive medication needs to be effectively managed. </w:t>
          </w:r>
        </w:sdtContent>
      </w:sdt>
      <w:r w:rsidR="00AF09F5" w:rsidRPr="00996FAF">
        <w:rPr>
          <w:rFonts w:ascii="Arial" w:hAnsi="Arial" w:cs="Arial"/>
          <w:color w:val="0000FF"/>
        </w:rPr>
        <w:t xml:space="preserve"> </w:t>
      </w:r>
    </w:p>
    <w:p w14:paraId="3E180B67" w14:textId="41966EF3" w:rsidR="00AF09F5" w:rsidRPr="00996FAF" w:rsidRDefault="00AF09F5" w:rsidP="0036130C">
      <w:pPr>
        <w:pStyle w:val="NormalArial"/>
      </w:pPr>
      <w:r w:rsidRPr="00996FAF">
        <w:br w:type="page"/>
      </w:r>
    </w:p>
    <w:p w14:paraId="43246AC1" w14:textId="77777777" w:rsidR="00AF09F5" w:rsidRPr="00996FAF" w:rsidRDefault="00AF09F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D7BF0" w14:paraId="1800D94E" w14:textId="77777777" w:rsidTr="00D50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7205463" w14:textId="77777777" w:rsidR="00AF09F5" w:rsidRPr="00996FAF" w:rsidRDefault="00AF09F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5257D8" w14:textId="77777777" w:rsidR="00AF09F5" w:rsidRPr="00996FAF" w:rsidRDefault="00AF09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7BF0" w14:paraId="504C1E3D" w14:textId="77777777" w:rsidTr="001D7B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31B15" w14:textId="77777777" w:rsidR="00AF09F5" w:rsidRPr="00996FAF" w:rsidRDefault="00AF09F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112BD3B" w14:textId="77777777" w:rsidR="00AF09F5" w:rsidRPr="00996FAF" w:rsidRDefault="00AF09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F28102" w14:textId="14CC0D3B" w:rsidR="00AF09F5" w:rsidRPr="00996FAF" w:rsidRDefault="004D33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0018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E47D1">
                  <w:rPr>
                    <w:rFonts w:ascii="Arial" w:hAnsi="Arial" w:cs="Arial"/>
                    <w:color w:val="auto"/>
                  </w:rPr>
                  <w:t>Not Compliant</w:t>
                </w:r>
              </w:sdtContent>
            </w:sdt>
          </w:p>
        </w:tc>
      </w:tr>
    </w:tbl>
    <w:p w14:paraId="1F042B01" w14:textId="77777777" w:rsidR="00AF09F5" w:rsidRDefault="00AF09F5" w:rsidP="00D87E7C">
      <w:pPr>
        <w:pStyle w:val="Heading20"/>
      </w:pPr>
      <w:r w:rsidRPr="00996FAF">
        <w:t>Findings</w:t>
      </w:r>
    </w:p>
    <w:p w14:paraId="7FC4672C" w14:textId="73245AAF" w:rsidR="005B6DC6" w:rsidRDefault="005B6DC6" w:rsidP="0036130C">
      <w:pPr>
        <w:pStyle w:val="NormalArial"/>
      </w:pPr>
      <w:r>
        <w:t xml:space="preserve">The service was found to be Non-compliant with this Requirement following an Assessment contact conducted 12-13 December 2023. Despite the service committing to implementing improvement actions, deficits remain in relation to the administration of time sensitive medication as evidenced in the Assessment contact report following an Unannounced Assessment contact visit 19 March 2024. </w:t>
      </w:r>
      <w:r w:rsidRPr="005B6DC6">
        <w:t xml:space="preserve">The service </w:t>
      </w:r>
      <w:r>
        <w:t>did</w:t>
      </w:r>
      <w:r w:rsidRPr="005B6DC6">
        <w:t xml:space="preserve"> not demonstrate effective monitoring and analysis of the improvements to ensure they </w:t>
      </w:r>
      <w:r>
        <w:t xml:space="preserve">were effective </w:t>
      </w:r>
      <w:r w:rsidRPr="005B6DC6">
        <w:t>and ha</w:t>
      </w:r>
      <w:r w:rsidR="00B91B50">
        <w:t>d</w:t>
      </w:r>
      <w:r w:rsidRPr="005B6DC6">
        <w:t xml:space="preserve"> not been recording medication incidents.</w:t>
      </w:r>
    </w:p>
    <w:p w14:paraId="77D763BE" w14:textId="0710CF62" w:rsidR="005B6DC6" w:rsidRDefault="005B6DC6" w:rsidP="0036130C">
      <w:pPr>
        <w:pStyle w:val="NormalArial"/>
      </w:pPr>
      <w:r>
        <w:t xml:space="preserve">For five consumers diagnosed with Parkinson’s disease, medication records did not demonstrate their medication was administered as prescribed. For one named consumer there were 18 occasions </w:t>
      </w:r>
      <w:r w:rsidR="00376C9D">
        <w:t xml:space="preserve">(in a 24 day period) </w:t>
      </w:r>
      <w:r>
        <w:t xml:space="preserve">when their medication </w:t>
      </w:r>
      <w:r w:rsidR="00376C9D">
        <w:t xml:space="preserve">was not administered as prescribed, and timeframes between dosages were not therapeutic. </w:t>
      </w:r>
    </w:p>
    <w:p w14:paraId="0224EFA8" w14:textId="5E8AEFD6" w:rsidR="005B6DC6" w:rsidRDefault="00376C9D" w:rsidP="0036130C">
      <w:pPr>
        <w:pStyle w:val="NormalArial"/>
      </w:pPr>
      <w:r>
        <w:t>The Approved provide</w:t>
      </w:r>
      <w:r w:rsidR="00A77B2D">
        <w:t>r</w:t>
      </w:r>
      <w:r>
        <w:t xml:space="preserve"> in its written response to the Assessment contact report agrees the organisation can improve aspects of its service delivery at the service. Following the initial visit in December 2023, the service was completing weekly time sensitive medication reports. While improvements were noted, the Approved provider has noted that the reports were not individualised enough to ensure adequate reporting of incidents or to identify areas for improvement. </w:t>
      </w:r>
      <w:r w:rsidR="00B91B50">
        <w:t>The Approved provider has refined reporting processes whereby d</w:t>
      </w:r>
      <w:r>
        <w:t>aily time sensitive medication administration reports are completed for each consumer</w:t>
      </w:r>
      <w:r w:rsidR="00F05F5C">
        <w:t xml:space="preserve"> which are forwarded to management. Incident reports are then completed by the Registered nurse </w:t>
      </w:r>
      <w:r w:rsidR="00B91B50">
        <w:t xml:space="preserve">responsible for the medication error within 24 hours of the incident occurring. The Approved provider submitted a report which included the identification of 27 instances between 19 March 2024 and 02 April 2024, where medication had been administered outside 30 minutes of the prescribed timeframe. The report included information to support a medication incident had been completed for each occasion. </w:t>
      </w:r>
    </w:p>
    <w:p w14:paraId="7B6DEA6E" w14:textId="35DF5ABF" w:rsidR="00A456A6" w:rsidRDefault="00A456A6" w:rsidP="0036130C">
      <w:pPr>
        <w:pStyle w:val="NormalArial"/>
      </w:pPr>
      <w:r>
        <w:t xml:space="preserve">For </w:t>
      </w:r>
      <w:r w:rsidR="00E069F5">
        <w:t xml:space="preserve">seven </w:t>
      </w:r>
      <w:r>
        <w:t xml:space="preserve">consumers identified </w:t>
      </w:r>
      <w:r w:rsidR="00E069F5">
        <w:t>as having medication incidents relating to time sensitive medication</w:t>
      </w:r>
      <w:r>
        <w:t xml:space="preserve">, bulk incident reports were retrospectively reported. The Approved provider stated open disclosure processes were followed and the named consumers’ next of kin were notified. </w:t>
      </w:r>
      <w:r w:rsidR="00E069F5">
        <w:t xml:space="preserve">The Comprehensive report completed for the retrospective incidents contains corrective actions including communication to Registered nurses, time sensitive medication to be administered by Registered nurses and double signed. </w:t>
      </w:r>
    </w:p>
    <w:p w14:paraId="7617C254" w14:textId="1B521CEF" w:rsidR="00E069F5" w:rsidRDefault="00E069F5" w:rsidP="0036130C">
      <w:pPr>
        <w:pStyle w:val="NormalArial"/>
      </w:pPr>
      <w:r>
        <w:t xml:space="preserve">I note the Comprehensive reports indicate the initial and actual severity of the </w:t>
      </w:r>
      <w:r w:rsidR="00B422CB">
        <w:t xml:space="preserve">medication </w:t>
      </w:r>
      <w:r>
        <w:t>incidents are rated as minor</w:t>
      </w:r>
      <w:r w:rsidR="00F236E1">
        <w:t xml:space="preserve">, this is despite meeting minutes recorded 20 March 2024 note that for three consumers, the incorrect administration of time sensitive medication may have been a contributing factor to them experiencing falls. </w:t>
      </w:r>
      <w:r>
        <w:t xml:space="preserve"> </w:t>
      </w:r>
    </w:p>
    <w:p w14:paraId="7749B5F2" w14:textId="6B63C722" w:rsidR="00A77B2D" w:rsidRDefault="00A77B2D" w:rsidP="0036130C">
      <w:pPr>
        <w:pStyle w:val="NormalArial"/>
      </w:pPr>
      <w:r>
        <w:t xml:space="preserve">The Assessment contact report includes information that management at the service had not identified any occasions when the late administration of time sensitive medication had met the threshold for reporting to the Serious incident response scheme, as incidents had not been recorded. </w:t>
      </w:r>
      <w:r w:rsidR="007E47D1">
        <w:t>Now I note</w:t>
      </w:r>
      <w:r>
        <w:t xml:space="preserve"> that despite incidents being actively and retrospectively recorded, the Approved provider has </w:t>
      </w:r>
      <w:r w:rsidR="00200BFD">
        <w:t xml:space="preserve">not documented in its response that these medication incidents have been reported to the Serious incident response scheme, despite the definition for reportable </w:t>
      </w:r>
      <w:r w:rsidR="00200BFD">
        <w:lastRenderedPageBreak/>
        <w:t xml:space="preserve">incidents of neglect include the failure to administer correct or time critical medications. I note the Plan for continuous improvement indicates education is needed for Registered nurses relating to medication incident reporting and the Serious incident response scheme. I also note the planned completion for this action is 30 April 2024, and no outcome is listed in the Plan for continuous improvement. </w:t>
      </w:r>
    </w:p>
    <w:p w14:paraId="7A7DC59B" w14:textId="2B7AF3BE" w:rsidR="00237920" w:rsidRDefault="00237920" w:rsidP="0036130C">
      <w:pPr>
        <w:pStyle w:val="NormalArial"/>
      </w:pPr>
      <w:r>
        <w:t>In coming to my decision regarding compliance in this Requirement I have consider</w:t>
      </w:r>
      <w:r w:rsidR="0089554B">
        <w:t>ed</w:t>
      </w:r>
      <w:r>
        <w:t xml:space="preserve"> the Assessment contact report alongside the Approved provider’s response. </w:t>
      </w:r>
      <w:r w:rsidR="0089554B">
        <w:t xml:space="preserve">It is my decision improvement actions have not been embedded sufficiently </w:t>
      </w:r>
      <w:r w:rsidR="005E0A8B">
        <w:t xml:space="preserve">or </w:t>
      </w:r>
      <w:r w:rsidR="0063431C">
        <w:t xml:space="preserve">evaluated for sustainability, </w:t>
      </w:r>
      <w:r w:rsidR="0089554B">
        <w:t>to address the non-compliance in this Requirement</w:t>
      </w:r>
      <w:r w:rsidR="00741F39">
        <w:t xml:space="preserve">. It is particularly concerning this Requirement has been non-compliant since December 2023 and the service’s Plan for continuous improvements notes that staff responsible for the administration of time sensitive medication are not always aware of the importance of time sensitive medication. </w:t>
      </w:r>
    </w:p>
    <w:p w14:paraId="5C6B66BF" w14:textId="7F4CA978" w:rsidR="00AF09F5" w:rsidRPr="00262C0B" w:rsidRDefault="00AB0ACC" w:rsidP="0036130C">
      <w:pPr>
        <w:pStyle w:val="NormalArial"/>
      </w:pPr>
      <w:r>
        <w:t xml:space="preserve">Therefore, it is my decision this Requirement remains </w:t>
      </w:r>
      <w:proofErr w:type="gramStart"/>
      <w:r>
        <w:t>Non-compliant</w:t>
      </w:r>
      <w:proofErr w:type="gramEnd"/>
      <w:r>
        <w:t xml:space="preserve">. </w:t>
      </w:r>
    </w:p>
    <w:sectPr w:rsidR="00AF09F5"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83BF9" w14:textId="77777777" w:rsidR="00AF09F5" w:rsidRDefault="00AF09F5">
      <w:pPr>
        <w:spacing w:after="0"/>
      </w:pPr>
      <w:r>
        <w:separator/>
      </w:r>
    </w:p>
  </w:endnote>
  <w:endnote w:type="continuationSeparator" w:id="0">
    <w:p w14:paraId="6885D5A9" w14:textId="77777777" w:rsidR="00AF09F5" w:rsidRDefault="00AF09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B0AD" w14:textId="77777777" w:rsidR="00AF09F5" w:rsidRPr="00DF37F2" w:rsidRDefault="00AF09F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Florence Price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8592F2" w14:textId="77777777" w:rsidR="00AF09F5" w:rsidRPr="00DF37F2" w:rsidRDefault="00AF09F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2681</w:t>
    </w:r>
    <w:bookmarkEnd w:id="1"/>
    <w:r w:rsidRPr="00DF37F2">
      <w:rPr>
        <w:rStyle w:val="FooterBold"/>
        <w:rFonts w:ascii="Arial" w:hAnsi="Arial"/>
        <w:b w:val="0"/>
      </w:rPr>
      <w:tab/>
      <w:t xml:space="preserve">OFFICIAL: Sensitive </w:t>
    </w:r>
  </w:p>
  <w:p w14:paraId="77632D4C" w14:textId="77777777" w:rsidR="00AF09F5" w:rsidRPr="00DF37F2" w:rsidRDefault="00AF09F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047C" w14:textId="77777777" w:rsidR="00AF09F5" w:rsidRDefault="00AF09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6B147" w14:textId="77777777" w:rsidR="00AF09F5" w:rsidRDefault="00AF09F5" w:rsidP="00D71F88">
      <w:pPr>
        <w:spacing w:after="0"/>
      </w:pPr>
      <w:r>
        <w:separator/>
      </w:r>
    </w:p>
  </w:footnote>
  <w:footnote w:type="continuationSeparator" w:id="0">
    <w:p w14:paraId="3A60D4C3" w14:textId="77777777" w:rsidR="00AF09F5" w:rsidRDefault="00AF09F5" w:rsidP="00D71F88">
      <w:pPr>
        <w:spacing w:after="0"/>
      </w:pPr>
      <w:r>
        <w:continuationSeparator/>
      </w:r>
    </w:p>
  </w:footnote>
  <w:footnote w:id="1">
    <w:p w14:paraId="5E10D523" w14:textId="75210F90" w:rsidR="00AF09F5" w:rsidRDefault="00AF09F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50E4C">
        <w:rPr>
          <w:rFonts w:ascii="Arial" w:hAnsi="Arial" w:cs="Arial"/>
          <w:color w:val="auto"/>
          <w:sz w:val="20"/>
          <w:szCs w:val="20"/>
        </w:rPr>
        <w:t>section 68A</w:t>
      </w:r>
      <w:r w:rsidRPr="00D50E4C">
        <w:rPr>
          <w:rFonts w:ascii="Arial" w:hAnsi="Arial" w:cs="Arial"/>
          <w:b/>
          <w:color w:val="auto"/>
          <w:sz w:val="20"/>
          <w:szCs w:val="20"/>
        </w:rPr>
        <w:t xml:space="preserve"> </w:t>
      </w:r>
      <w:r w:rsidRPr="00D50E4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6CD87A4" w14:textId="77777777" w:rsidR="00AF09F5" w:rsidRDefault="00AF09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083D" w14:textId="77777777" w:rsidR="00AF09F5" w:rsidRDefault="00AF09F5">
    <w:pPr>
      <w:pStyle w:val="Header"/>
    </w:pPr>
    <w:r>
      <w:rPr>
        <w:noProof/>
        <w:color w:val="2B579A"/>
        <w:shd w:val="clear" w:color="auto" w:fill="E6E6E6"/>
        <w:lang w:val="en-US"/>
      </w:rPr>
      <w:drawing>
        <wp:anchor distT="0" distB="0" distL="114300" distR="114300" simplePos="0" relativeHeight="251658241" behindDoc="1" locked="0" layoutInCell="1" allowOverlap="1" wp14:anchorId="122C1617" wp14:editId="4058233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A89C" w14:textId="77777777" w:rsidR="00AF09F5" w:rsidRDefault="00AF09F5">
    <w:pPr>
      <w:pStyle w:val="Header"/>
    </w:pPr>
    <w:r>
      <w:rPr>
        <w:noProof/>
      </w:rPr>
      <w:drawing>
        <wp:anchor distT="0" distB="0" distL="114300" distR="114300" simplePos="0" relativeHeight="251658240" behindDoc="0" locked="0" layoutInCell="1" allowOverlap="1" wp14:anchorId="104C7517" wp14:editId="6034A0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764FDC">
      <w:start w:val="1"/>
      <w:numFmt w:val="lowerRoman"/>
      <w:lvlText w:val="(%1)"/>
      <w:lvlJc w:val="left"/>
      <w:pPr>
        <w:ind w:left="1080" w:hanging="720"/>
      </w:pPr>
      <w:rPr>
        <w:rFonts w:hint="default"/>
      </w:rPr>
    </w:lvl>
    <w:lvl w:ilvl="1" w:tplc="FC54B94C" w:tentative="1">
      <w:start w:val="1"/>
      <w:numFmt w:val="lowerLetter"/>
      <w:lvlText w:val="%2."/>
      <w:lvlJc w:val="left"/>
      <w:pPr>
        <w:ind w:left="1440" w:hanging="360"/>
      </w:pPr>
    </w:lvl>
    <w:lvl w:ilvl="2" w:tplc="184ED92A" w:tentative="1">
      <w:start w:val="1"/>
      <w:numFmt w:val="lowerRoman"/>
      <w:lvlText w:val="%3."/>
      <w:lvlJc w:val="right"/>
      <w:pPr>
        <w:ind w:left="2160" w:hanging="180"/>
      </w:pPr>
    </w:lvl>
    <w:lvl w:ilvl="3" w:tplc="9C9ED0BE" w:tentative="1">
      <w:start w:val="1"/>
      <w:numFmt w:val="decimal"/>
      <w:lvlText w:val="%4."/>
      <w:lvlJc w:val="left"/>
      <w:pPr>
        <w:ind w:left="2880" w:hanging="360"/>
      </w:pPr>
    </w:lvl>
    <w:lvl w:ilvl="4" w:tplc="B3B232EC" w:tentative="1">
      <w:start w:val="1"/>
      <w:numFmt w:val="lowerLetter"/>
      <w:lvlText w:val="%5."/>
      <w:lvlJc w:val="left"/>
      <w:pPr>
        <w:ind w:left="3600" w:hanging="360"/>
      </w:pPr>
    </w:lvl>
    <w:lvl w:ilvl="5" w:tplc="F8988DD4" w:tentative="1">
      <w:start w:val="1"/>
      <w:numFmt w:val="lowerRoman"/>
      <w:lvlText w:val="%6."/>
      <w:lvlJc w:val="right"/>
      <w:pPr>
        <w:ind w:left="4320" w:hanging="180"/>
      </w:pPr>
    </w:lvl>
    <w:lvl w:ilvl="6" w:tplc="72BACA9C" w:tentative="1">
      <w:start w:val="1"/>
      <w:numFmt w:val="decimal"/>
      <w:lvlText w:val="%7."/>
      <w:lvlJc w:val="left"/>
      <w:pPr>
        <w:ind w:left="5040" w:hanging="360"/>
      </w:pPr>
    </w:lvl>
    <w:lvl w:ilvl="7" w:tplc="6FBA9400" w:tentative="1">
      <w:start w:val="1"/>
      <w:numFmt w:val="lowerLetter"/>
      <w:lvlText w:val="%8."/>
      <w:lvlJc w:val="left"/>
      <w:pPr>
        <w:ind w:left="5760" w:hanging="360"/>
      </w:pPr>
    </w:lvl>
    <w:lvl w:ilvl="8" w:tplc="510EDB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AA8383C">
      <w:start w:val="1"/>
      <w:numFmt w:val="lowerRoman"/>
      <w:lvlText w:val="(%1)"/>
      <w:lvlJc w:val="left"/>
      <w:pPr>
        <w:ind w:left="1080" w:hanging="720"/>
      </w:pPr>
      <w:rPr>
        <w:rFonts w:hint="default"/>
      </w:rPr>
    </w:lvl>
    <w:lvl w:ilvl="1" w:tplc="B47C9B84" w:tentative="1">
      <w:start w:val="1"/>
      <w:numFmt w:val="lowerLetter"/>
      <w:lvlText w:val="%2."/>
      <w:lvlJc w:val="left"/>
      <w:pPr>
        <w:ind w:left="1440" w:hanging="360"/>
      </w:pPr>
    </w:lvl>
    <w:lvl w:ilvl="2" w:tplc="908482EC" w:tentative="1">
      <w:start w:val="1"/>
      <w:numFmt w:val="lowerRoman"/>
      <w:lvlText w:val="%3."/>
      <w:lvlJc w:val="right"/>
      <w:pPr>
        <w:ind w:left="2160" w:hanging="180"/>
      </w:pPr>
    </w:lvl>
    <w:lvl w:ilvl="3" w:tplc="3D60086E" w:tentative="1">
      <w:start w:val="1"/>
      <w:numFmt w:val="decimal"/>
      <w:lvlText w:val="%4."/>
      <w:lvlJc w:val="left"/>
      <w:pPr>
        <w:ind w:left="2880" w:hanging="360"/>
      </w:pPr>
    </w:lvl>
    <w:lvl w:ilvl="4" w:tplc="D30ADDA2" w:tentative="1">
      <w:start w:val="1"/>
      <w:numFmt w:val="lowerLetter"/>
      <w:lvlText w:val="%5."/>
      <w:lvlJc w:val="left"/>
      <w:pPr>
        <w:ind w:left="3600" w:hanging="360"/>
      </w:pPr>
    </w:lvl>
    <w:lvl w:ilvl="5" w:tplc="3B4667B8" w:tentative="1">
      <w:start w:val="1"/>
      <w:numFmt w:val="lowerRoman"/>
      <w:lvlText w:val="%6."/>
      <w:lvlJc w:val="right"/>
      <w:pPr>
        <w:ind w:left="4320" w:hanging="180"/>
      </w:pPr>
    </w:lvl>
    <w:lvl w:ilvl="6" w:tplc="8358563A" w:tentative="1">
      <w:start w:val="1"/>
      <w:numFmt w:val="decimal"/>
      <w:lvlText w:val="%7."/>
      <w:lvlJc w:val="left"/>
      <w:pPr>
        <w:ind w:left="5040" w:hanging="360"/>
      </w:pPr>
    </w:lvl>
    <w:lvl w:ilvl="7" w:tplc="5A3E74A2" w:tentative="1">
      <w:start w:val="1"/>
      <w:numFmt w:val="lowerLetter"/>
      <w:lvlText w:val="%8."/>
      <w:lvlJc w:val="left"/>
      <w:pPr>
        <w:ind w:left="5760" w:hanging="360"/>
      </w:pPr>
    </w:lvl>
    <w:lvl w:ilvl="8" w:tplc="CC6E16F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A8E732">
      <w:start w:val="1"/>
      <w:numFmt w:val="lowerRoman"/>
      <w:lvlText w:val="(%1)"/>
      <w:lvlJc w:val="left"/>
      <w:pPr>
        <w:ind w:left="1080" w:hanging="720"/>
      </w:pPr>
      <w:rPr>
        <w:rFonts w:hint="default"/>
      </w:rPr>
    </w:lvl>
    <w:lvl w:ilvl="1" w:tplc="16FC0518" w:tentative="1">
      <w:start w:val="1"/>
      <w:numFmt w:val="lowerLetter"/>
      <w:lvlText w:val="%2."/>
      <w:lvlJc w:val="left"/>
      <w:pPr>
        <w:ind w:left="1440" w:hanging="360"/>
      </w:pPr>
    </w:lvl>
    <w:lvl w:ilvl="2" w:tplc="D254664C" w:tentative="1">
      <w:start w:val="1"/>
      <w:numFmt w:val="lowerRoman"/>
      <w:lvlText w:val="%3."/>
      <w:lvlJc w:val="right"/>
      <w:pPr>
        <w:ind w:left="2160" w:hanging="180"/>
      </w:pPr>
    </w:lvl>
    <w:lvl w:ilvl="3" w:tplc="EBA6E854" w:tentative="1">
      <w:start w:val="1"/>
      <w:numFmt w:val="decimal"/>
      <w:lvlText w:val="%4."/>
      <w:lvlJc w:val="left"/>
      <w:pPr>
        <w:ind w:left="2880" w:hanging="360"/>
      </w:pPr>
    </w:lvl>
    <w:lvl w:ilvl="4" w:tplc="9C944C60" w:tentative="1">
      <w:start w:val="1"/>
      <w:numFmt w:val="lowerLetter"/>
      <w:lvlText w:val="%5."/>
      <w:lvlJc w:val="left"/>
      <w:pPr>
        <w:ind w:left="3600" w:hanging="360"/>
      </w:pPr>
    </w:lvl>
    <w:lvl w:ilvl="5" w:tplc="954A9CF8" w:tentative="1">
      <w:start w:val="1"/>
      <w:numFmt w:val="lowerRoman"/>
      <w:lvlText w:val="%6."/>
      <w:lvlJc w:val="right"/>
      <w:pPr>
        <w:ind w:left="4320" w:hanging="180"/>
      </w:pPr>
    </w:lvl>
    <w:lvl w:ilvl="6" w:tplc="6164D3F4" w:tentative="1">
      <w:start w:val="1"/>
      <w:numFmt w:val="decimal"/>
      <w:lvlText w:val="%7."/>
      <w:lvlJc w:val="left"/>
      <w:pPr>
        <w:ind w:left="5040" w:hanging="360"/>
      </w:pPr>
    </w:lvl>
    <w:lvl w:ilvl="7" w:tplc="F3CC92CE" w:tentative="1">
      <w:start w:val="1"/>
      <w:numFmt w:val="lowerLetter"/>
      <w:lvlText w:val="%8."/>
      <w:lvlJc w:val="left"/>
      <w:pPr>
        <w:ind w:left="5760" w:hanging="360"/>
      </w:pPr>
    </w:lvl>
    <w:lvl w:ilvl="8" w:tplc="8C2CE2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0C071EE">
      <w:start w:val="1"/>
      <w:numFmt w:val="bullet"/>
      <w:lvlText w:val=""/>
      <w:lvlJc w:val="left"/>
      <w:pPr>
        <w:ind w:left="720" w:hanging="360"/>
      </w:pPr>
      <w:rPr>
        <w:rFonts w:ascii="Symbol" w:hAnsi="Symbol" w:hint="default"/>
        <w:color w:val="auto"/>
        <w:sz w:val="24"/>
        <w:szCs w:val="24"/>
      </w:rPr>
    </w:lvl>
    <w:lvl w:ilvl="1" w:tplc="370AD2C2" w:tentative="1">
      <w:start w:val="1"/>
      <w:numFmt w:val="bullet"/>
      <w:lvlText w:val="o"/>
      <w:lvlJc w:val="left"/>
      <w:pPr>
        <w:ind w:left="1440" w:hanging="360"/>
      </w:pPr>
      <w:rPr>
        <w:rFonts w:ascii="Courier New" w:hAnsi="Courier New" w:cs="Courier New" w:hint="default"/>
      </w:rPr>
    </w:lvl>
    <w:lvl w:ilvl="2" w:tplc="DE40E2A8" w:tentative="1">
      <w:start w:val="1"/>
      <w:numFmt w:val="bullet"/>
      <w:lvlText w:val=""/>
      <w:lvlJc w:val="left"/>
      <w:pPr>
        <w:ind w:left="2160" w:hanging="360"/>
      </w:pPr>
      <w:rPr>
        <w:rFonts w:ascii="Wingdings" w:hAnsi="Wingdings" w:hint="default"/>
      </w:rPr>
    </w:lvl>
    <w:lvl w:ilvl="3" w:tplc="C9544FB8" w:tentative="1">
      <w:start w:val="1"/>
      <w:numFmt w:val="bullet"/>
      <w:lvlText w:val=""/>
      <w:lvlJc w:val="left"/>
      <w:pPr>
        <w:ind w:left="2880" w:hanging="360"/>
      </w:pPr>
      <w:rPr>
        <w:rFonts w:ascii="Symbol" w:hAnsi="Symbol" w:hint="default"/>
      </w:rPr>
    </w:lvl>
    <w:lvl w:ilvl="4" w:tplc="AD5AE8B2" w:tentative="1">
      <w:start w:val="1"/>
      <w:numFmt w:val="bullet"/>
      <w:lvlText w:val="o"/>
      <w:lvlJc w:val="left"/>
      <w:pPr>
        <w:ind w:left="3600" w:hanging="360"/>
      </w:pPr>
      <w:rPr>
        <w:rFonts w:ascii="Courier New" w:hAnsi="Courier New" w:cs="Courier New" w:hint="default"/>
      </w:rPr>
    </w:lvl>
    <w:lvl w:ilvl="5" w:tplc="73ECA066" w:tentative="1">
      <w:start w:val="1"/>
      <w:numFmt w:val="bullet"/>
      <w:lvlText w:val=""/>
      <w:lvlJc w:val="left"/>
      <w:pPr>
        <w:ind w:left="4320" w:hanging="360"/>
      </w:pPr>
      <w:rPr>
        <w:rFonts w:ascii="Wingdings" w:hAnsi="Wingdings" w:hint="default"/>
      </w:rPr>
    </w:lvl>
    <w:lvl w:ilvl="6" w:tplc="FB6C1C80" w:tentative="1">
      <w:start w:val="1"/>
      <w:numFmt w:val="bullet"/>
      <w:lvlText w:val=""/>
      <w:lvlJc w:val="left"/>
      <w:pPr>
        <w:ind w:left="5040" w:hanging="360"/>
      </w:pPr>
      <w:rPr>
        <w:rFonts w:ascii="Symbol" w:hAnsi="Symbol" w:hint="default"/>
      </w:rPr>
    </w:lvl>
    <w:lvl w:ilvl="7" w:tplc="C400D078" w:tentative="1">
      <w:start w:val="1"/>
      <w:numFmt w:val="bullet"/>
      <w:lvlText w:val="o"/>
      <w:lvlJc w:val="left"/>
      <w:pPr>
        <w:ind w:left="5760" w:hanging="360"/>
      </w:pPr>
      <w:rPr>
        <w:rFonts w:ascii="Courier New" w:hAnsi="Courier New" w:cs="Courier New" w:hint="default"/>
      </w:rPr>
    </w:lvl>
    <w:lvl w:ilvl="8" w:tplc="46EEB04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EE07C2A">
      <w:start w:val="1"/>
      <w:numFmt w:val="lowerRoman"/>
      <w:lvlText w:val="(%1)"/>
      <w:lvlJc w:val="left"/>
      <w:pPr>
        <w:ind w:left="1080" w:hanging="720"/>
      </w:pPr>
      <w:rPr>
        <w:rFonts w:hint="default"/>
      </w:rPr>
    </w:lvl>
    <w:lvl w:ilvl="1" w:tplc="EFA413C0" w:tentative="1">
      <w:start w:val="1"/>
      <w:numFmt w:val="lowerLetter"/>
      <w:lvlText w:val="%2."/>
      <w:lvlJc w:val="left"/>
      <w:pPr>
        <w:ind w:left="1440" w:hanging="360"/>
      </w:pPr>
    </w:lvl>
    <w:lvl w:ilvl="2" w:tplc="028E41B6" w:tentative="1">
      <w:start w:val="1"/>
      <w:numFmt w:val="lowerRoman"/>
      <w:lvlText w:val="%3."/>
      <w:lvlJc w:val="right"/>
      <w:pPr>
        <w:ind w:left="2160" w:hanging="180"/>
      </w:pPr>
    </w:lvl>
    <w:lvl w:ilvl="3" w:tplc="301CED0C" w:tentative="1">
      <w:start w:val="1"/>
      <w:numFmt w:val="decimal"/>
      <w:lvlText w:val="%4."/>
      <w:lvlJc w:val="left"/>
      <w:pPr>
        <w:ind w:left="2880" w:hanging="360"/>
      </w:pPr>
    </w:lvl>
    <w:lvl w:ilvl="4" w:tplc="A3904018" w:tentative="1">
      <w:start w:val="1"/>
      <w:numFmt w:val="lowerLetter"/>
      <w:lvlText w:val="%5."/>
      <w:lvlJc w:val="left"/>
      <w:pPr>
        <w:ind w:left="3600" w:hanging="360"/>
      </w:pPr>
    </w:lvl>
    <w:lvl w:ilvl="5" w:tplc="6AFA858E" w:tentative="1">
      <w:start w:val="1"/>
      <w:numFmt w:val="lowerRoman"/>
      <w:lvlText w:val="%6."/>
      <w:lvlJc w:val="right"/>
      <w:pPr>
        <w:ind w:left="4320" w:hanging="180"/>
      </w:pPr>
    </w:lvl>
    <w:lvl w:ilvl="6" w:tplc="0440823C" w:tentative="1">
      <w:start w:val="1"/>
      <w:numFmt w:val="decimal"/>
      <w:lvlText w:val="%7."/>
      <w:lvlJc w:val="left"/>
      <w:pPr>
        <w:ind w:left="5040" w:hanging="360"/>
      </w:pPr>
    </w:lvl>
    <w:lvl w:ilvl="7" w:tplc="D5CA59E2" w:tentative="1">
      <w:start w:val="1"/>
      <w:numFmt w:val="lowerLetter"/>
      <w:lvlText w:val="%8."/>
      <w:lvlJc w:val="left"/>
      <w:pPr>
        <w:ind w:left="5760" w:hanging="360"/>
      </w:pPr>
    </w:lvl>
    <w:lvl w:ilvl="8" w:tplc="B3B23F1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02CDD4E">
      <w:start w:val="1"/>
      <w:numFmt w:val="lowerRoman"/>
      <w:lvlText w:val="(%1)"/>
      <w:lvlJc w:val="left"/>
      <w:pPr>
        <w:ind w:left="1080" w:hanging="720"/>
      </w:pPr>
      <w:rPr>
        <w:rFonts w:hint="default"/>
      </w:rPr>
    </w:lvl>
    <w:lvl w:ilvl="1" w:tplc="959C1F1A" w:tentative="1">
      <w:start w:val="1"/>
      <w:numFmt w:val="lowerLetter"/>
      <w:lvlText w:val="%2."/>
      <w:lvlJc w:val="left"/>
      <w:pPr>
        <w:ind w:left="1440" w:hanging="360"/>
      </w:pPr>
    </w:lvl>
    <w:lvl w:ilvl="2" w:tplc="82C08532" w:tentative="1">
      <w:start w:val="1"/>
      <w:numFmt w:val="lowerRoman"/>
      <w:lvlText w:val="%3."/>
      <w:lvlJc w:val="right"/>
      <w:pPr>
        <w:ind w:left="2160" w:hanging="180"/>
      </w:pPr>
    </w:lvl>
    <w:lvl w:ilvl="3" w:tplc="73C83C34" w:tentative="1">
      <w:start w:val="1"/>
      <w:numFmt w:val="decimal"/>
      <w:lvlText w:val="%4."/>
      <w:lvlJc w:val="left"/>
      <w:pPr>
        <w:ind w:left="2880" w:hanging="360"/>
      </w:pPr>
    </w:lvl>
    <w:lvl w:ilvl="4" w:tplc="047C7DA6" w:tentative="1">
      <w:start w:val="1"/>
      <w:numFmt w:val="lowerLetter"/>
      <w:lvlText w:val="%5."/>
      <w:lvlJc w:val="left"/>
      <w:pPr>
        <w:ind w:left="3600" w:hanging="360"/>
      </w:pPr>
    </w:lvl>
    <w:lvl w:ilvl="5" w:tplc="BF9EC95C" w:tentative="1">
      <w:start w:val="1"/>
      <w:numFmt w:val="lowerRoman"/>
      <w:lvlText w:val="%6."/>
      <w:lvlJc w:val="right"/>
      <w:pPr>
        <w:ind w:left="4320" w:hanging="180"/>
      </w:pPr>
    </w:lvl>
    <w:lvl w:ilvl="6" w:tplc="4BC05E72" w:tentative="1">
      <w:start w:val="1"/>
      <w:numFmt w:val="decimal"/>
      <w:lvlText w:val="%7."/>
      <w:lvlJc w:val="left"/>
      <w:pPr>
        <w:ind w:left="5040" w:hanging="360"/>
      </w:pPr>
    </w:lvl>
    <w:lvl w:ilvl="7" w:tplc="B78AAE16" w:tentative="1">
      <w:start w:val="1"/>
      <w:numFmt w:val="lowerLetter"/>
      <w:lvlText w:val="%8."/>
      <w:lvlJc w:val="left"/>
      <w:pPr>
        <w:ind w:left="5760" w:hanging="360"/>
      </w:pPr>
    </w:lvl>
    <w:lvl w:ilvl="8" w:tplc="2AA0BA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3C8D08C">
      <w:start w:val="1"/>
      <w:numFmt w:val="lowerRoman"/>
      <w:lvlText w:val="(%1)"/>
      <w:lvlJc w:val="left"/>
      <w:pPr>
        <w:ind w:left="1080" w:hanging="720"/>
      </w:pPr>
      <w:rPr>
        <w:rFonts w:hint="default"/>
      </w:rPr>
    </w:lvl>
    <w:lvl w:ilvl="1" w:tplc="35208A96" w:tentative="1">
      <w:start w:val="1"/>
      <w:numFmt w:val="lowerLetter"/>
      <w:lvlText w:val="%2."/>
      <w:lvlJc w:val="left"/>
      <w:pPr>
        <w:ind w:left="1440" w:hanging="360"/>
      </w:pPr>
    </w:lvl>
    <w:lvl w:ilvl="2" w:tplc="06240C2E" w:tentative="1">
      <w:start w:val="1"/>
      <w:numFmt w:val="lowerRoman"/>
      <w:lvlText w:val="%3."/>
      <w:lvlJc w:val="right"/>
      <w:pPr>
        <w:ind w:left="2160" w:hanging="180"/>
      </w:pPr>
    </w:lvl>
    <w:lvl w:ilvl="3" w:tplc="891C756A" w:tentative="1">
      <w:start w:val="1"/>
      <w:numFmt w:val="decimal"/>
      <w:lvlText w:val="%4."/>
      <w:lvlJc w:val="left"/>
      <w:pPr>
        <w:ind w:left="2880" w:hanging="360"/>
      </w:pPr>
    </w:lvl>
    <w:lvl w:ilvl="4" w:tplc="D6E234B8" w:tentative="1">
      <w:start w:val="1"/>
      <w:numFmt w:val="lowerLetter"/>
      <w:lvlText w:val="%5."/>
      <w:lvlJc w:val="left"/>
      <w:pPr>
        <w:ind w:left="3600" w:hanging="360"/>
      </w:pPr>
    </w:lvl>
    <w:lvl w:ilvl="5" w:tplc="E994519C" w:tentative="1">
      <w:start w:val="1"/>
      <w:numFmt w:val="lowerRoman"/>
      <w:lvlText w:val="%6."/>
      <w:lvlJc w:val="right"/>
      <w:pPr>
        <w:ind w:left="4320" w:hanging="180"/>
      </w:pPr>
    </w:lvl>
    <w:lvl w:ilvl="6" w:tplc="2C30908E" w:tentative="1">
      <w:start w:val="1"/>
      <w:numFmt w:val="decimal"/>
      <w:lvlText w:val="%7."/>
      <w:lvlJc w:val="left"/>
      <w:pPr>
        <w:ind w:left="5040" w:hanging="360"/>
      </w:pPr>
    </w:lvl>
    <w:lvl w:ilvl="7" w:tplc="42C86F3C" w:tentative="1">
      <w:start w:val="1"/>
      <w:numFmt w:val="lowerLetter"/>
      <w:lvlText w:val="%8."/>
      <w:lvlJc w:val="left"/>
      <w:pPr>
        <w:ind w:left="5760" w:hanging="360"/>
      </w:pPr>
    </w:lvl>
    <w:lvl w:ilvl="8" w:tplc="D82E027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880BE56">
      <w:start w:val="1"/>
      <w:numFmt w:val="lowerRoman"/>
      <w:lvlText w:val="(%1)"/>
      <w:lvlJc w:val="left"/>
      <w:pPr>
        <w:ind w:left="1080" w:hanging="720"/>
      </w:pPr>
      <w:rPr>
        <w:rFonts w:hint="default"/>
      </w:rPr>
    </w:lvl>
    <w:lvl w:ilvl="1" w:tplc="7B7A57CA" w:tentative="1">
      <w:start w:val="1"/>
      <w:numFmt w:val="lowerLetter"/>
      <w:lvlText w:val="%2."/>
      <w:lvlJc w:val="left"/>
      <w:pPr>
        <w:ind w:left="1440" w:hanging="360"/>
      </w:pPr>
    </w:lvl>
    <w:lvl w:ilvl="2" w:tplc="3C9CA0B8" w:tentative="1">
      <w:start w:val="1"/>
      <w:numFmt w:val="lowerRoman"/>
      <w:lvlText w:val="%3."/>
      <w:lvlJc w:val="right"/>
      <w:pPr>
        <w:ind w:left="2160" w:hanging="180"/>
      </w:pPr>
    </w:lvl>
    <w:lvl w:ilvl="3" w:tplc="649E9A60" w:tentative="1">
      <w:start w:val="1"/>
      <w:numFmt w:val="decimal"/>
      <w:lvlText w:val="%4."/>
      <w:lvlJc w:val="left"/>
      <w:pPr>
        <w:ind w:left="2880" w:hanging="360"/>
      </w:pPr>
    </w:lvl>
    <w:lvl w:ilvl="4" w:tplc="CEB0E07A" w:tentative="1">
      <w:start w:val="1"/>
      <w:numFmt w:val="lowerLetter"/>
      <w:lvlText w:val="%5."/>
      <w:lvlJc w:val="left"/>
      <w:pPr>
        <w:ind w:left="3600" w:hanging="360"/>
      </w:pPr>
    </w:lvl>
    <w:lvl w:ilvl="5" w:tplc="54B8A0C0" w:tentative="1">
      <w:start w:val="1"/>
      <w:numFmt w:val="lowerRoman"/>
      <w:lvlText w:val="%6."/>
      <w:lvlJc w:val="right"/>
      <w:pPr>
        <w:ind w:left="4320" w:hanging="180"/>
      </w:pPr>
    </w:lvl>
    <w:lvl w:ilvl="6" w:tplc="786E85C8" w:tentative="1">
      <w:start w:val="1"/>
      <w:numFmt w:val="decimal"/>
      <w:lvlText w:val="%7."/>
      <w:lvlJc w:val="left"/>
      <w:pPr>
        <w:ind w:left="5040" w:hanging="360"/>
      </w:pPr>
    </w:lvl>
    <w:lvl w:ilvl="7" w:tplc="C0F4F138" w:tentative="1">
      <w:start w:val="1"/>
      <w:numFmt w:val="lowerLetter"/>
      <w:lvlText w:val="%8."/>
      <w:lvlJc w:val="left"/>
      <w:pPr>
        <w:ind w:left="5760" w:hanging="360"/>
      </w:pPr>
    </w:lvl>
    <w:lvl w:ilvl="8" w:tplc="8090722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482ED36">
      <w:start w:val="1"/>
      <w:numFmt w:val="lowerRoman"/>
      <w:lvlText w:val="(%1)"/>
      <w:lvlJc w:val="left"/>
      <w:pPr>
        <w:ind w:left="1080" w:hanging="720"/>
      </w:pPr>
      <w:rPr>
        <w:rFonts w:hint="default"/>
      </w:rPr>
    </w:lvl>
    <w:lvl w:ilvl="1" w:tplc="CB16BF96" w:tentative="1">
      <w:start w:val="1"/>
      <w:numFmt w:val="lowerLetter"/>
      <w:lvlText w:val="%2."/>
      <w:lvlJc w:val="left"/>
      <w:pPr>
        <w:ind w:left="1440" w:hanging="360"/>
      </w:pPr>
    </w:lvl>
    <w:lvl w:ilvl="2" w:tplc="62B08F6C" w:tentative="1">
      <w:start w:val="1"/>
      <w:numFmt w:val="lowerRoman"/>
      <w:lvlText w:val="%3."/>
      <w:lvlJc w:val="right"/>
      <w:pPr>
        <w:ind w:left="2160" w:hanging="180"/>
      </w:pPr>
    </w:lvl>
    <w:lvl w:ilvl="3" w:tplc="ADEA5A7A" w:tentative="1">
      <w:start w:val="1"/>
      <w:numFmt w:val="decimal"/>
      <w:lvlText w:val="%4."/>
      <w:lvlJc w:val="left"/>
      <w:pPr>
        <w:ind w:left="2880" w:hanging="360"/>
      </w:pPr>
    </w:lvl>
    <w:lvl w:ilvl="4" w:tplc="868073AE" w:tentative="1">
      <w:start w:val="1"/>
      <w:numFmt w:val="lowerLetter"/>
      <w:lvlText w:val="%5."/>
      <w:lvlJc w:val="left"/>
      <w:pPr>
        <w:ind w:left="3600" w:hanging="360"/>
      </w:pPr>
    </w:lvl>
    <w:lvl w:ilvl="5" w:tplc="398E69B6" w:tentative="1">
      <w:start w:val="1"/>
      <w:numFmt w:val="lowerRoman"/>
      <w:lvlText w:val="%6."/>
      <w:lvlJc w:val="right"/>
      <w:pPr>
        <w:ind w:left="4320" w:hanging="180"/>
      </w:pPr>
    </w:lvl>
    <w:lvl w:ilvl="6" w:tplc="D8828428" w:tentative="1">
      <w:start w:val="1"/>
      <w:numFmt w:val="decimal"/>
      <w:lvlText w:val="%7."/>
      <w:lvlJc w:val="left"/>
      <w:pPr>
        <w:ind w:left="5040" w:hanging="360"/>
      </w:pPr>
    </w:lvl>
    <w:lvl w:ilvl="7" w:tplc="8E56E17C" w:tentative="1">
      <w:start w:val="1"/>
      <w:numFmt w:val="lowerLetter"/>
      <w:lvlText w:val="%8."/>
      <w:lvlJc w:val="left"/>
      <w:pPr>
        <w:ind w:left="5760" w:hanging="360"/>
      </w:pPr>
    </w:lvl>
    <w:lvl w:ilvl="8" w:tplc="0CB490B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E34E9FC">
      <w:start w:val="1"/>
      <w:numFmt w:val="lowerRoman"/>
      <w:lvlText w:val="(%1)"/>
      <w:lvlJc w:val="left"/>
      <w:pPr>
        <w:ind w:left="1080" w:hanging="720"/>
      </w:pPr>
      <w:rPr>
        <w:rFonts w:hint="default"/>
      </w:rPr>
    </w:lvl>
    <w:lvl w:ilvl="1" w:tplc="2334C8F8" w:tentative="1">
      <w:start w:val="1"/>
      <w:numFmt w:val="lowerLetter"/>
      <w:lvlText w:val="%2."/>
      <w:lvlJc w:val="left"/>
      <w:pPr>
        <w:ind w:left="1440" w:hanging="360"/>
      </w:pPr>
    </w:lvl>
    <w:lvl w:ilvl="2" w:tplc="8FE0051C" w:tentative="1">
      <w:start w:val="1"/>
      <w:numFmt w:val="lowerRoman"/>
      <w:lvlText w:val="%3."/>
      <w:lvlJc w:val="right"/>
      <w:pPr>
        <w:ind w:left="2160" w:hanging="180"/>
      </w:pPr>
    </w:lvl>
    <w:lvl w:ilvl="3" w:tplc="487C2036" w:tentative="1">
      <w:start w:val="1"/>
      <w:numFmt w:val="decimal"/>
      <w:lvlText w:val="%4."/>
      <w:lvlJc w:val="left"/>
      <w:pPr>
        <w:ind w:left="2880" w:hanging="360"/>
      </w:pPr>
    </w:lvl>
    <w:lvl w:ilvl="4" w:tplc="111A8AF6" w:tentative="1">
      <w:start w:val="1"/>
      <w:numFmt w:val="lowerLetter"/>
      <w:lvlText w:val="%5."/>
      <w:lvlJc w:val="left"/>
      <w:pPr>
        <w:ind w:left="3600" w:hanging="360"/>
      </w:pPr>
    </w:lvl>
    <w:lvl w:ilvl="5" w:tplc="759A0CF0" w:tentative="1">
      <w:start w:val="1"/>
      <w:numFmt w:val="lowerRoman"/>
      <w:lvlText w:val="%6."/>
      <w:lvlJc w:val="right"/>
      <w:pPr>
        <w:ind w:left="4320" w:hanging="180"/>
      </w:pPr>
    </w:lvl>
    <w:lvl w:ilvl="6" w:tplc="D1040F64" w:tentative="1">
      <w:start w:val="1"/>
      <w:numFmt w:val="decimal"/>
      <w:lvlText w:val="%7."/>
      <w:lvlJc w:val="left"/>
      <w:pPr>
        <w:ind w:left="5040" w:hanging="360"/>
      </w:pPr>
    </w:lvl>
    <w:lvl w:ilvl="7" w:tplc="D63EBE12" w:tentative="1">
      <w:start w:val="1"/>
      <w:numFmt w:val="lowerLetter"/>
      <w:lvlText w:val="%8."/>
      <w:lvlJc w:val="left"/>
      <w:pPr>
        <w:ind w:left="5760" w:hanging="360"/>
      </w:pPr>
    </w:lvl>
    <w:lvl w:ilvl="8" w:tplc="7322698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6969151">
    <w:abstractNumId w:val="11"/>
  </w:num>
  <w:num w:numId="2" w16cid:durableId="1644504623">
    <w:abstractNumId w:val="4"/>
  </w:num>
  <w:num w:numId="3" w16cid:durableId="1055085566">
    <w:abstractNumId w:val="2"/>
  </w:num>
  <w:num w:numId="4" w16cid:durableId="659192303">
    <w:abstractNumId w:val="7"/>
  </w:num>
  <w:num w:numId="5" w16cid:durableId="1667591745">
    <w:abstractNumId w:val="6"/>
  </w:num>
  <w:num w:numId="6" w16cid:durableId="1201087128">
    <w:abstractNumId w:val="1"/>
  </w:num>
  <w:num w:numId="7" w16cid:durableId="655299758">
    <w:abstractNumId w:val="9"/>
  </w:num>
  <w:num w:numId="8" w16cid:durableId="1990816232">
    <w:abstractNumId w:val="5"/>
  </w:num>
  <w:num w:numId="9" w16cid:durableId="27485742">
    <w:abstractNumId w:val="8"/>
  </w:num>
  <w:num w:numId="10" w16cid:durableId="455757300">
    <w:abstractNumId w:val="3"/>
  </w:num>
  <w:num w:numId="11" w16cid:durableId="1789350527">
    <w:abstractNumId w:val="10"/>
  </w:num>
  <w:num w:numId="12" w16cid:durableId="1966618619">
    <w:abstractNumId w:val="0"/>
  </w:num>
  <w:num w:numId="13" w16cid:durableId="175116310">
    <w:abstractNumId w:val="11"/>
  </w:num>
  <w:num w:numId="14" w16cid:durableId="409083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BF0"/>
    <w:rsid w:val="001D7BF0"/>
    <w:rsid w:val="00200BFD"/>
    <w:rsid w:val="00237920"/>
    <w:rsid w:val="00376C9D"/>
    <w:rsid w:val="00540792"/>
    <w:rsid w:val="005B6DC6"/>
    <w:rsid w:val="005D0C62"/>
    <w:rsid w:val="005E0A8B"/>
    <w:rsid w:val="0063431C"/>
    <w:rsid w:val="00741F39"/>
    <w:rsid w:val="007E47D1"/>
    <w:rsid w:val="0089554B"/>
    <w:rsid w:val="00A456A6"/>
    <w:rsid w:val="00A77B2D"/>
    <w:rsid w:val="00AB0ACC"/>
    <w:rsid w:val="00AF09F5"/>
    <w:rsid w:val="00B07D3E"/>
    <w:rsid w:val="00B1713A"/>
    <w:rsid w:val="00B422CB"/>
    <w:rsid w:val="00B91B50"/>
    <w:rsid w:val="00D50E4C"/>
    <w:rsid w:val="00E069F5"/>
    <w:rsid w:val="00E71139"/>
    <w:rsid w:val="00F05F5C"/>
    <w:rsid w:val="00F236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C717F"/>
  <w15:docId w15:val="{54D1508F-AFCB-49DD-9652-171CB3E6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4B043D" w:rsidRDefault="004B043D"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B043D" w:rsidRDefault="004B043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B043D" w:rsidRDefault="004B043D" w:rsidP="00AF0AC5">
          <w:pPr>
            <w:pStyle w:val="D6903D02D7CB4A26959385EE7707C95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B043D" w:rsidRDefault="004B043D"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043D"/>
    <w:rsid w:val="004B04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2024-04-17T01:52:00Z</dcterms:created>
  <dcterms:modified xsi:type="dcterms:W3CDTF">2024-04-17T01:52:00Z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