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9553" w14:textId="021F36F1" w:rsidR="00C74695" w:rsidRDefault="0010753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A83A46F" wp14:editId="76C51763">
                <wp:simplePos x="0" y="0"/>
                <wp:positionH relativeFrom="column">
                  <wp:posOffset>-895350</wp:posOffset>
                </wp:positionH>
                <wp:positionV relativeFrom="paragraph">
                  <wp:posOffset>722630</wp:posOffset>
                </wp:positionV>
                <wp:extent cx="5686425" cy="1727200"/>
                <wp:effectExtent l="0" t="0" r="0" b="0"/>
                <wp:wrapSquare wrapText="bothSides"/>
                <wp:docPr id="347505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49358" w14:textId="77777777" w:rsidR="00C74695" w:rsidRDefault="00C7469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354DF7" w14:textId="77777777" w:rsidR="00C74695" w:rsidRPr="001E694D" w:rsidRDefault="00C7469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7FCE303" w14:textId="77777777" w:rsidR="00C74695" w:rsidRPr="001E694D" w:rsidRDefault="00C74695" w:rsidP="009504D0">
                            <w:pPr>
                              <w:pStyle w:val="ContactNumber"/>
                              <w:spacing w:after="600"/>
                              <w:rPr>
                                <w:rFonts w:ascii="Open Sans" w:hAnsi="Open Sans" w:cs="Open Sans"/>
                              </w:rPr>
                            </w:pPr>
                            <w:r w:rsidRPr="001E694D">
                              <w:rPr>
                                <w:rFonts w:ascii="Open Sans" w:hAnsi="Open Sans" w:cs="Open Sans"/>
                              </w:rPr>
                              <w:t>Agedcarequality.gov.au</w:t>
                            </w:r>
                          </w:p>
                          <w:p w14:paraId="2B9DB23F" w14:textId="77777777" w:rsidR="00C74695" w:rsidRDefault="00C746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83A46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2249358" w14:textId="77777777" w:rsidR="00C74695" w:rsidRDefault="00C7469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354DF7" w14:textId="77777777" w:rsidR="00C74695" w:rsidRPr="001E694D" w:rsidRDefault="00C7469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7FCE303" w14:textId="77777777" w:rsidR="00C74695" w:rsidRPr="001E694D" w:rsidRDefault="00C74695" w:rsidP="009504D0">
                      <w:pPr>
                        <w:pStyle w:val="ContactNumber"/>
                        <w:spacing w:after="600"/>
                        <w:rPr>
                          <w:rFonts w:ascii="Open Sans" w:hAnsi="Open Sans" w:cs="Open Sans"/>
                        </w:rPr>
                      </w:pPr>
                      <w:r w:rsidRPr="001E694D">
                        <w:rPr>
                          <w:rFonts w:ascii="Open Sans" w:hAnsi="Open Sans" w:cs="Open Sans"/>
                        </w:rPr>
                        <w:t>Agedcarequality.gov.au</w:t>
                      </w:r>
                    </w:p>
                    <w:p w14:paraId="2B9DB23F" w14:textId="77777777" w:rsidR="00C74695" w:rsidRDefault="00C74695"/>
                  </w:txbxContent>
                </v:textbox>
                <w10:wrap type="square"/>
              </v:shape>
            </w:pict>
          </mc:Fallback>
        </mc:AlternateContent>
      </w:r>
      <w:r w:rsidR="00C74695">
        <w:rPr>
          <w:noProof/>
        </w:rPr>
        <w:drawing>
          <wp:anchor distT="360045" distB="180340" distL="114300" distR="114300" simplePos="0" relativeHeight="251659264" behindDoc="1" locked="0" layoutInCell="1" allowOverlap="1" wp14:anchorId="07482C0A" wp14:editId="76CE3CD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DF35FFA" w14:textId="77777777" w:rsidR="00C74695" w:rsidRPr="001E694D" w:rsidRDefault="00C74695" w:rsidP="001E694D">
      <w:pPr>
        <w:tabs>
          <w:tab w:val="left" w:pos="4569"/>
        </w:tabs>
        <w:rPr>
          <w:rFonts w:ascii="Open Sans" w:hAnsi="Open Sans" w:cs="Open Sans"/>
          <w:color w:val="FFFFFF" w:themeColor="background1"/>
          <w:sz w:val="66"/>
          <w:szCs w:val="66"/>
        </w:rPr>
      </w:pPr>
    </w:p>
    <w:p w14:paraId="3CB5D6F5" w14:textId="77777777" w:rsidR="00C74695" w:rsidRDefault="00C74695" w:rsidP="00372ED2">
      <w:pPr>
        <w:spacing w:after="0"/>
        <w:rPr>
          <w:rFonts w:ascii="Open Sans" w:hAnsi="Open Sans" w:cs="Open Sans"/>
          <w:b/>
          <w:bCs/>
          <w:color w:val="FFFFFF" w:themeColor="background1"/>
          <w:sz w:val="66"/>
          <w:szCs w:val="66"/>
        </w:rPr>
      </w:pPr>
    </w:p>
    <w:p w14:paraId="27044661" w14:textId="77777777" w:rsidR="00C74695" w:rsidRDefault="00C74695" w:rsidP="00372ED2">
      <w:pPr>
        <w:spacing w:after="0"/>
        <w:rPr>
          <w:rFonts w:ascii="Open Sans" w:hAnsi="Open Sans" w:cs="Open Sans"/>
          <w:b/>
          <w:bCs/>
          <w:color w:val="FFFFFF" w:themeColor="background1"/>
          <w:sz w:val="66"/>
          <w:szCs w:val="66"/>
        </w:rPr>
      </w:pPr>
    </w:p>
    <w:p w14:paraId="6A0CB4C1" w14:textId="77777777" w:rsidR="00C74695" w:rsidRPr="00412FC5" w:rsidRDefault="00C7469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6755B3" w14:paraId="50928458" w14:textId="77777777" w:rsidTr="006755B3">
        <w:tc>
          <w:tcPr>
            <w:cnfStyle w:val="001000000000" w:firstRow="0" w:lastRow="0" w:firstColumn="1" w:lastColumn="0" w:oddVBand="0" w:evenVBand="0" w:oddHBand="0" w:evenHBand="0" w:firstRowFirstColumn="0" w:firstRowLastColumn="0" w:lastRowFirstColumn="0" w:lastRowLastColumn="0"/>
            <w:tcW w:w="3227" w:type="dxa"/>
          </w:tcPr>
          <w:p w14:paraId="047F2ED4" w14:textId="77777777" w:rsidR="00C74695" w:rsidRPr="001E694D" w:rsidRDefault="00C7469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E341EE9" w14:textId="77777777" w:rsidR="00C74695" w:rsidRPr="001E694D" w:rsidRDefault="00C7469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Forest Lake Lodge</w:t>
            </w:r>
          </w:p>
        </w:tc>
      </w:tr>
      <w:tr w:rsidR="006755B3" w14:paraId="43B3F8D0" w14:textId="77777777" w:rsidTr="0067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EC0A8C" w14:textId="77777777" w:rsidR="00C74695" w:rsidRPr="001E694D" w:rsidRDefault="00C7469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D5D69E3" w14:textId="77777777" w:rsidR="00C74695" w:rsidRPr="001E694D" w:rsidRDefault="00C7469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5339</w:t>
            </w:r>
          </w:p>
        </w:tc>
      </w:tr>
      <w:tr w:rsidR="006755B3" w14:paraId="5ED45FBC" w14:textId="77777777" w:rsidTr="006755B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A5D2B1C" w14:textId="77777777" w:rsidR="00C74695" w:rsidRPr="001E694D" w:rsidRDefault="00C7469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34BD26D" w14:textId="77777777" w:rsidR="00C74695" w:rsidRPr="001E694D" w:rsidRDefault="00C746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 Tewantin</w:t>
            </w:r>
            <w:r w:rsidRPr="001E694D">
              <w:rPr>
                <w:rFonts w:ascii="Open Sans" w:eastAsia="Times New Roman" w:hAnsi="Open Sans" w:cs="Open Sans"/>
                <w:lang w:eastAsia="en-AU"/>
              </w:rPr>
              <w:t xml:space="preserve"> Way, Forest Lake, Queensland, 4078</w:t>
            </w:r>
          </w:p>
        </w:tc>
      </w:tr>
      <w:tr w:rsidR="006755B3" w14:paraId="1B43A53E" w14:textId="77777777" w:rsidTr="0067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699BB9" w14:textId="77777777" w:rsidR="00C74695" w:rsidRPr="001E694D" w:rsidRDefault="00C7469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287B551" w14:textId="77777777" w:rsidR="00C74695" w:rsidRPr="001E694D" w:rsidRDefault="00C7469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6755B3" w14:paraId="7FA06F33" w14:textId="77777777" w:rsidTr="006755B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26F393" w14:textId="77777777" w:rsidR="00C74695" w:rsidRPr="001E694D" w:rsidRDefault="00C7469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A5AFCC9" w14:textId="77777777" w:rsidR="00C74695" w:rsidRPr="001E694D" w:rsidRDefault="00C746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July 2025 to 31 July 2025</w:t>
            </w:r>
          </w:p>
        </w:tc>
      </w:tr>
      <w:tr w:rsidR="006755B3" w14:paraId="544C092B" w14:textId="77777777" w:rsidTr="00675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D702F8" w14:textId="77777777" w:rsidR="00C74695" w:rsidRPr="001E694D" w:rsidRDefault="00C7469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44071489"/>
            <w:placeholder>
              <w:docPart w:val="DefaultPlaceholder_-1854013437"/>
            </w:placeholder>
            <w:date w:fullDate="2025-09-05T00:00:00Z">
              <w:dateFormat w:val="d MMMM yyyy"/>
              <w:lid w:val="en-AU"/>
              <w:storeMappedDataAs w:val="dateTime"/>
              <w:calendar w:val="gregorian"/>
            </w:date>
          </w:sdtPr>
          <w:sdtEndPr/>
          <w:sdtContent>
            <w:tc>
              <w:tcPr>
                <w:tcW w:w="7114" w:type="dxa"/>
                <w:shd w:val="clear" w:color="auto" w:fill="FFFFFF" w:themeFill="background1"/>
              </w:tcPr>
              <w:p w14:paraId="7B99BF47" w14:textId="77AF5499" w:rsidR="00C74695" w:rsidRPr="001E694D" w:rsidRDefault="00E10E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September 2025</w:t>
                </w:r>
              </w:p>
            </w:tc>
          </w:sdtContent>
        </w:sdt>
      </w:tr>
      <w:tr w:rsidR="006755B3" w14:paraId="10CF0396" w14:textId="77777777" w:rsidTr="006755B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089290" w14:textId="77777777" w:rsidR="00C74695" w:rsidRPr="001E694D" w:rsidRDefault="00C7469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7EB4CEB" w14:textId="77777777" w:rsidR="00C74695" w:rsidRPr="001E694D" w:rsidRDefault="00C746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589 Lollies Management Pty Ltd </w:t>
            </w:r>
          </w:p>
          <w:p w14:paraId="78F2AC75" w14:textId="77777777" w:rsidR="00C74695" w:rsidRPr="001E694D" w:rsidRDefault="00C7469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3693 Forest Lake Lodge</w:t>
            </w:r>
          </w:p>
        </w:tc>
      </w:tr>
    </w:tbl>
    <w:bookmarkEnd w:id="0"/>
    <w:p w14:paraId="70C9475D" w14:textId="7EE17EB6" w:rsidR="00C74695" w:rsidRPr="001E694D" w:rsidRDefault="00C74695" w:rsidP="006B5B9B">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p>
    <w:p w14:paraId="326C8E7D" w14:textId="77777777" w:rsidR="00E67061" w:rsidRDefault="00E67061">
      <w:pPr>
        <w:spacing w:after="160" w:line="259" w:lineRule="auto"/>
        <w:rPr>
          <w:rFonts w:ascii="Open Sans" w:eastAsia="Yu Gothic Light" w:hAnsi="Open Sans" w:cs="Open Sans"/>
          <w:b/>
          <w:bCs/>
          <w:color w:val="781E77"/>
          <w:sz w:val="30"/>
          <w:szCs w:val="28"/>
        </w:rPr>
      </w:pPr>
      <w:r>
        <w:rPr>
          <w:rFonts w:ascii="Open Sans" w:eastAsia="Yu Gothic Light" w:hAnsi="Open Sans" w:cs="Open Sans"/>
          <w:b/>
          <w:bCs/>
          <w:color w:val="781E77"/>
          <w:sz w:val="30"/>
          <w:szCs w:val="28"/>
        </w:rPr>
        <w:br w:type="page"/>
      </w:r>
    </w:p>
    <w:p w14:paraId="74C3ABA0" w14:textId="69C7D613" w:rsidR="00C74695" w:rsidRPr="003E162B" w:rsidRDefault="00C7469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19C083F" w14:textId="55EA0562" w:rsidR="00C74695" w:rsidRPr="001E694D" w:rsidRDefault="00C74695" w:rsidP="006B5B9B">
      <w:pPr>
        <w:pStyle w:val="NormalArial"/>
        <w:spacing w:before="120" w:line="276" w:lineRule="auto"/>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Forest Lake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E10EC1">
        <w:rPr>
          <w:rFonts w:ascii="Open Sans" w:hAnsi="Open Sans" w:cs="Open Sans"/>
        </w:rPr>
        <w:t>Ben Johnston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9F51AC0" w14:textId="77777777" w:rsidR="00C74695" w:rsidRPr="001E694D" w:rsidRDefault="00C74695" w:rsidP="006B5B9B">
      <w:pPr>
        <w:pStyle w:val="NormalArial"/>
        <w:spacing w:before="120" w:line="276" w:lineRule="auto"/>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B1004A1" w14:textId="77777777" w:rsidR="00C74695" w:rsidRPr="001E694D" w:rsidRDefault="00C74695" w:rsidP="006B5B9B">
      <w:pPr>
        <w:pStyle w:val="NormalArial"/>
        <w:spacing w:before="120" w:line="276" w:lineRule="auto"/>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08E55E6" w14:textId="77777777" w:rsidR="00C74695" w:rsidRPr="003E162B" w:rsidRDefault="00C74695" w:rsidP="006B5B9B">
      <w:pPr>
        <w:pStyle w:val="Heading1"/>
        <w:spacing w:before="120" w:after="120" w:line="276" w:lineRule="auto"/>
        <w:rPr>
          <w:rFonts w:ascii="Open Sans" w:hAnsi="Open Sans" w:cs="Open Sans"/>
          <w:color w:val="781E77"/>
        </w:rPr>
      </w:pPr>
      <w:r w:rsidRPr="003E162B">
        <w:rPr>
          <w:rFonts w:ascii="Open Sans" w:hAnsi="Open Sans" w:cs="Open Sans"/>
          <w:color w:val="781E77"/>
        </w:rPr>
        <w:t>Material relied on</w:t>
      </w:r>
    </w:p>
    <w:p w14:paraId="47551670" w14:textId="274D5C23" w:rsidR="003451A2" w:rsidRPr="00A24A19" w:rsidRDefault="00C74695" w:rsidP="006B5B9B">
      <w:pPr>
        <w:pStyle w:val="NormalArial"/>
        <w:spacing w:before="120" w:line="276" w:lineRule="auto"/>
        <w:rPr>
          <w:rFonts w:ascii="Open Sans" w:hAnsi="Open Sans" w:cs="Open Sans"/>
        </w:rPr>
      </w:pPr>
      <w:r w:rsidRPr="001E694D">
        <w:rPr>
          <w:rFonts w:ascii="Open Sans" w:hAnsi="Open Sans" w:cs="Open Sans"/>
        </w:rPr>
        <w:t>The following information has been considered in preparing the performance report:</w:t>
      </w:r>
    </w:p>
    <w:p w14:paraId="094822CD" w14:textId="113318A2" w:rsidR="00AD0B88" w:rsidRPr="00AD0B88" w:rsidRDefault="00AD0B88" w:rsidP="006B5B9B">
      <w:pPr>
        <w:pStyle w:val="ListParagraph"/>
        <w:numPr>
          <w:ilvl w:val="0"/>
          <w:numId w:val="2"/>
        </w:numPr>
        <w:spacing w:before="120" w:line="276" w:lineRule="auto"/>
        <w:ind w:left="357" w:hanging="357"/>
        <w:contextualSpacing w:val="0"/>
        <w:rPr>
          <w:rFonts w:ascii="Open Sans" w:hAnsi="Open Sans" w:cs="Open Sans"/>
        </w:rPr>
      </w:pPr>
      <w:r>
        <w:rPr>
          <w:rFonts w:ascii="Open Sans" w:hAnsi="Open Sans" w:cs="Open Sans"/>
        </w:rPr>
        <w:t xml:space="preserve">The </w:t>
      </w:r>
      <w:r w:rsidRPr="00AD0B88">
        <w:rPr>
          <w:rFonts w:ascii="Open Sans" w:hAnsi="Open Sans" w:cs="Open Sans"/>
        </w:rPr>
        <w:t>Assessment Team’s report for the assessment contact (performance assessment</w:t>
      </w:r>
      <w:r w:rsidR="00A24A19">
        <w:rPr>
          <w:rFonts w:ascii="Open Sans" w:hAnsi="Open Sans" w:cs="Open Sans"/>
        </w:rPr>
        <w:t>s and monitoring assessment</w:t>
      </w:r>
      <w:r w:rsidR="00D81A09">
        <w:rPr>
          <w:rFonts w:ascii="Open Sans" w:hAnsi="Open Sans" w:cs="Open Sans"/>
        </w:rPr>
        <w:t>s</w:t>
      </w:r>
      <w:r w:rsidRPr="00AD0B88">
        <w:rPr>
          <w:rFonts w:ascii="Open Sans" w:hAnsi="Open Sans" w:cs="Open Sans"/>
        </w:rPr>
        <w:t>) – site, which was informed by a site assessment, observations at the service, review of documents and interviews with consumers, representatives, staff, management, and others; and</w:t>
      </w:r>
    </w:p>
    <w:p w14:paraId="689A3BF7" w14:textId="294662FF" w:rsidR="00C74695" w:rsidRPr="006B5B9B" w:rsidRDefault="00AD0B88" w:rsidP="006B5B9B">
      <w:pPr>
        <w:pStyle w:val="ListParagraph"/>
        <w:numPr>
          <w:ilvl w:val="0"/>
          <w:numId w:val="2"/>
        </w:numPr>
        <w:spacing w:before="120" w:line="276" w:lineRule="auto"/>
        <w:ind w:left="357" w:hanging="357"/>
        <w:contextualSpacing w:val="0"/>
        <w:rPr>
          <w:rFonts w:ascii="Open Sans" w:hAnsi="Open Sans" w:cs="Open Sans"/>
        </w:rPr>
      </w:pPr>
      <w:r w:rsidRPr="006B5B9B">
        <w:rPr>
          <w:rFonts w:ascii="Open Sans" w:hAnsi="Open Sans" w:cs="Open Sans"/>
        </w:rPr>
        <w:t xml:space="preserve">The provider’s response to the Assessment Team’s report received </w:t>
      </w:r>
      <w:r w:rsidR="0049240F" w:rsidRPr="006B5B9B">
        <w:rPr>
          <w:rFonts w:ascii="Open Sans" w:hAnsi="Open Sans" w:cs="Open Sans"/>
        </w:rPr>
        <w:t>26</w:t>
      </w:r>
      <w:r w:rsidRPr="006B5B9B">
        <w:rPr>
          <w:rFonts w:ascii="Open Sans" w:hAnsi="Open Sans" w:cs="Open Sans"/>
        </w:rPr>
        <w:t xml:space="preserve"> </w:t>
      </w:r>
      <w:r w:rsidR="0049240F" w:rsidRPr="006B5B9B">
        <w:rPr>
          <w:rFonts w:ascii="Open Sans" w:hAnsi="Open Sans" w:cs="Open Sans"/>
        </w:rPr>
        <w:t>August</w:t>
      </w:r>
      <w:r w:rsidRPr="006B5B9B">
        <w:rPr>
          <w:rFonts w:ascii="Open Sans" w:hAnsi="Open Sans" w:cs="Open Sans"/>
        </w:rPr>
        <w:t xml:space="preserve"> 2025 which includes commentary and supporting information relating to deficits identified in the Assessment Team’s report, as well as a plan for continuous improvement</w:t>
      </w:r>
      <w:r w:rsidR="0077295E" w:rsidRPr="006B5B9B">
        <w:rPr>
          <w:rFonts w:ascii="Open Sans" w:hAnsi="Open Sans" w:cs="Open Sans"/>
        </w:rPr>
        <w:t xml:space="preserve">. </w:t>
      </w:r>
      <w:r w:rsidR="00C74695" w:rsidRPr="006B5B9B">
        <w:rPr>
          <w:rFonts w:ascii="Open Sans" w:hAnsi="Open Sans" w:cs="Open Sans"/>
        </w:rPr>
        <w:br w:type="page"/>
      </w:r>
    </w:p>
    <w:p w14:paraId="7FFB5B40" w14:textId="77777777" w:rsidR="00C74695" w:rsidRPr="003E162B" w:rsidRDefault="00C7469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755B3" w14:paraId="4292EF84" w14:textId="77777777" w:rsidTr="006755B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3E4800" w14:textId="77777777" w:rsidR="00C74695" w:rsidRPr="001E694D" w:rsidRDefault="00C74695"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0F0D96">
              <w:rPr>
                <w:rFonts w:ascii="Open Sans" w:hAnsi="Open Sans" w:cs="Open Sans"/>
                <w:b w:val="0"/>
                <w:bCs/>
              </w:rPr>
              <w:t>Ongoing assessment and planning with consumers</w:t>
            </w:r>
          </w:p>
        </w:tc>
        <w:tc>
          <w:tcPr>
            <w:tcW w:w="1060" w:type="pct"/>
            <w:shd w:val="clear" w:color="auto" w:fill="auto"/>
          </w:tcPr>
          <w:p w14:paraId="775CEA3C" w14:textId="6DBCC5B8" w:rsidR="00C74695" w:rsidRPr="001E694D" w:rsidRDefault="001327C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53093675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8710C" w:rsidRPr="000F0D96">
                  <w:rPr>
                    <w:rFonts w:ascii="Open Sans" w:hAnsi="Open Sans" w:cs="Open Sans"/>
                  </w:rPr>
                  <w:t>Not Compliant</w:t>
                </w:r>
              </w:sdtContent>
            </w:sdt>
          </w:p>
        </w:tc>
      </w:tr>
      <w:tr w:rsidR="006755B3" w14:paraId="13BDB8E3" w14:textId="77777777" w:rsidTr="006755B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FB6E33" w14:textId="77777777" w:rsidR="00C74695" w:rsidRPr="001E694D" w:rsidRDefault="00C7469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DBF6CCC" w14:textId="77270585" w:rsidR="00C74695" w:rsidRPr="001E694D" w:rsidRDefault="001327C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158104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8710C">
                  <w:rPr>
                    <w:rFonts w:ascii="Open Sans" w:hAnsi="Open Sans" w:cs="Open Sans"/>
                    <w:b/>
                    <w:bCs/>
                  </w:rPr>
                  <w:t>Not Compliant</w:t>
                </w:r>
              </w:sdtContent>
            </w:sdt>
          </w:p>
        </w:tc>
      </w:tr>
    </w:tbl>
    <w:p w14:paraId="5E052157" w14:textId="77777777" w:rsidR="00C74695" w:rsidRPr="001E694D" w:rsidRDefault="00C74695" w:rsidP="006B5B9B">
      <w:pPr>
        <w:spacing w:before="12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05DCF940" w14:textId="77777777" w:rsidR="00C74695" w:rsidRPr="003E162B" w:rsidRDefault="00C74695" w:rsidP="006B5B9B">
      <w:pPr>
        <w:pStyle w:val="Heading1"/>
        <w:spacing w:before="120" w:after="120" w:line="276" w:lineRule="auto"/>
        <w:rPr>
          <w:rFonts w:ascii="Open Sans" w:hAnsi="Open Sans" w:cs="Open Sans"/>
          <w:color w:val="781E77"/>
        </w:rPr>
      </w:pPr>
      <w:r w:rsidRPr="003E162B">
        <w:rPr>
          <w:rFonts w:ascii="Open Sans" w:hAnsi="Open Sans" w:cs="Open Sans"/>
          <w:color w:val="781E77"/>
        </w:rPr>
        <w:t>Areas for improvement</w:t>
      </w:r>
    </w:p>
    <w:p w14:paraId="512BE0E8" w14:textId="77777777" w:rsidR="00C74695" w:rsidRDefault="00C74695" w:rsidP="006B5B9B">
      <w:pPr>
        <w:pStyle w:val="NormalArial"/>
        <w:spacing w:before="120" w:line="276" w:lineRule="auto"/>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75D7BE5" w14:textId="77777777" w:rsidR="00935EE4" w:rsidRPr="00935EE4" w:rsidRDefault="00935EE4" w:rsidP="006B5B9B">
      <w:pPr>
        <w:pStyle w:val="NormalArial"/>
        <w:spacing w:before="120" w:line="276" w:lineRule="auto"/>
        <w:rPr>
          <w:rFonts w:ascii="Open Sans" w:hAnsi="Open Sans" w:cs="Open Sans"/>
          <w:b/>
          <w:bCs/>
        </w:rPr>
      </w:pPr>
      <w:r w:rsidRPr="00935EE4">
        <w:rPr>
          <w:rFonts w:ascii="Open Sans" w:hAnsi="Open Sans" w:cs="Open Sans"/>
          <w:b/>
          <w:bCs/>
        </w:rPr>
        <w:t>Standard 2 requirement 2(3)(a)</w:t>
      </w:r>
    </w:p>
    <w:p w14:paraId="3866DEFA" w14:textId="77777777" w:rsidR="00935EE4" w:rsidRPr="00935EE4" w:rsidRDefault="00935EE4" w:rsidP="006B5B9B">
      <w:pPr>
        <w:pStyle w:val="NormalArial"/>
        <w:spacing w:before="120" w:line="276" w:lineRule="auto"/>
        <w:rPr>
          <w:rFonts w:ascii="Open Sans" w:hAnsi="Open Sans" w:cs="Open Sans"/>
        </w:rPr>
      </w:pPr>
      <w:r w:rsidRPr="00935EE4">
        <w:rPr>
          <w:rFonts w:ascii="Open Sans" w:hAnsi="Open Sans" w:cs="Open Sans"/>
        </w:rPr>
        <w:t>The provider ensures:</w:t>
      </w:r>
    </w:p>
    <w:p w14:paraId="4FACF1F0" w14:textId="20E4B33C" w:rsidR="00935EE4" w:rsidRPr="00964196" w:rsidRDefault="00935EE4" w:rsidP="006B5B9B">
      <w:pPr>
        <w:pStyle w:val="NormalArial"/>
        <w:numPr>
          <w:ilvl w:val="0"/>
          <w:numId w:val="15"/>
        </w:numPr>
        <w:spacing w:before="120" w:line="276" w:lineRule="auto"/>
        <w:rPr>
          <w:rFonts w:ascii="Open Sans" w:hAnsi="Open Sans" w:cs="Open Sans"/>
        </w:rPr>
      </w:pPr>
      <w:r w:rsidRPr="00935EE4">
        <w:rPr>
          <w:rFonts w:ascii="Open Sans" w:hAnsi="Open Sans" w:cs="Open Sans"/>
        </w:rPr>
        <w:t>assessments are undertaken to identify risks to consumers’ health and wellbeing; and</w:t>
      </w:r>
      <w:r w:rsidR="00964196">
        <w:rPr>
          <w:rFonts w:ascii="Open Sans" w:hAnsi="Open Sans" w:cs="Open Sans"/>
        </w:rPr>
        <w:t xml:space="preserve"> </w:t>
      </w:r>
      <w:r w:rsidRPr="00935EE4">
        <w:rPr>
          <w:rFonts w:ascii="Open Sans" w:hAnsi="Open Sans" w:cs="Open Sans"/>
        </w:rPr>
        <w:t>information gathered through assessments is used to develop appropriate management strategies, in line with consumers’ current care needs and preferences, to enable staff to provide safe, quality care and services.</w:t>
      </w:r>
    </w:p>
    <w:p w14:paraId="3BE09025" w14:textId="173DE222" w:rsidR="00935EE4" w:rsidRPr="00935EE4" w:rsidRDefault="00935EE4" w:rsidP="006B5B9B">
      <w:pPr>
        <w:pStyle w:val="ListBullet"/>
        <w:numPr>
          <w:ilvl w:val="0"/>
          <w:numId w:val="0"/>
        </w:numPr>
        <w:spacing w:before="120" w:after="120" w:line="276" w:lineRule="auto"/>
        <w:rPr>
          <w:rFonts w:ascii="Open Sans" w:hAnsi="Open Sans" w:cs="Open Sans"/>
          <w:b/>
          <w:bCs/>
        </w:rPr>
      </w:pPr>
      <w:r w:rsidRPr="00935EE4">
        <w:rPr>
          <w:rFonts w:ascii="Open Sans" w:hAnsi="Open Sans" w:cs="Open Sans"/>
          <w:b/>
          <w:bCs/>
        </w:rPr>
        <w:t>Standard 2 requirement 2(3)(</w:t>
      </w:r>
      <w:r w:rsidR="00111932">
        <w:rPr>
          <w:rFonts w:ascii="Open Sans" w:hAnsi="Open Sans" w:cs="Open Sans"/>
          <w:b/>
          <w:bCs/>
        </w:rPr>
        <w:t>e</w:t>
      </w:r>
      <w:r w:rsidRPr="00935EE4">
        <w:rPr>
          <w:rFonts w:ascii="Open Sans" w:hAnsi="Open Sans" w:cs="Open Sans"/>
          <w:b/>
          <w:bCs/>
        </w:rPr>
        <w:t>)</w:t>
      </w:r>
    </w:p>
    <w:p w14:paraId="3106A15A" w14:textId="77777777" w:rsidR="00935EE4" w:rsidRDefault="00935EE4" w:rsidP="006B5B9B">
      <w:pPr>
        <w:pStyle w:val="ListBullet"/>
        <w:numPr>
          <w:ilvl w:val="0"/>
          <w:numId w:val="0"/>
        </w:numPr>
        <w:spacing w:before="120" w:after="120" w:line="276" w:lineRule="auto"/>
        <w:ind w:left="360" w:hanging="360"/>
        <w:rPr>
          <w:rFonts w:ascii="Open Sans" w:hAnsi="Open Sans" w:cs="Open Sans"/>
        </w:rPr>
      </w:pPr>
      <w:r w:rsidRPr="00935EE4">
        <w:rPr>
          <w:rFonts w:ascii="Open Sans" w:hAnsi="Open Sans" w:cs="Open Sans"/>
        </w:rPr>
        <w:t>The provider ensures:</w:t>
      </w:r>
    </w:p>
    <w:p w14:paraId="320181A3" w14:textId="65FA891B" w:rsidR="002B0865" w:rsidRPr="00763727" w:rsidRDefault="00AE552E" w:rsidP="006B5B9B">
      <w:pPr>
        <w:pStyle w:val="NormalArial"/>
        <w:numPr>
          <w:ilvl w:val="0"/>
          <w:numId w:val="15"/>
        </w:numPr>
        <w:spacing w:before="120" w:line="276" w:lineRule="auto"/>
        <w:rPr>
          <w:rFonts w:ascii="Open Sans" w:hAnsi="Open Sans" w:cs="Open Sans"/>
        </w:rPr>
      </w:pPr>
      <w:r>
        <w:rPr>
          <w:rFonts w:ascii="Open Sans" w:hAnsi="Open Sans" w:cs="Open Sans"/>
        </w:rPr>
        <w:t>Consumer’s c</w:t>
      </w:r>
      <w:r w:rsidR="007643FE">
        <w:rPr>
          <w:rFonts w:ascii="Open Sans" w:hAnsi="Open Sans" w:cs="Open Sans"/>
        </w:rPr>
        <w:t>are and services are reviewed regula</w:t>
      </w:r>
      <w:r w:rsidR="00D73A4B">
        <w:rPr>
          <w:rFonts w:ascii="Open Sans" w:hAnsi="Open Sans" w:cs="Open Sans"/>
        </w:rPr>
        <w:t>rly for effectiveness</w:t>
      </w:r>
      <w:r w:rsidR="00763727">
        <w:rPr>
          <w:rFonts w:ascii="Open Sans" w:hAnsi="Open Sans" w:cs="Open Sans"/>
        </w:rPr>
        <w:t xml:space="preserve"> and when </w:t>
      </w:r>
      <w:r w:rsidR="005E2F68" w:rsidRPr="00763727">
        <w:rPr>
          <w:rFonts w:ascii="Open Sans" w:hAnsi="Open Sans" w:cs="Open Sans"/>
        </w:rPr>
        <w:t>circumstances change</w:t>
      </w:r>
      <w:r w:rsidR="00B00224" w:rsidRPr="00763727">
        <w:rPr>
          <w:rFonts w:ascii="Open Sans" w:hAnsi="Open Sans" w:cs="Open Sans"/>
        </w:rPr>
        <w:t xml:space="preserve"> or when incidents impact on the needs, goals or </w:t>
      </w:r>
      <w:r w:rsidR="00C71A64" w:rsidRPr="00763727">
        <w:rPr>
          <w:rFonts w:ascii="Open Sans" w:hAnsi="Open Sans" w:cs="Open Sans"/>
        </w:rPr>
        <w:t>preferences</w:t>
      </w:r>
      <w:r w:rsidR="00B00224" w:rsidRPr="00763727">
        <w:rPr>
          <w:rFonts w:ascii="Open Sans" w:hAnsi="Open Sans" w:cs="Open Sans"/>
        </w:rPr>
        <w:t xml:space="preserve"> </w:t>
      </w:r>
      <w:r w:rsidR="00C71A64" w:rsidRPr="00763727">
        <w:rPr>
          <w:rFonts w:ascii="Open Sans" w:hAnsi="Open Sans" w:cs="Open Sans"/>
        </w:rPr>
        <w:t>of the consumer</w:t>
      </w:r>
      <w:r w:rsidR="006312AB">
        <w:rPr>
          <w:rFonts w:ascii="Open Sans" w:hAnsi="Open Sans" w:cs="Open Sans"/>
        </w:rPr>
        <w:t>.</w:t>
      </w:r>
    </w:p>
    <w:p w14:paraId="38CA6B24" w14:textId="74367A56" w:rsidR="00935EE4" w:rsidRPr="00935EE4" w:rsidRDefault="00935EE4" w:rsidP="006B5B9B">
      <w:pPr>
        <w:pStyle w:val="NormalArial"/>
        <w:spacing w:before="120" w:line="276" w:lineRule="auto"/>
        <w:rPr>
          <w:rFonts w:ascii="Open Sans" w:hAnsi="Open Sans" w:cs="Open Sans"/>
          <w:b/>
          <w:bCs/>
        </w:rPr>
      </w:pPr>
      <w:r w:rsidRPr="00935EE4">
        <w:rPr>
          <w:rFonts w:ascii="Open Sans" w:hAnsi="Open Sans" w:cs="Open Sans"/>
          <w:b/>
          <w:bCs/>
        </w:rPr>
        <w:t xml:space="preserve">Standard 3 requirements 3(3)(a) </w:t>
      </w:r>
    </w:p>
    <w:p w14:paraId="487D0D95" w14:textId="77777777" w:rsidR="00935EE4" w:rsidRPr="00935EE4" w:rsidRDefault="00935EE4" w:rsidP="006B5B9B">
      <w:pPr>
        <w:pStyle w:val="NormalArial"/>
        <w:spacing w:before="120" w:line="276" w:lineRule="auto"/>
        <w:rPr>
          <w:rFonts w:ascii="Open Sans" w:hAnsi="Open Sans" w:cs="Open Sans"/>
        </w:rPr>
      </w:pPr>
      <w:r w:rsidRPr="00935EE4">
        <w:rPr>
          <w:rFonts w:ascii="Open Sans" w:hAnsi="Open Sans" w:cs="Open Sans"/>
        </w:rPr>
        <w:t>The provider ensures:</w:t>
      </w:r>
    </w:p>
    <w:p w14:paraId="007EEE3D" w14:textId="77777777" w:rsidR="00935EE4" w:rsidRPr="00935EE4" w:rsidRDefault="00935EE4" w:rsidP="006B5B9B">
      <w:pPr>
        <w:pStyle w:val="NormalArial"/>
        <w:numPr>
          <w:ilvl w:val="0"/>
          <w:numId w:val="15"/>
        </w:numPr>
        <w:spacing w:before="120" w:line="276" w:lineRule="auto"/>
        <w:rPr>
          <w:rFonts w:ascii="Open Sans" w:hAnsi="Open Sans" w:cs="Open Sans"/>
        </w:rPr>
      </w:pPr>
      <w:r w:rsidRPr="00935EE4">
        <w:rPr>
          <w:rFonts w:ascii="Open Sans" w:hAnsi="Open Sans" w:cs="Open Sans"/>
        </w:rPr>
        <w:t xml:space="preserve">consumers are provided best practice, tailored clinical care which optimises their health and wellbeing and is in line with their assessed needs and preferences, including, but not limited to, monitoring of blood pressure, blood glucose levels and fluid intake; behaviour support; and chemical restrictive practices; and    </w:t>
      </w:r>
    </w:p>
    <w:p w14:paraId="7BAE9D9C" w14:textId="3038BC15" w:rsidR="003061E3" w:rsidRDefault="003061E3" w:rsidP="006B5B9B">
      <w:pPr>
        <w:pStyle w:val="NormalArial"/>
        <w:spacing w:before="120" w:line="276" w:lineRule="auto"/>
        <w:rPr>
          <w:rFonts w:ascii="Open Sans" w:hAnsi="Open Sans" w:cs="Open Sans"/>
        </w:rPr>
      </w:pPr>
    </w:p>
    <w:p w14:paraId="7F305749" w14:textId="29068D87" w:rsidR="00490E22" w:rsidRDefault="00490E22" w:rsidP="006B5B9B">
      <w:pPr>
        <w:pStyle w:val="NormalArial"/>
        <w:spacing w:before="120" w:line="276" w:lineRule="auto"/>
        <w:rPr>
          <w:rFonts w:ascii="Open Sans" w:hAnsi="Open Sans" w:cs="Open Sans"/>
          <w:b/>
          <w:bCs/>
        </w:rPr>
      </w:pPr>
      <w:r w:rsidRPr="00935EE4">
        <w:rPr>
          <w:rFonts w:ascii="Open Sans" w:hAnsi="Open Sans" w:cs="Open Sans"/>
          <w:b/>
          <w:bCs/>
        </w:rPr>
        <w:lastRenderedPageBreak/>
        <w:t>Standard 3 requirements</w:t>
      </w:r>
      <w:r>
        <w:rPr>
          <w:rFonts w:ascii="Open Sans" w:hAnsi="Open Sans" w:cs="Open Sans"/>
          <w:b/>
          <w:bCs/>
        </w:rPr>
        <w:t xml:space="preserve"> </w:t>
      </w:r>
      <w:r w:rsidRPr="00935EE4">
        <w:rPr>
          <w:rFonts w:ascii="Open Sans" w:hAnsi="Open Sans" w:cs="Open Sans"/>
          <w:b/>
          <w:bCs/>
        </w:rPr>
        <w:t>3(3)(</w:t>
      </w:r>
      <w:r>
        <w:rPr>
          <w:rFonts w:ascii="Open Sans" w:hAnsi="Open Sans" w:cs="Open Sans"/>
          <w:b/>
          <w:bCs/>
        </w:rPr>
        <w:t>e</w:t>
      </w:r>
      <w:r w:rsidRPr="00935EE4">
        <w:rPr>
          <w:rFonts w:ascii="Open Sans" w:hAnsi="Open Sans" w:cs="Open Sans"/>
          <w:b/>
          <w:bCs/>
        </w:rPr>
        <w:t>)</w:t>
      </w:r>
    </w:p>
    <w:p w14:paraId="31983BE6" w14:textId="77777777" w:rsidR="00490E22" w:rsidRDefault="00490E22" w:rsidP="006B5B9B">
      <w:pPr>
        <w:pStyle w:val="ListBullet"/>
        <w:numPr>
          <w:ilvl w:val="0"/>
          <w:numId w:val="0"/>
        </w:numPr>
        <w:spacing w:before="120" w:after="120" w:line="276" w:lineRule="auto"/>
        <w:ind w:left="360" w:hanging="360"/>
        <w:rPr>
          <w:rFonts w:ascii="Open Sans" w:hAnsi="Open Sans" w:cs="Open Sans"/>
        </w:rPr>
      </w:pPr>
      <w:r w:rsidRPr="00935EE4">
        <w:rPr>
          <w:rFonts w:ascii="Open Sans" w:hAnsi="Open Sans" w:cs="Open Sans"/>
        </w:rPr>
        <w:t>The provider ensures:</w:t>
      </w:r>
    </w:p>
    <w:p w14:paraId="1D20F785" w14:textId="29E487F6" w:rsidR="00490E22" w:rsidRPr="00490E22" w:rsidRDefault="00490E22" w:rsidP="006B5B9B">
      <w:pPr>
        <w:pStyle w:val="NormalArial"/>
        <w:numPr>
          <w:ilvl w:val="0"/>
          <w:numId w:val="15"/>
        </w:numPr>
        <w:spacing w:before="120" w:line="276" w:lineRule="auto"/>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r w:rsidR="00D875F9">
        <w:rPr>
          <w:rFonts w:ascii="Open Sans" w:hAnsi="Open Sans" w:cs="Open Sans"/>
        </w:rPr>
        <w:t>.</w:t>
      </w:r>
    </w:p>
    <w:p w14:paraId="4BD00681" w14:textId="732B222D" w:rsidR="00C74695" w:rsidRPr="001E694D" w:rsidRDefault="00C74695" w:rsidP="006B5B9B">
      <w:pPr>
        <w:pStyle w:val="Heading1"/>
        <w:spacing w:before="120" w:after="120" w:line="276" w:lineRule="auto"/>
        <w:rPr>
          <w:rFonts w:ascii="Open Sans" w:hAnsi="Open Sans" w:cs="Open Sans"/>
        </w:rPr>
      </w:pPr>
      <w:r w:rsidRPr="003E162B">
        <w:rPr>
          <w:rFonts w:ascii="Open Sans" w:hAnsi="Open Sans" w:cs="Open Sans"/>
          <w:color w:val="781E77"/>
        </w:rPr>
        <w:t xml:space="preserve">Other relevant matters: </w:t>
      </w:r>
    </w:p>
    <w:p w14:paraId="06965A4F" w14:textId="23EA2E10" w:rsidR="00C74695" w:rsidRPr="001E694D" w:rsidRDefault="001327C4" w:rsidP="006B5B9B">
      <w:pPr>
        <w:pStyle w:val="NormalArial"/>
        <w:spacing w:before="120" w:line="276" w:lineRule="auto"/>
        <w:rPr>
          <w:rFonts w:ascii="Open Sans" w:hAnsi="Open Sans" w:cs="Open Sans"/>
        </w:rPr>
      </w:pPr>
      <w:sdt>
        <w:sdtPr>
          <w:rPr>
            <w:rFonts w:ascii="Open Sans" w:hAnsi="Open Sans" w:cs="Open Sans"/>
            <w:color w:val="0000FF"/>
          </w:rPr>
          <w:alias w:val="Insert comments here"/>
          <w:tag w:val="Insert comments here"/>
          <w:id w:val="1180590285"/>
          <w:placeholder>
            <w:docPart w:val="0D61E033F7B14F8F811FEE8D2AABD251"/>
          </w:placeholder>
        </w:sdtPr>
        <w:sdtEndPr>
          <w:rPr>
            <w:color w:val="000000" w:themeColor="text1"/>
          </w:rPr>
        </w:sdtEndPr>
        <w:sdtContent>
          <w:r w:rsidR="0096764D" w:rsidRPr="008F0B16">
            <w:rPr>
              <w:rFonts w:ascii="Open Sans" w:hAnsi="Open Sans" w:cs="Open Sans"/>
              <w:color w:val="auto"/>
            </w:rPr>
            <w:t xml:space="preserve">In addition to </w:t>
          </w:r>
          <w:r w:rsidR="00211D57" w:rsidRPr="008F0B16">
            <w:rPr>
              <w:rFonts w:ascii="Open Sans" w:hAnsi="Open Sans" w:cs="Open Sans"/>
              <w:color w:val="auto"/>
            </w:rPr>
            <w:t xml:space="preserve">the </w:t>
          </w:r>
          <w:r w:rsidR="0082157A">
            <w:rPr>
              <w:rFonts w:ascii="Open Sans" w:hAnsi="Open Sans" w:cs="Open Sans"/>
              <w:color w:val="auto"/>
            </w:rPr>
            <w:t>performance assessment</w:t>
          </w:r>
          <w:r w:rsidR="00E8545C">
            <w:rPr>
              <w:rFonts w:ascii="Open Sans" w:hAnsi="Open Sans" w:cs="Open Sans"/>
              <w:color w:val="auto"/>
            </w:rPr>
            <w:t xml:space="preserve"> </w:t>
          </w:r>
          <w:r w:rsidR="009720EE">
            <w:rPr>
              <w:rFonts w:ascii="Open Sans" w:hAnsi="Open Sans" w:cs="Open Sans"/>
              <w:color w:val="auto"/>
            </w:rPr>
            <w:t xml:space="preserve">of </w:t>
          </w:r>
          <w:r w:rsidR="00E8545C" w:rsidRPr="008F0B16">
            <w:rPr>
              <w:rFonts w:ascii="Open Sans" w:hAnsi="Open Sans" w:cs="Open Sans"/>
              <w:color w:val="auto"/>
            </w:rPr>
            <w:t>Requirements 2(3)a), 2(3)(e), 3(3)(a) and 3(3)(e)</w:t>
          </w:r>
          <w:r w:rsidR="00E8545C">
            <w:rPr>
              <w:rFonts w:ascii="Open Sans" w:hAnsi="Open Sans" w:cs="Open Sans"/>
              <w:color w:val="auto"/>
            </w:rPr>
            <w:t xml:space="preserve">, the Assessment Team </w:t>
          </w:r>
          <w:r w:rsidR="00C638AD" w:rsidRPr="008F0B16">
            <w:rPr>
              <w:rFonts w:ascii="Open Sans" w:hAnsi="Open Sans" w:cs="Open Sans"/>
              <w:color w:val="auto"/>
            </w:rPr>
            <w:t>identified</w:t>
          </w:r>
          <w:r w:rsidR="00012050">
            <w:rPr>
              <w:rFonts w:ascii="Open Sans" w:hAnsi="Open Sans" w:cs="Open Sans"/>
              <w:color w:val="auto"/>
            </w:rPr>
            <w:t xml:space="preserve"> and assessed</w:t>
          </w:r>
          <w:r w:rsidR="00C638AD" w:rsidRPr="008F0B16">
            <w:rPr>
              <w:rFonts w:ascii="Open Sans" w:hAnsi="Open Sans" w:cs="Open Sans"/>
              <w:color w:val="auto"/>
            </w:rPr>
            <w:t xml:space="preserve"> </w:t>
          </w:r>
          <w:r w:rsidR="001D2881" w:rsidRPr="008F0B16">
            <w:rPr>
              <w:rFonts w:ascii="Open Sans" w:hAnsi="Open Sans" w:cs="Open Sans"/>
              <w:color w:val="auto"/>
            </w:rPr>
            <w:t xml:space="preserve">six </w:t>
          </w:r>
          <w:r w:rsidR="00211D57" w:rsidRPr="008F0B16">
            <w:rPr>
              <w:rFonts w:ascii="Open Sans" w:hAnsi="Open Sans" w:cs="Open Sans"/>
              <w:color w:val="auto"/>
            </w:rPr>
            <w:t>issues of concern</w:t>
          </w:r>
          <w:r w:rsidR="005F5AEE">
            <w:rPr>
              <w:rFonts w:ascii="Open Sans" w:hAnsi="Open Sans" w:cs="Open Sans"/>
              <w:color w:val="auto"/>
            </w:rPr>
            <w:t>. Wh</w:t>
          </w:r>
          <w:r w:rsidR="002F7D7B">
            <w:rPr>
              <w:rFonts w:ascii="Open Sans" w:hAnsi="Open Sans" w:cs="Open Sans"/>
              <w:color w:val="auto"/>
            </w:rPr>
            <w:t xml:space="preserve">ile the matters did not fall </w:t>
          </w:r>
          <w:r w:rsidR="009720EE">
            <w:rPr>
              <w:rFonts w:ascii="Open Sans" w:hAnsi="Open Sans" w:cs="Open Sans"/>
              <w:color w:val="auto"/>
            </w:rPr>
            <w:t>squarely</w:t>
          </w:r>
          <w:r w:rsidR="002F7D7B">
            <w:rPr>
              <w:rFonts w:ascii="Open Sans" w:hAnsi="Open Sans" w:cs="Open Sans"/>
              <w:color w:val="auto"/>
            </w:rPr>
            <w:t xml:space="preserve"> within the scope of the </w:t>
          </w:r>
          <w:r w:rsidR="009720EE">
            <w:rPr>
              <w:rFonts w:ascii="Open Sans" w:hAnsi="Open Sans" w:cs="Open Sans"/>
              <w:color w:val="auto"/>
            </w:rPr>
            <w:t>Requirements</w:t>
          </w:r>
          <w:r w:rsidR="002F7D7B">
            <w:rPr>
              <w:rFonts w:ascii="Open Sans" w:hAnsi="Open Sans" w:cs="Open Sans"/>
              <w:color w:val="auto"/>
            </w:rPr>
            <w:t xml:space="preserve"> under direct assessment for this </w:t>
          </w:r>
          <w:r w:rsidR="008375EA">
            <w:rPr>
              <w:rFonts w:ascii="Open Sans" w:hAnsi="Open Sans" w:cs="Open Sans"/>
              <w:color w:val="auto"/>
            </w:rPr>
            <w:t>assessment contact, their nature and frequency were material to the Commission’s broader regulatory functions</w:t>
          </w:r>
          <w:r w:rsidR="009720EE">
            <w:rPr>
              <w:rFonts w:ascii="Open Sans" w:hAnsi="Open Sans" w:cs="Open Sans"/>
              <w:color w:val="auto"/>
            </w:rPr>
            <w:t>.</w:t>
          </w:r>
          <w:r w:rsidR="001D2881" w:rsidRPr="008F0B16">
            <w:rPr>
              <w:rFonts w:ascii="Open Sans" w:hAnsi="Open Sans" w:cs="Open Sans"/>
              <w:color w:val="auto"/>
            </w:rPr>
            <w:t xml:space="preserve"> The six issues</w:t>
          </w:r>
          <w:r w:rsidR="007E4722" w:rsidRPr="008F0B16">
            <w:rPr>
              <w:rFonts w:ascii="Open Sans" w:hAnsi="Open Sans" w:cs="Open Sans"/>
              <w:color w:val="auto"/>
            </w:rPr>
            <w:t xml:space="preserve"> of concern are as follows: </w:t>
          </w:r>
          <w:r w:rsidR="00977630">
            <w:rPr>
              <w:rFonts w:ascii="Open Sans" w:hAnsi="Open Sans" w:cs="Open Sans"/>
              <w:color w:val="auto"/>
            </w:rPr>
            <w:br/>
          </w:r>
          <w:r w:rsidR="007E4722">
            <w:rPr>
              <w:rFonts w:ascii="Open Sans" w:hAnsi="Open Sans" w:cs="Open Sans"/>
              <w:color w:val="0000FF"/>
            </w:rPr>
            <w:br/>
          </w:r>
          <w:r w:rsidR="001155E1" w:rsidRPr="00977630">
            <w:rPr>
              <w:rFonts w:ascii="Open Sans" w:hAnsi="Open Sans" w:cs="Open Sans"/>
              <w:b/>
              <w:bCs/>
            </w:rPr>
            <w:t>Issue 1:</w:t>
          </w:r>
          <w:r w:rsidR="001155E1">
            <w:rPr>
              <w:rFonts w:ascii="Open Sans" w:hAnsi="Open Sans" w:cs="Open Sans"/>
            </w:rPr>
            <w:t xml:space="preserve"> Clinical </w:t>
          </w:r>
          <w:r w:rsidR="001C34F0">
            <w:rPr>
              <w:rFonts w:ascii="Open Sans" w:hAnsi="Open Sans" w:cs="Open Sans"/>
            </w:rPr>
            <w:t>and care information systems and processes are not current and do not reflect accurate information to inform care delivery</w:t>
          </w:r>
          <w:r w:rsidR="00710052">
            <w:rPr>
              <w:rFonts w:ascii="Open Sans" w:hAnsi="Open Sans" w:cs="Open Sans"/>
            </w:rPr>
            <w:t xml:space="preserve">. As a </w:t>
          </w:r>
          <w:r w:rsidR="002C2E37">
            <w:rPr>
              <w:rFonts w:ascii="Open Sans" w:hAnsi="Open Sans" w:cs="Open Sans"/>
            </w:rPr>
            <w:t>result,</w:t>
          </w:r>
          <w:r w:rsidR="00710052">
            <w:rPr>
              <w:rFonts w:ascii="Open Sans" w:hAnsi="Open Sans" w:cs="Open Sans"/>
            </w:rPr>
            <w:t xml:space="preserve"> staff do not have a shared understanding of consumer’s needs and preferences.</w:t>
          </w:r>
          <w:r w:rsidR="00710052">
            <w:rPr>
              <w:rFonts w:ascii="Open Sans" w:hAnsi="Open Sans" w:cs="Open Sans"/>
            </w:rPr>
            <w:br/>
          </w:r>
          <w:r w:rsidR="003E6042">
            <w:rPr>
              <w:rFonts w:ascii="Open Sans" w:hAnsi="Open Sans" w:cs="Open Sans"/>
            </w:rPr>
            <w:br/>
          </w:r>
          <w:r w:rsidR="003E6042" w:rsidRPr="00977630">
            <w:rPr>
              <w:rFonts w:ascii="Open Sans" w:hAnsi="Open Sans" w:cs="Open Sans"/>
              <w:b/>
              <w:bCs/>
            </w:rPr>
            <w:t>Issue 2:</w:t>
          </w:r>
          <w:r w:rsidR="003E6042">
            <w:rPr>
              <w:rFonts w:ascii="Open Sans" w:hAnsi="Open Sans" w:cs="Open Sans"/>
            </w:rPr>
            <w:t xml:space="preserve"> Consumer’s failed to receive personal and clinical care that was tailored to their needs and optimised their health and well-being</w:t>
          </w:r>
          <w:r w:rsidR="00207C93">
            <w:rPr>
              <w:rFonts w:ascii="Open Sans" w:hAnsi="Open Sans" w:cs="Open Sans"/>
            </w:rPr>
            <w:t>.</w:t>
          </w:r>
          <w:r w:rsidR="00207C93">
            <w:rPr>
              <w:rFonts w:ascii="Open Sans" w:hAnsi="Open Sans" w:cs="Open Sans"/>
            </w:rPr>
            <w:br/>
          </w:r>
          <w:r w:rsidR="00207C93">
            <w:rPr>
              <w:rFonts w:ascii="Open Sans" w:hAnsi="Open Sans" w:cs="Open Sans"/>
            </w:rPr>
            <w:br/>
          </w:r>
          <w:r w:rsidR="00207C93" w:rsidRPr="00977630">
            <w:rPr>
              <w:rFonts w:ascii="Open Sans" w:hAnsi="Open Sans" w:cs="Open Sans"/>
              <w:b/>
              <w:bCs/>
            </w:rPr>
            <w:t>Issue 3:</w:t>
          </w:r>
          <w:r w:rsidR="00207C93">
            <w:rPr>
              <w:rFonts w:ascii="Open Sans" w:hAnsi="Open Sans" w:cs="Open Sans"/>
            </w:rPr>
            <w:t xml:space="preserve"> There are </w:t>
          </w:r>
          <w:r w:rsidR="00603460">
            <w:rPr>
              <w:rFonts w:ascii="Open Sans" w:hAnsi="Open Sans" w:cs="Open Sans"/>
            </w:rPr>
            <w:t>concerns relating to the management of consumers who are deteriorating or who experience a change in their condition</w:t>
          </w:r>
          <w:r w:rsidR="008F0B16">
            <w:rPr>
              <w:rFonts w:ascii="Open Sans" w:hAnsi="Open Sans" w:cs="Open Sans"/>
            </w:rPr>
            <w:t>.</w:t>
          </w:r>
          <w:r w:rsidR="008F0B16">
            <w:rPr>
              <w:rFonts w:ascii="Open Sans" w:hAnsi="Open Sans" w:cs="Open Sans"/>
            </w:rPr>
            <w:br/>
          </w:r>
          <w:r w:rsidR="008F0B16">
            <w:rPr>
              <w:rFonts w:ascii="Open Sans" w:hAnsi="Open Sans" w:cs="Open Sans"/>
            </w:rPr>
            <w:br/>
          </w:r>
          <w:r w:rsidR="008F0B16" w:rsidRPr="00977630">
            <w:rPr>
              <w:rFonts w:ascii="Open Sans" w:hAnsi="Open Sans" w:cs="Open Sans"/>
              <w:b/>
              <w:bCs/>
            </w:rPr>
            <w:t>Issue 4:</w:t>
          </w:r>
          <w:r w:rsidR="008F0B16">
            <w:rPr>
              <w:rFonts w:ascii="Open Sans" w:hAnsi="Open Sans" w:cs="Open Sans"/>
            </w:rPr>
            <w:t xml:space="preserve"> There are concerns the service has failed to effectively minimise infection related </w:t>
          </w:r>
          <w:r w:rsidR="007876AC">
            <w:rPr>
              <w:rFonts w:ascii="Open Sans" w:hAnsi="Open Sans" w:cs="Open Sans"/>
            </w:rPr>
            <w:t>risks.</w:t>
          </w:r>
          <w:r w:rsidR="007876AC">
            <w:rPr>
              <w:rFonts w:ascii="Open Sans" w:hAnsi="Open Sans" w:cs="Open Sans"/>
            </w:rPr>
            <w:br/>
          </w:r>
          <w:r w:rsidR="007876AC">
            <w:rPr>
              <w:rFonts w:ascii="Open Sans" w:hAnsi="Open Sans" w:cs="Open Sans"/>
            </w:rPr>
            <w:br/>
          </w:r>
          <w:r w:rsidR="007876AC" w:rsidRPr="00977630">
            <w:rPr>
              <w:rFonts w:ascii="Open Sans" w:hAnsi="Open Sans" w:cs="Open Sans"/>
              <w:b/>
              <w:bCs/>
            </w:rPr>
            <w:t>Issue 5:</w:t>
          </w:r>
          <w:r w:rsidR="007876AC">
            <w:rPr>
              <w:rFonts w:ascii="Open Sans" w:hAnsi="Open Sans" w:cs="Open Sans"/>
            </w:rPr>
            <w:t xml:space="preserve"> The workforce has not been </w:t>
          </w:r>
          <w:r w:rsidR="00977630">
            <w:rPr>
              <w:rFonts w:ascii="Open Sans" w:hAnsi="Open Sans" w:cs="Open Sans"/>
            </w:rPr>
            <w:t>managed</w:t>
          </w:r>
          <w:r w:rsidR="007876AC">
            <w:rPr>
              <w:rFonts w:ascii="Open Sans" w:hAnsi="Open Sans" w:cs="Open Sans"/>
            </w:rPr>
            <w:t xml:space="preserve"> to support the delivery of safe, quality care and services.</w:t>
          </w:r>
          <w:r w:rsidR="007876AC">
            <w:rPr>
              <w:rFonts w:ascii="Open Sans" w:hAnsi="Open Sans" w:cs="Open Sans"/>
            </w:rPr>
            <w:br/>
          </w:r>
          <w:r w:rsidR="007876AC">
            <w:rPr>
              <w:rFonts w:ascii="Open Sans" w:hAnsi="Open Sans" w:cs="Open Sans"/>
            </w:rPr>
            <w:br/>
          </w:r>
          <w:r w:rsidR="007876AC" w:rsidRPr="00977630">
            <w:rPr>
              <w:rFonts w:ascii="Open Sans" w:hAnsi="Open Sans" w:cs="Open Sans"/>
              <w:b/>
              <w:bCs/>
            </w:rPr>
            <w:t>Issue 6:</w:t>
          </w:r>
          <w:r w:rsidR="007876AC">
            <w:rPr>
              <w:rFonts w:ascii="Open Sans" w:hAnsi="Open Sans" w:cs="Open Sans"/>
            </w:rPr>
            <w:t xml:space="preserve"> </w:t>
          </w:r>
          <w:r w:rsidR="005A1F8F">
            <w:rPr>
              <w:rFonts w:ascii="Open Sans" w:hAnsi="Open Sans" w:cs="Open Sans"/>
            </w:rPr>
            <w:t>Ineffective risk management processes.</w:t>
          </w:r>
          <w:r w:rsidR="00977630">
            <w:rPr>
              <w:rFonts w:ascii="Open Sans" w:hAnsi="Open Sans" w:cs="Open Sans"/>
            </w:rPr>
            <w:br/>
            <w:t xml:space="preserve">The </w:t>
          </w:r>
          <w:r w:rsidR="00E61016">
            <w:rPr>
              <w:rFonts w:ascii="Open Sans" w:hAnsi="Open Sans" w:cs="Open Sans"/>
            </w:rPr>
            <w:t>identification</w:t>
          </w:r>
          <w:r w:rsidR="0091556B">
            <w:rPr>
              <w:rFonts w:ascii="Open Sans" w:hAnsi="Open Sans" w:cs="Open Sans"/>
            </w:rPr>
            <w:t xml:space="preserve"> of concerns</w:t>
          </w:r>
          <w:r w:rsidR="0093480D">
            <w:rPr>
              <w:rFonts w:ascii="Open Sans" w:hAnsi="Open Sans" w:cs="Open Sans"/>
            </w:rPr>
            <w:t xml:space="preserve"> outside the immediate scope of the assessed Requirements does not </w:t>
          </w:r>
          <w:r w:rsidR="00925EAF">
            <w:rPr>
              <w:rFonts w:ascii="Open Sans" w:hAnsi="Open Sans" w:cs="Open Sans"/>
            </w:rPr>
            <w:t>preclude</w:t>
          </w:r>
          <w:r w:rsidR="0093480D">
            <w:rPr>
              <w:rFonts w:ascii="Open Sans" w:hAnsi="Open Sans" w:cs="Open Sans"/>
            </w:rPr>
            <w:t xml:space="preserve"> the Commission’s responsibility to ensure risks to consumers are monitored</w:t>
          </w:r>
          <w:r w:rsidR="000B2BCD">
            <w:rPr>
              <w:rFonts w:ascii="Open Sans" w:hAnsi="Open Sans" w:cs="Open Sans"/>
            </w:rPr>
            <w:t xml:space="preserve"> and addressed. These matters will not form part of the present non-compliance </w:t>
          </w:r>
          <w:r w:rsidR="00E61016">
            <w:rPr>
              <w:rFonts w:ascii="Open Sans" w:hAnsi="Open Sans" w:cs="Open Sans"/>
            </w:rPr>
            <w:t>decision but</w:t>
          </w:r>
          <w:r w:rsidR="00564AB4">
            <w:rPr>
              <w:rFonts w:ascii="Open Sans" w:hAnsi="Open Sans" w:cs="Open Sans"/>
            </w:rPr>
            <w:t xml:space="preserve"> will be subject to ongoing regulatory oversight. The </w:t>
          </w:r>
          <w:r w:rsidR="00977630">
            <w:rPr>
              <w:rFonts w:ascii="Open Sans" w:hAnsi="Open Sans" w:cs="Open Sans"/>
            </w:rPr>
            <w:t xml:space="preserve">Commission </w:t>
          </w:r>
          <w:r w:rsidR="00BB108C">
            <w:rPr>
              <w:rFonts w:ascii="Open Sans" w:hAnsi="Open Sans" w:cs="Open Sans"/>
            </w:rPr>
            <w:t xml:space="preserve">will therefore adopt a </w:t>
          </w:r>
          <w:r w:rsidR="00E61016">
            <w:rPr>
              <w:rFonts w:ascii="Open Sans" w:hAnsi="Open Sans" w:cs="Open Sans"/>
            </w:rPr>
            <w:t>longitudinal</w:t>
          </w:r>
          <w:r w:rsidR="00BB108C">
            <w:rPr>
              <w:rFonts w:ascii="Open Sans" w:hAnsi="Open Sans" w:cs="Open Sans"/>
            </w:rPr>
            <w:t xml:space="preserve"> regulatory </w:t>
          </w:r>
          <w:r w:rsidR="00BB108C">
            <w:rPr>
              <w:rFonts w:ascii="Open Sans" w:hAnsi="Open Sans" w:cs="Open Sans"/>
            </w:rPr>
            <w:lastRenderedPageBreak/>
            <w:t>approach</w:t>
          </w:r>
          <w:r w:rsidR="00E61016">
            <w:rPr>
              <w:rFonts w:ascii="Open Sans" w:hAnsi="Open Sans" w:cs="Open Sans"/>
            </w:rPr>
            <w:t xml:space="preserve"> </w:t>
          </w:r>
          <w:r w:rsidR="00B4757D">
            <w:rPr>
              <w:rFonts w:ascii="Open Sans" w:hAnsi="Open Sans" w:cs="Open Sans"/>
            </w:rPr>
            <w:t>to address the identified concerns</w:t>
          </w:r>
          <w:r w:rsidR="00E63E8E">
            <w:rPr>
              <w:rFonts w:ascii="Open Sans" w:hAnsi="Open Sans" w:cs="Open Sans"/>
            </w:rPr>
            <w:t>. This approach will involve engagement with the provider, regular reviews of progress</w:t>
          </w:r>
          <w:r w:rsidR="005A6782">
            <w:rPr>
              <w:rFonts w:ascii="Open Sans" w:hAnsi="Open Sans" w:cs="Open Sans"/>
            </w:rPr>
            <w:t xml:space="preserve"> and the imposition of proportionate monitoring activities until such time the concerns are demonstrably </w:t>
          </w:r>
          <w:r w:rsidR="003634CB">
            <w:rPr>
              <w:rFonts w:ascii="Open Sans" w:hAnsi="Open Sans" w:cs="Open Sans"/>
            </w:rPr>
            <w:t>ameliorated and the risk profile is reduced to an acceptable level.</w:t>
          </w:r>
          <w:r w:rsidR="0073096D">
            <w:rPr>
              <w:rFonts w:ascii="Open Sans" w:hAnsi="Open Sans" w:cs="Open Sans"/>
            </w:rPr>
            <w:t xml:space="preserve"> </w:t>
          </w:r>
        </w:sdtContent>
      </w:sdt>
      <w:r w:rsidR="00C74695" w:rsidRPr="001E694D">
        <w:rPr>
          <w:rFonts w:ascii="Open Sans" w:hAnsi="Open Sans" w:cs="Open Sans"/>
        </w:rPr>
        <w:br w:type="page"/>
      </w:r>
    </w:p>
    <w:p w14:paraId="5E7B022A" w14:textId="77777777" w:rsidR="00C74695" w:rsidRPr="001E694D" w:rsidRDefault="00C7469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755B3" w14:paraId="0FC3F80A" w14:textId="77777777" w:rsidTr="006511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300EFEF1" w14:textId="77777777" w:rsidR="00C74695" w:rsidRPr="001E694D" w:rsidRDefault="00C7469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4A573CCA" w14:textId="77777777" w:rsidR="00C74695" w:rsidRPr="001E694D" w:rsidRDefault="00C7469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5B3" w14:paraId="1BFB2355" w14:textId="77777777" w:rsidTr="00651158">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C0F4543" w14:textId="77777777" w:rsidR="00C74695" w:rsidRPr="001E694D" w:rsidRDefault="00C74695"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20E10CEF" w14:textId="77777777" w:rsidR="00C74695" w:rsidRPr="001E694D" w:rsidRDefault="00C746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74B9EE62" w14:textId="2E9B6EE9" w:rsidR="00C74695" w:rsidRPr="001E694D" w:rsidRDefault="001327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355336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51158">
                  <w:rPr>
                    <w:rFonts w:ascii="Open Sans" w:hAnsi="Open Sans" w:cs="Open Sans"/>
                    <w:color w:val="auto"/>
                  </w:rPr>
                  <w:t>Not Compliant</w:t>
                </w:r>
              </w:sdtContent>
            </w:sdt>
          </w:p>
        </w:tc>
      </w:tr>
      <w:tr w:rsidR="006755B3" w14:paraId="5EA88D91" w14:textId="77777777" w:rsidTr="006511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CFAFFD1" w14:textId="77777777" w:rsidR="00C74695" w:rsidRPr="001E694D" w:rsidRDefault="00C74695"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7434E996" w14:textId="77777777" w:rsidR="00C74695" w:rsidRPr="001E694D" w:rsidRDefault="00C746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2CF218A7" w14:textId="7933625C" w:rsidR="00C74695" w:rsidRPr="001E694D" w:rsidRDefault="001327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376086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51158">
                  <w:rPr>
                    <w:rFonts w:ascii="Open Sans" w:hAnsi="Open Sans" w:cs="Open Sans"/>
                    <w:color w:val="auto"/>
                  </w:rPr>
                  <w:t>Not Compliant</w:t>
                </w:r>
              </w:sdtContent>
            </w:sdt>
          </w:p>
        </w:tc>
      </w:tr>
    </w:tbl>
    <w:p w14:paraId="034BD7C9" w14:textId="77777777" w:rsidR="00C74695" w:rsidRPr="003E162B" w:rsidRDefault="00C74695" w:rsidP="00D87E7C">
      <w:pPr>
        <w:pStyle w:val="Heading20"/>
        <w:rPr>
          <w:rFonts w:ascii="Open Sans" w:hAnsi="Open Sans" w:cs="Open Sans"/>
          <w:color w:val="781E77"/>
        </w:rPr>
      </w:pPr>
      <w:r w:rsidRPr="003E162B">
        <w:rPr>
          <w:rFonts w:ascii="Open Sans" w:hAnsi="Open Sans" w:cs="Open Sans"/>
          <w:color w:val="781E77"/>
        </w:rPr>
        <w:t>Findings</w:t>
      </w:r>
    </w:p>
    <w:p w14:paraId="0773887C" w14:textId="16CC7863" w:rsidR="00B6104C" w:rsidRPr="00B6104C" w:rsidRDefault="00B6104C" w:rsidP="006B5B9B">
      <w:pPr>
        <w:pStyle w:val="NormalArial"/>
        <w:spacing w:line="276" w:lineRule="auto"/>
        <w:rPr>
          <w:rFonts w:ascii="Open Sans" w:hAnsi="Open Sans" w:cs="Open Sans"/>
        </w:rPr>
      </w:pPr>
      <w:r w:rsidRPr="00B6104C">
        <w:rPr>
          <w:rFonts w:ascii="Open Sans" w:hAnsi="Open Sans" w:cs="Open Sans"/>
        </w:rPr>
        <w:t xml:space="preserve">The Quality Standard is non-compliant as 2 requirements assessed </w:t>
      </w:r>
      <w:r>
        <w:rPr>
          <w:rFonts w:ascii="Open Sans" w:hAnsi="Open Sans" w:cs="Open Sans"/>
        </w:rPr>
        <w:t>are</w:t>
      </w:r>
      <w:r w:rsidRPr="00B6104C">
        <w:rPr>
          <w:rFonts w:ascii="Open Sans" w:hAnsi="Open Sans" w:cs="Open Sans"/>
        </w:rPr>
        <w:t xml:space="preserve"> non-compliant.</w:t>
      </w:r>
    </w:p>
    <w:p w14:paraId="7647ADAC" w14:textId="740BAF3C" w:rsidR="00B6104C" w:rsidRDefault="00B6104C" w:rsidP="006B5B9B">
      <w:pPr>
        <w:pStyle w:val="NormalArial"/>
        <w:spacing w:line="276" w:lineRule="auto"/>
        <w:rPr>
          <w:rFonts w:ascii="Open Sans" w:hAnsi="Open Sans" w:cs="Open Sans"/>
        </w:rPr>
      </w:pPr>
      <w:r w:rsidRPr="00B6104C">
        <w:rPr>
          <w:rFonts w:ascii="Open Sans" w:hAnsi="Open Sans" w:cs="Open Sans"/>
          <w:b/>
          <w:bCs/>
        </w:rPr>
        <w:t>Requirement 2(3)(a)</w:t>
      </w:r>
      <w:r w:rsidRPr="00B6104C">
        <w:rPr>
          <w:rFonts w:ascii="Open Sans" w:hAnsi="Open Sans" w:cs="Open Sans"/>
        </w:rPr>
        <w:t xml:space="preserve"> - The Assessment Team found assessment and planning did not consider risks to consumers’ health and wellbeing, including in relation to use of psychotropic medications</w:t>
      </w:r>
      <w:r w:rsidR="00E94693">
        <w:rPr>
          <w:rFonts w:ascii="Open Sans" w:hAnsi="Open Sans" w:cs="Open Sans"/>
        </w:rPr>
        <w:t xml:space="preserve"> and </w:t>
      </w:r>
      <w:r w:rsidR="00E83DBA">
        <w:rPr>
          <w:rFonts w:ascii="Open Sans" w:hAnsi="Open Sans" w:cs="Open Sans"/>
        </w:rPr>
        <w:t>palliative</w:t>
      </w:r>
      <w:r w:rsidR="00E94693">
        <w:rPr>
          <w:rFonts w:ascii="Open Sans" w:hAnsi="Open Sans" w:cs="Open Sans"/>
        </w:rPr>
        <w:t xml:space="preserve"> care and end of life planning</w:t>
      </w:r>
      <w:r w:rsidRPr="00B6104C">
        <w:rPr>
          <w:rFonts w:ascii="Open Sans" w:hAnsi="Open Sans" w:cs="Open Sans"/>
        </w:rPr>
        <w:t xml:space="preserve">. The Assessment Team recommended requirement 2(3)(a) not met and provided the following information gathered through interviews and document review. </w:t>
      </w:r>
    </w:p>
    <w:p w14:paraId="4B536231" w14:textId="386B4E1A" w:rsidR="00C95D6D" w:rsidRDefault="00C95D6D" w:rsidP="006B5B9B">
      <w:pPr>
        <w:pStyle w:val="NormalArial"/>
        <w:spacing w:line="276" w:lineRule="auto"/>
        <w:rPr>
          <w:rFonts w:ascii="Open Sans" w:hAnsi="Open Sans" w:cs="Open Sans"/>
        </w:rPr>
      </w:pPr>
      <w:r w:rsidRPr="00C95D6D">
        <w:rPr>
          <w:rFonts w:ascii="Open Sans" w:hAnsi="Open Sans" w:cs="Open Sans"/>
        </w:rPr>
        <w:t>Deficits were identified in</w:t>
      </w:r>
      <w:r w:rsidR="00E47138">
        <w:rPr>
          <w:rFonts w:ascii="Open Sans" w:hAnsi="Open Sans" w:cs="Open Sans"/>
        </w:rPr>
        <w:t xml:space="preserve"> </w:t>
      </w:r>
      <w:r w:rsidR="00664D46">
        <w:rPr>
          <w:rFonts w:ascii="Open Sans" w:hAnsi="Open Sans" w:cs="Open Sans"/>
        </w:rPr>
        <w:t>assessment</w:t>
      </w:r>
      <w:r w:rsidR="00994FC1">
        <w:rPr>
          <w:rFonts w:ascii="Open Sans" w:hAnsi="Open Sans" w:cs="Open Sans"/>
        </w:rPr>
        <w:t xml:space="preserve"> and planning</w:t>
      </w:r>
      <w:r w:rsidR="00E47138">
        <w:rPr>
          <w:rFonts w:ascii="Open Sans" w:hAnsi="Open Sans" w:cs="Open Sans"/>
        </w:rPr>
        <w:t xml:space="preserve"> in </w:t>
      </w:r>
      <w:r w:rsidR="005C2F60">
        <w:rPr>
          <w:rFonts w:ascii="Open Sans" w:hAnsi="Open Sans" w:cs="Open Sans"/>
        </w:rPr>
        <w:t xml:space="preserve">pain, medication </w:t>
      </w:r>
      <w:r w:rsidR="005E44A7">
        <w:rPr>
          <w:rFonts w:ascii="Open Sans" w:hAnsi="Open Sans" w:cs="Open Sans"/>
        </w:rPr>
        <w:t>self-administration</w:t>
      </w:r>
      <w:r w:rsidR="00E47138">
        <w:rPr>
          <w:rFonts w:ascii="Open Sans" w:hAnsi="Open Sans" w:cs="Open Sans"/>
        </w:rPr>
        <w:t xml:space="preserve">, </w:t>
      </w:r>
      <w:r w:rsidR="005318CD">
        <w:rPr>
          <w:rFonts w:ascii="Open Sans" w:hAnsi="Open Sans" w:cs="Open Sans"/>
        </w:rPr>
        <w:t>behaviour support and restrictive practice</w:t>
      </w:r>
      <w:r w:rsidR="005E44A7">
        <w:rPr>
          <w:rFonts w:ascii="Open Sans" w:hAnsi="Open Sans" w:cs="Open Sans"/>
        </w:rPr>
        <w:t xml:space="preserve">s for </w:t>
      </w:r>
      <w:r w:rsidR="001C689B">
        <w:rPr>
          <w:rFonts w:ascii="Open Sans" w:hAnsi="Open Sans" w:cs="Open Sans"/>
        </w:rPr>
        <w:t xml:space="preserve">consumers with changed behaviours. </w:t>
      </w:r>
      <w:r w:rsidR="00A4127A">
        <w:rPr>
          <w:rFonts w:ascii="Open Sans" w:hAnsi="Open Sans" w:cs="Open Sans"/>
        </w:rPr>
        <w:t xml:space="preserve">For one consumer, </w:t>
      </w:r>
      <w:r w:rsidR="00C262E1">
        <w:rPr>
          <w:rFonts w:ascii="Open Sans" w:hAnsi="Open Sans" w:cs="Open Sans"/>
        </w:rPr>
        <w:t xml:space="preserve">the care and </w:t>
      </w:r>
      <w:r w:rsidR="00833FD9">
        <w:rPr>
          <w:rFonts w:ascii="Open Sans" w:hAnsi="Open Sans" w:cs="Open Sans"/>
        </w:rPr>
        <w:t>behaviour</w:t>
      </w:r>
      <w:r w:rsidR="00C262E1">
        <w:rPr>
          <w:rFonts w:ascii="Open Sans" w:hAnsi="Open Sans" w:cs="Open Sans"/>
        </w:rPr>
        <w:t xml:space="preserve"> support </w:t>
      </w:r>
      <w:r w:rsidR="00E55166">
        <w:rPr>
          <w:rFonts w:ascii="Open Sans" w:hAnsi="Open Sans" w:cs="Open Sans"/>
        </w:rPr>
        <w:t xml:space="preserve">(BSP) </w:t>
      </w:r>
      <w:r w:rsidR="00C262E1">
        <w:rPr>
          <w:rFonts w:ascii="Open Sans" w:hAnsi="Open Sans" w:cs="Open Sans"/>
        </w:rPr>
        <w:t>plan did not include risks associated with</w:t>
      </w:r>
      <w:r w:rsidR="00465682">
        <w:rPr>
          <w:rFonts w:ascii="Open Sans" w:hAnsi="Open Sans" w:cs="Open Sans"/>
        </w:rPr>
        <w:t xml:space="preserve"> a</w:t>
      </w:r>
      <w:r w:rsidR="00833FD9">
        <w:rPr>
          <w:rFonts w:ascii="Open Sans" w:hAnsi="Open Sans" w:cs="Open Sans"/>
        </w:rPr>
        <w:t xml:space="preserve"> diagnosis of </w:t>
      </w:r>
      <w:r w:rsidR="00465682">
        <w:rPr>
          <w:rFonts w:ascii="Open Sans" w:hAnsi="Open Sans" w:cs="Open Sans"/>
        </w:rPr>
        <w:t xml:space="preserve">dementia </w:t>
      </w:r>
      <w:r w:rsidR="00833FD9">
        <w:rPr>
          <w:rFonts w:ascii="Open Sans" w:hAnsi="Open Sans" w:cs="Open Sans"/>
        </w:rPr>
        <w:t xml:space="preserve">with aggression </w:t>
      </w:r>
      <w:r w:rsidR="009F5D1A">
        <w:rPr>
          <w:rFonts w:ascii="Open Sans" w:hAnsi="Open Sans" w:cs="Open Sans"/>
        </w:rPr>
        <w:t xml:space="preserve">to guide staff in supporting the consumer. </w:t>
      </w:r>
      <w:r w:rsidR="00E55166">
        <w:rPr>
          <w:rFonts w:ascii="Open Sans" w:hAnsi="Open Sans" w:cs="Open Sans"/>
        </w:rPr>
        <w:t xml:space="preserve">Another consumer’s BSP </w:t>
      </w:r>
      <w:r w:rsidR="002F4158">
        <w:rPr>
          <w:rFonts w:ascii="Open Sans" w:hAnsi="Open Sans" w:cs="Open Sans"/>
        </w:rPr>
        <w:t xml:space="preserve">lacked sufficient detail to guide and inform the appropriate use chemical restraint </w:t>
      </w:r>
      <w:r w:rsidR="00D66338">
        <w:rPr>
          <w:rFonts w:ascii="Open Sans" w:hAnsi="Open Sans" w:cs="Open Sans"/>
        </w:rPr>
        <w:t xml:space="preserve">in response to changed behaviours. </w:t>
      </w:r>
      <w:r w:rsidR="00503C46">
        <w:rPr>
          <w:rFonts w:ascii="Open Sans" w:hAnsi="Open Sans" w:cs="Open Sans"/>
        </w:rPr>
        <w:t xml:space="preserve">Another consumer’s BSP lacked sufficient </w:t>
      </w:r>
      <w:r w:rsidR="0001289A">
        <w:rPr>
          <w:rFonts w:ascii="Open Sans" w:hAnsi="Open Sans" w:cs="Open Sans"/>
        </w:rPr>
        <w:t xml:space="preserve">assessment and planning </w:t>
      </w:r>
      <w:r w:rsidR="00381A6B">
        <w:rPr>
          <w:rFonts w:ascii="Open Sans" w:hAnsi="Open Sans" w:cs="Open Sans"/>
        </w:rPr>
        <w:t xml:space="preserve">to identify the risks and benefits of mechanical restraint. Furthermore, </w:t>
      </w:r>
      <w:r w:rsidR="00BB2C7E">
        <w:rPr>
          <w:rFonts w:ascii="Open Sans" w:hAnsi="Open Sans" w:cs="Open Sans"/>
        </w:rPr>
        <w:t xml:space="preserve">a consumer’s BSP lacked </w:t>
      </w:r>
      <w:r w:rsidR="00F32121">
        <w:rPr>
          <w:rFonts w:ascii="Open Sans" w:hAnsi="Open Sans" w:cs="Open Sans"/>
        </w:rPr>
        <w:t xml:space="preserve">evidence of </w:t>
      </w:r>
      <w:r w:rsidR="00617610">
        <w:rPr>
          <w:rFonts w:ascii="Open Sans" w:hAnsi="Open Sans" w:cs="Open Sans"/>
        </w:rPr>
        <w:t>a sensible best practice</w:t>
      </w:r>
      <w:r w:rsidR="00F32121">
        <w:rPr>
          <w:rFonts w:ascii="Open Sans" w:hAnsi="Open Sans" w:cs="Open Sans"/>
        </w:rPr>
        <w:t xml:space="preserve"> assessment for the use of environmental </w:t>
      </w:r>
      <w:r w:rsidR="00617610">
        <w:rPr>
          <w:rFonts w:ascii="Open Sans" w:hAnsi="Open Sans" w:cs="Open Sans"/>
        </w:rPr>
        <w:t xml:space="preserve">restraint. </w:t>
      </w:r>
      <w:r w:rsidR="00725E65">
        <w:rPr>
          <w:rFonts w:ascii="Open Sans" w:hAnsi="Open Sans" w:cs="Open Sans"/>
        </w:rPr>
        <w:t xml:space="preserve">The restrictive practices assessment and authorisation does not show </w:t>
      </w:r>
      <w:r w:rsidR="00380CA8">
        <w:rPr>
          <w:rFonts w:ascii="Open Sans" w:hAnsi="Open Sans" w:cs="Open Sans"/>
        </w:rPr>
        <w:t xml:space="preserve">comprehensive </w:t>
      </w:r>
      <w:r w:rsidR="00FD5D97">
        <w:rPr>
          <w:rFonts w:ascii="Open Sans" w:hAnsi="Open Sans" w:cs="Open Sans"/>
        </w:rPr>
        <w:t>assessment</w:t>
      </w:r>
      <w:r w:rsidR="00380CA8">
        <w:rPr>
          <w:rFonts w:ascii="Open Sans" w:hAnsi="Open Sans" w:cs="Open Sans"/>
        </w:rPr>
        <w:t xml:space="preserve"> to support use of chemical, mechanical and </w:t>
      </w:r>
      <w:r w:rsidR="00FD5D97">
        <w:rPr>
          <w:rFonts w:ascii="Open Sans" w:hAnsi="Open Sans" w:cs="Open Sans"/>
        </w:rPr>
        <w:t>environmental</w:t>
      </w:r>
      <w:r w:rsidR="00380CA8">
        <w:rPr>
          <w:rFonts w:ascii="Open Sans" w:hAnsi="Open Sans" w:cs="Open Sans"/>
        </w:rPr>
        <w:t xml:space="preserve"> restraint</w:t>
      </w:r>
      <w:r w:rsidR="00456FF7">
        <w:rPr>
          <w:rFonts w:ascii="Open Sans" w:hAnsi="Open Sans" w:cs="Open Sans"/>
        </w:rPr>
        <w:t xml:space="preserve">. </w:t>
      </w:r>
    </w:p>
    <w:p w14:paraId="14BA79DA" w14:textId="772A69D4" w:rsidR="00D66338" w:rsidRDefault="0044517B" w:rsidP="006B5B9B">
      <w:pPr>
        <w:pStyle w:val="NormalArial"/>
        <w:spacing w:line="276" w:lineRule="auto"/>
        <w:rPr>
          <w:rFonts w:ascii="Open Sans" w:hAnsi="Open Sans" w:cs="Open Sans"/>
        </w:rPr>
      </w:pPr>
      <w:r>
        <w:rPr>
          <w:rFonts w:ascii="Open Sans" w:hAnsi="Open Sans" w:cs="Open Sans"/>
        </w:rPr>
        <w:t xml:space="preserve">Assessment and planning </w:t>
      </w:r>
      <w:r w:rsidR="00410C2A">
        <w:rPr>
          <w:rFonts w:ascii="Open Sans" w:hAnsi="Open Sans" w:cs="Open Sans"/>
        </w:rPr>
        <w:t>do</w:t>
      </w:r>
      <w:r>
        <w:rPr>
          <w:rFonts w:ascii="Open Sans" w:hAnsi="Open Sans" w:cs="Open Sans"/>
        </w:rPr>
        <w:t xml:space="preserve"> n</w:t>
      </w:r>
      <w:r w:rsidR="00711E00">
        <w:rPr>
          <w:rFonts w:ascii="Open Sans" w:hAnsi="Open Sans" w:cs="Open Sans"/>
        </w:rPr>
        <w:t xml:space="preserve">ot consider the </w:t>
      </w:r>
      <w:r w:rsidR="00AA1635">
        <w:rPr>
          <w:rFonts w:ascii="Open Sans" w:hAnsi="Open Sans" w:cs="Open Sans"/>
        </w:rPr>
        <w:t>emotional</w:t>
      </w:r>
      <w:r w:rsidR="00711E00">
        <w:rPr>
          <w:rFonts w:ascii="Open Sans" w:hAnsi="Open Sans" w:cs="Open Sans"/>
        </w:rPr>
        <w:t xml:space="preserve"> support </w:t>
      </w:r>
      <w:r w:rsidR="00AA1635">
        <w:rPr>
          <w:rFonts w:ascii="Open Sans" w:hAnsi="Open Sans" w:cs="Open Sans"/>
        </w:rPr>
        <w:t xml:space="preserve">for one consumer </w:t>
      </w:r>
      <w:r w:rsidR="00B13D5D">
        <w:rPr>
          <w:rFonts w:ascii="Open Sans" w:hAnsi="Open Sans" w:cs="Open Sans"/>
        </w:rPr>
        <w:t xml:space="preserve">in relation to his </w:t>
      </w:r>
      <w:r w:rsidR="00895D3E">
        <w:rPr>
          <w:rFonts w:ascii="Open Sans" w:hAnsi="Open Sans" w:cs="Open Sans"/>
        </w:rPr>
        <w:t xml:space="preserve">wife’s ongoing refusal of care and clinical deterioration. </w:t>
      </w:r>
      <w:r w:rsidR="009D7A8C">
        <w:rPr>
          <w:rFonts w:ascii="Open Sans" w:hAnsi="Open Sans" w:cs="Open Sans"/>
        </w:rPr>
        <w:t xml:space="preserve">Assessment and planning </w:t>
      </w:r>
      <w:r w:rsidR="00410C2A">
        <w:rPr>
          <w:rFonts w:ascii="Open Sans" w:hAnsi="Open Sans" w:cs="Open Sans"/>
        </w:rPr>
        <w:t>do</w:t>
      </w:r>
      <w:r w:rsidR="00810242">
        <w:rPr>
          <w:rFonts w:ascii="Open Sans" w:hAnsi="Open Sans" w:cs="Open Sans"/>
        </w:rPr>
        <w:t xml:space="preserve"> not demonstrate </w:t>
      </w:r>
      <w:r w:rsidR="00B451A1">
        <w:rPr>
          <w:rFonts w:ascii="Open Sans" w:hAnsi="Open Sans" w:cs="Open Sans"/>
        </w:rPr>
        <w:t>relevant information has been evaluated to understand the consumer’s</w:t>
      </w:r>
      <w:r w:rsidR="005217FF">
        <w:rPr>
          <w:rFonts w:ascii="Open Sans" w:hAnsi="Open Sans" w:cs="Open Sans"/>
        </w:rPr>
        <w:t xml:space="preserve"> needs. </w:t>
      </w:r>
      <w:r w:rsidR="00FD5D97">
        <w:rPr>
          <w:rFonts w:ascii="Open Sans" w:hAnsi="Open Sans" w:cs="Open Sans"/>
        </w:rPr>
        <w:lastRenderedPageBreak/>
        <w:t>Additionally</w:t>
      </w:r>
      <w:r w:rsidR="005217FF">
        <w:rPr>
          <w:rFonts w:ascii="Open Sans" w:hAnsi="Open Sans" w:cs="Open Sans"/>
        </w:rPr>
        <w:t xml:space="preserve">, </w:t>
      </w:r>
      <w:r w:rsidR="009E4D72">
        <w:rPr>
          <w:rFonts w:ascii="Open Sans" w:hAnsi="Open Sans" w:cs="Open Sans"/>
        </w:rPr>
        <w:t xml:space="preserve">the </w:t>
      </w:r>
      <w:r w:rsidR="00996A31">
        <w:rPr>
          <w:rFonts w:ascii="Open Sans" w:hAnsi="Open Sans" w:cs="Open Sans"/>
        </w:rPr>
        <w:t xml:space="preserve">same </w:t>
      </w:r>
      <w:r w:rsidR="009E4D72">
        <w:rPr>
          <w:rFonts w:ascii="Open Sans" w:hAnsi="Open Sans" w:cs="Open Sans"/>
        </w:rPr>
        <w:t xml:space="preserve">consumer’s palliative care </w:t>
      </w:r>
      <w:r w:rsidR="00996A31">
        <w:rPr>
          <w:rFonts w:ascii="Open Sans" w:hAnsi="Open Sans" w:cs="Open Sans"/>
        </w:rPr>
        <w:t xml:space="preserve">and end of life </w:t>
      </w:r>
      <w:r w:rsidR="00FD5D97">
        <w:rPr>
          <w:rFonts w:ascii="Open Sans" w:hAnsi="Open Sans" w:cs="Open Sans"/>
        </w:rPr>
        <w:t>planning</w:t>
      </w:r>
      <w:r w:rsidR="00996A31">
        <w:rPr>
          <w:rFonts w:ascii="Open Sans" w:hAnsi="Open Sans" w:cs="Open Sans"/>
        </w:rPr>
        <w:t xml:space="preserve"> </w:t>
      </w:r>
      <w:r w:rsidR="005931F4">
        <w:rPr>
          <w:rFonts w:ascii="Open Sans" w:hAnsi="Open Sans" w:cs="Open Sans"/>
        </w:rPr>
        <w:t xml:space="preserve">assessments were not included in care planning to inform and </w:t>
      </w:r>
      <w:r w:rsidR="00457EDF">
        <w:rPr>
          <w:rFonts w:ascii="Open Sans" w:hAnsi="Open Sans" w:cs="Open Sans"/>
        </w:rPr>
        <w:t>guide</w:t>
      </w:r>
      <w:r w:rsidR="005931F4">
        <w:rPr>
          <w:rFonts w:ascii="Open Sans" w:hAnsi="Open Sans" w:cs="Open Sans"/>
        </w:rPr>
        <w:t xml:space="preserve"> staff </w:t>
      </w:r>
      <w:r w:rsidR="00FD5D97">
        <w:rPr>
          <w:rFonts w:ascii="Open Sans" w:hAnsi="Open Sans" w:cs="Open Sans"/>
        </w:rPr>
        <w:t>in the delivery of safe and effective care</w:t>
      </w:r>
      <w:r w:rsidR="00C11B57">
        <w:rPr>
          <w:rFonts w:ascii="Open Sans" w:hAnsi="Open Sans" w:cs="Open Sans"/>
        </w:rPr>
        <w:t xml:space="preserve">. </w:t>
      </w:r>
    </w:p>
    <w:p w14:paraId="504A9321" w14:textId="34549951" w:rsidR="00F9179A" w:rsidRDefault="0018659E" w:rsidP="006B5B9B">
      <w:pPr>
        <w:pStyle w:val="NormalArial"/>
        <w:spacing w:line="276" w:lineRule="auto"/>
        <w:rPr>
          <w:rFonts w:ascii="Open Sans" w:hAnsi="Open Sans" w:cs="Open Sans"/>
        </w:rPr>
      </w:pPr>
      <w:r>
        <w:rPr>
          <w:rFonts w:ascii="Open Sans" w:hAnsi="Open Sans" w:cs="Open Sans"/>
        </w:rPr>
        <w:t>To inform my decision</w:t>
      </w:r>
      <w:r w:rsidR="00F4039F">
        <w:rPr>
          <w:rFonts w:ascii="Open Sans" w:hAnsi="Open Sans" w:cs="Open Sans"/>
        </w:rPr>
        <w:t xml:space="preserve">, I have </w:t>
      </w:r>
      <w:r>
        <w:rPr>
          <w:rFonts w:ascii="Open Sans" w:hAnsi="Open Sans" w:cs="Open Sans"/>
        </w:rPr>
        <w:t xml:space="preserve">also </w:t>
      </w:r>
      <w:r w:rsidR="0083732C">
        <w:rPr>
          <w:rFonts w:ascii="Open Sans" w:hAnsi="Open Sans" w:cs="Open Sans"/>
        </w:rPr>
        <w:t>considered</w:t>
      </w:r>
      <w:r w:rsidR="00F4039F">
        <w:rPr>
          <w:rFonts w:ascii="Open Sans" w:hAnsi="Open Sans" w:cs="Open Sans"/>
        </w:rPr>
        <w:t xml:space="preserve"> the collateral </w:t>
      </w:r>
      <w:r w:rsidR="00015EFF">
        <w:rPr>
          <w:rFonts w:ascii="Open Sans" w:hAnsi="Open Sans" w:cs="Open Sans"/>
        </w:rPr>
        <w:t xml:space="preserve">evidence </w:t>
      </w:r>
      <w:r w:rsidR="00F4039F">
        <w:rPr>
          <w:rFonts w:ascii="Open Sans" w:hAnsi="Open Sans" w:cs="Open Sans"/>
        </w:rPr>
        <w:t xml:space="preserve">brought forward </w:t>
      </w:r>
      <w:r w:rsidR="00015EFF">
        <w:rPr>
          <w:rFonts w:ascii="Open Sans" w:hAnsi="Open Sans" w:cs="Open Sans"/>
        </w:rPr>
        <w:t>in 3(3)(a) and 3(3)(</w:t>
      </w:r>
      <w:r w:rsidR="00985B33">
        <w:rPr>
          <w:rFonts w:ascii="Open Sans" w:hAnsi="Open Sans" w:cs="Open Sans"/>
        </w:rPr>
        <w:t>e</w:t>
      </w:r>
      <w:r w:rsidR="00015EFF">
        <w:rPr>
          <w:rFonts w:ascii="Open Sans" w:hAnsi="Open Sans" w:cs="Open Sans"/>
        </w:rPr>
        <w:t>)</w:t>
      </w:r>
      <w:r w:rsidR="0083732C">
        <w:rPr>
          <w:rFonts w:ascii="Open Sans" w:hAnsi="Open Sans" w:cs="Open Sans"/>
        </w:rPr>
        <w:t xml:space="preserve"> by the Assessment Team</w:t>
      </w:r>
      <w:r w:rsidR="00015EFF">
        <w:rPr>
          <w:rFonts w:ascii="Open Sans" w:hAnsi="Open Sans" w:cs="Open Sans"/>
        </w:rPr>
        <w:t>. Specifically</w:t>
      </w:r>
      <w:r w:rsidR="006762EE">
        <w:rPr>
          <w:rFonts w:ascii="Open Sans" w:hAnsi="Open Sans" w:cs="Open Sans"/>
        </w:rPr>
        <w:t xml:space="preserve">, management have not considered how </w:t>
      </w:r>
      <w:r w:rsidR="008D2AF9">
        <w:rPr>
          <w:rFonts w:ascii="Open Sans" w:hAnsi="Open Sans" w:cs="Open Sans"/>
        </w:rPr>
        <w:t>assessment</w:t>
      </w:r>
      <w:r w:rsidR="0001423E">
        <w:rPr>
          <w:rFonts w:ascii="Open Sans" w:hAnsi="Open Sans" w:cs="Open Sans"/>
        </w:rPr>
        <w:t xml:space="preserve"> and planning of </w:t>
      </w:r>
      <w:r w:rsidR="006762EE">
        <w:rPr>
          <w:rFonts w:ascii="Open Sans" w:hAnsi="Open Sans" w:cs="Open Sans"/>
        </w:rPr>
        <w:t>mechanical</w:t>
      </w:r>
      <w:r w:rsidR="00760446">
        <w:rPr>
          <w:rFonts w:ascii="Open Sans" w:hAnsi="Open Sans" w:cs="Open Sans"/>
        </w:rPr>
        <w:t xml:space="preserve">, chemical and environmental </w:t>
      </w:r>
      <w:r w:rsidR="006762EE">
        <w:rPr>
          <w:rFonts w:ascii="Open Sans" w:hAnsi="Open Sans" w:cs="Open Sans"/>
        </w:rPr>
        <w:t>restrictive practices</w:t>
      </w:r>
      <w:r w:rsidR="00760446">
        <w:rPr>
          <w:rFonts w:ascii="Open Sans" w:hAnsi="Open Sans" w:cs="Open Sans"/>
        </w:rPr>
        <w:t xml:space="preserve"> used for some consumers</w:t>
      </w:r>
      <w:r w:rsidR="005007D6">
        <w:rPr>
          <w:rFonts w:ascii="Open Sans" w:hAnsi="Open Sans" w:cs="Open Sans"/>
        </w:rPr>
        <w:t xml:space="preserve"> impacts on </w:t>
      </w:r>
      <w:r w:rsidR="00651EF6">
        <w:rPr>
          <w:rFonts w:ascii="Open Sans" w:hAnsi="Open Sans" w:cs="Open Sans"/>
        </w:rPr>
        <w:t xml:space="preserve">safe delivery of </w:t>
      </w:r>
      <w:r w:rsidR="0083732C">
        <w:rPr>
          <w:rFonts w:ascii="Open Sans" w:hAnsi="Open Sans" w:cs="Open Sans"/>
        </w:rPr>
        <w:t>care</w:t>
      </w:r>
      <w:r w:rsidR="00651EF6">
        <w:rPr>
          <w:rFonts w:ascii="Open Sans" w:hAnsi="Open Sans" w:cs="Open Sans"/>
        </w:rPr>
        <w:t xml:space="preserve">. </w:t>
      </w:r>
      <w:r w:rsidR="00914377">
        <w:rPr>
          <w:rFonts w:ascii="Open Sans" w:hAnsi="Open Sans" w:cs="Open Sans"/>
        </w:rPr>
        <w:t xml:space="preserve">A consumer’s BSP does </w:t>
      </w:r>
      <w:r w:rsidR="00001C5D">
        <w:rPr>
          <w:rFonts w:ascii="Open Sans" w:hAnsi="Open Sans" w:cs="Open Sans"/>
        </w:rPr>
        <w:t xml:space="preserve">not identify </w:t>
      </w:r>
      <w:r w:rsidR="0012618B">
        <w:rPr>
          <w:rFonts w:ascii="Open Sans" w:hAnsi="Open Sans" w:cs="Open Sans"/>
        </w:rPr>
        <w:t xml:space="preserve">any assessment to rationalise the </w:t>
      </w:r>
      <w:r w:rsidR="00D643C4">
        <w:rPr>
          <w:rFonts w:ascii="Open Sans" w:hAnsi="Open Sans" w:cs="Open Sans"/>
        </w:rPr>
        <w:t xml:space="preserve">confining </w:t>
      </w:r>
      <w:r w:rsidR="0012618B">
        <w:rPr>
          <w:rFonts w:ascii="Open Sans" w:hAnsi="Open Sans" w:cs="Open Sans"/>
        </w:rPr>
        <w:t xml:space="preserve">of </w:t>
      </w:r>
      <w:r w:rsidR="00D643C4">
        <w:rPr>
          <w:rFonts w:ascii="Open Sans" w:hAnsi="Open Sans" w:cs="Open Sans"/>
        </w:rPr>
        <w:t xml:space="preserve">a consumer to a confined space using mechanical </w:t>
      </w:r>
      <w:r w:rsidR="003A1162">
        <w:rPr>
          <w:rFonts w:ascii="Open Sans" w:hAnsi="Open Sans" w:cs="Open Sans"/>
        </w:rPr>
        <w:t xml:space="preserve">devices, for </w:t>
      </w:r>
      <w:r w:rsidR="00906E40">
        <w:rPr>
          <w:rFonts w:ascii="Open Sans" w:hAnsi="Open Sans" w:cs="Open Sans"/>
        </w:rPr>
        <w:t xml:space="preserve">hours of the day </w:t>
      </w:r>
      <w:r w:rsidR="003A1162">
        <w:rPr>
          <w:rFonts w:ascii="Open Sans" w:hAnsi="Open Sans" w:cs="Open Sans"/>
        </w:rPr>
        <w:t xml:space="preserve">and without the </w:t>
      </w:r>
      <w:r w:rsidR="0012618B">
        <w:rPr>
          <w:rFonts w:ascii="Open Sans" w:hAnsi="Open Sans" w:cs="Open Sans"/>
        </w:rPr>
        <w:t>ability</w:t>
      </w:r>
      <w:r w:rsidR="003D4D0D">
        <w:rPr>
          <w:rFonts w:ascii="Open Sans" w:hAnsi="Open Sans" w:cs="Open Sans"/>
        </w:rPr>
        <w:t xml:space="preserve"> to </w:t>
      </w:r>
      <w:r w:rsidR="0012618B">
        <w:rPr>
          <w:rFonts w:ascii="Open Sans" w:hAnsi="Open Sans" w:cs="Open Sans"/>
        </w:rPr>
        <w:t>voluntarily</w:t>
      </w:r>
      <w:r w:rsidR="003D4D0D">
        <w:rPr>
          <w:rFonts w:ascii="Open Sans" w:hAnsi="Open Sans" w:cs="Open Sans"/>
        </w:rPr>
        <w:t xml:space="preserve"> leave</w:t>
      </w:r>
      <w:r w:rsidR="00C11B57">
        <w:rPr>
          <w:rFonts w:ascii="Open Sans" w:hAnsi="Open Sans" w:cs="Open Sans"/>
        </w:rPr>
        <w:t xml:space="preserve">. </w:t>
      </w:r>
      <w:r w:rsidR="00BA5D8D">
        <w:rPr>
          <w:rFonts w:ascii="Open Sans" w:hAnsi="Open Sans" w:cs="Open Sans"/>
        </w:rPr>
        <w:t xml:space="preserve">For other consumers subject to restrictive practices, </w:t>
      </w:r>
      <w:r w:rsidR="00923598">
        <w:rPr>
          <w:rFonts w:ascii="Open Sans" w:hAnsi="Open Sans" w:cs="Open Sans"/>
        </w:rPr>
        <w:t>behaviours</w:t>
      </w:r>
      <w:r w:rsidR="00F9179A">
        <w:rPr>
          <w:rFonts w:ascii="Open Sans" w:hAnsi="Open Sans" w:cs="Open Sans"/>
        </w:rPr>
        <w:t xml:space="preserve"> charts and progress notes do not </w:t>
      </w:r>
      <w:r w:rsidR="00923598">
        <w:rPr>
          <w:rFonts w:ascii="Open Sans" w:hAnsi="Open Sans" w:cs="Open Sans"/>
        </w:rPr>
        <w:t>consistently</w:t>
      </w:r>
      <w:r w:rsidR="00F9179A">
        <w:rPr>
          <w:rFonts w:ascii="Open Sans" w:hAnsi="Open Sans" w:cs="Open Sans"/>
        </w:rPr>
        <w:t xml:space="preserve"> </w:t>
      </w:r>
      <w:r w:rsidR="00923598">
        <w:rPr>
          <w:rFonts w:ascii="Open Sans" w:hAnsi="Open Sans" w:cs="Open Sans"/>
        </w:rPr>
        <w:t>note</w:t>
      </w:r>
      <w:r w:rsidR="00F9179A">
        <w:rPr>
          <w:rFonts w:ascii="Open Sans" w:hAnsi="Open Sans" w:cs="Open Sans"/>
        </w:rPr>
        <w:t xml:space="preserve"> the time of the behaviour, or personalised </w:t>
      </w:r>
      <w:r w:rsidR="00923598">
        <w:rPr>
          <w:rFonts w:ascii="Open Sans" w:hAnsi="Open Sans" w:cs="Open Sans"/>
        </w:rPr>
        <w:t>behaviour</w:t>
      </w:r>
      <w:r w:rsidR="00F9179A">
        <w:rPr>
          <w:rFonts w:ascii="Open Sans" w:hAnsi="Open Sans" w:cs="Open Sans"/>
        </w:rPr>
        <w:t xml:space="preserve"> support </w:t>
      </w:r>
      <w:r w:rsidR="00923598">
        <w:rPr>
          <w:rFonts w:ascii="Open Sans" w:hAnsi="Open Sans" w:cs="Open Sans"/>
        </w:rPr>
        <w:t>interventions</w:t>
      </w:r>
      <w:r w:rsidR="00F9179A">
        <w:rPr>
          <w:rFonts w:ascii="Open Sans" w:hAnsi="Open Sans" w:cs="Open Sans"/>
        </w:rPr>
        <w:t xml:space="preserve"> </w:t>
      </w:r>
      <w:r w:rsidR="00923598">
        <w:rPr>
          <w:rFonts w:ascii="Open Sans" w:hAnsi="Open Sans" w:cs="Open Sans"/>
        </w:rPr>
        <w:t>described</w:t>
      </w:r>
      <w:r w:rsidR="00F9179A">
        <w:rPr>
          <w:rFonts w:ascii="Open Sans" w:hAnsi="Open Sans" w:cs="Open Sans"/>
        </w:rPr>
        <w:t xml:space="preserve"> by staff.</w:t>
      </w:r>
    </w:p>
    <w:p w14:paraId="113C59AF" w14:textId="13445A1A" w:rsidR="00F9179A" w:rsidRDefault="00F9179A" w:rsidP="006B5B9B">
      <w:pPr>
        <w:pStyle w:val="NormalArial"/>
        <w:spacing w:line="276" w:lineRule="auto"/>
        <w:rPr>
          <w:rFonts w:ascii="Open Sans" w:hAnsi="Open Sans" w:cs="Open Sans"/>
        </w:rPr>
      </w:pPr>
      <w:r>
        <w:rPr>
          <w:rFonts w:ascii="Open Sans" w:hAnsi="Open Sans" w:cs="Open Sans"/>
        </w:rPr>
        <w:t>The p</w:t>
      </w:r>
      <w:r w:rsidR="00FF73A7">
        <w:rPr>
          <w:rFonts w:ascii="Open Sans" w:hAnsi="Open Sans" w:cs="Open Sans"/>
        </w:rPr>
        <w:t xml:space="preserve">rovider, in their response, </w:t>
      </w:r>
      <w:r w:rsidR="00B251D8">
        <w:rPr>
          <w:rFonts w:ascii="Open Sans" w:hAnsi="Open Sans" w:cs="Open Sans"/>
        </w:rPr>
        <w:t xml:space="preserve">acknowledged the deficiencies in </w:t>
      </w:r>
      <w:r w:rsidR="00C24D7D">
        <w:rPr>
          <w:rFonts w:ascii="Open Sans" w:hAnsi="Open Sans" w:cs="Open Sans"/>
        </w:rPr>
        <w:t>assessment and planning</w:t>
      </w:r>
      <w:r w:rsidR="008042AF">
        <w:rPr>
          <w:rFonts w:ascii="Open Sans" w:hAnsi="Open Sans" w:cs="Open Sans"/>
        </w:rPr>
        <w:t>. I acknowledge the action plan to drive quality improvements in relation to the identified deficiencies such as</w:t>
      </w:r>
      <w:r w:rsidR="00171440">
        <w:rPr>
          <w:rFonts w:ascii="Open Sans" w:hAnsi="Open Sans" w:cs="Open Sans"/>
        </w:rPr>
        <w:t xml:space="preserve"> </w:t>
      </w:r>
      <w:r w:rsidR="006A0FD5">
        <w:rPr>
          <w:rFonts w:ascii="Open Sans" w:hAnsi="Open Sans" w:cs="Open Sans"/>
        </w:rPr>
        <w:t>implementing validated assessment tools</w:t>
      </w:r>
      <w:r w:rsidR="00474B07">
        <w:rPr>
          <w:rFonts w:ascii="Open Sans" w:hAnsi="Open Sans" w:cs="Open Sans"/>
        </w:rPr>
        <w:t xml:space="preserve"> and </w:t>
      </w:r>
      <w:r w:rsidR="00055B9C">
        <w:rPr>
          <w:rFonts w:ascii="Open Sans" w:hAnsi="Open Sans" w:cs="Open Sans"/>
        </w:rPr>
        <w:t xml:space="preserve">improving oversight </w:t>
      </w:r>
      <w:r w:rsidR="00D17C12">
        <w:rPr>
          <w:rFonts w:ascii="Open Sans" w:hAnsi="Open Sans" w:cs="Open Sans"/>
        </w:rPr>
        <w:t xml:space="preserve">strategies </w:t>
      </w:r>
      <w:r w:rsidR="00A8006F">
        <w:rPr>
          <w:rFonts w:ascii="Open Sans" w:hAnsi="Open Sans" w:cs="Open Sans"/>
        </w:rPr>
        <w:t xml:space="preserve">for assessment and planning </w:t>
      </w:r>
      <w:r w:rsidR="00D17C12">
        <w:rPr>
          <w:rFonts w:ascii="Open Sans" w:hAnsi="Open Sans" w:cs="Open Sans"/>
        </w:rPr>
        <w:t>of self-medication administration</w:t>
      </w:r>
      <w:r w:rsidR="00474B07">
        <w:rPr>
          <w:rFonts w:ascii="Open Sans" w:hAnsi="Open Sans" w:cs="Open Sans"/>
        </w:rPr>
        <w:t xml:space="preserve">. </w:t>
      </w:r>
      <w:r w:rsidR="00832E02" w:rsidRPr="009803BC">
        <w:rPr>
          <w:rFonts w:ascii="Open Sans" w:hAnsi="Open Sans" w:cs="Open Sans"/>
        </w:rPr>
        <w:t>The provider acknowledge</w:t>
      </w:r>
      <w:r w:rsidR="006C6F3F">
        <w:rPr>
          <w:rFonts w:ascii="Open Sans" w:hAnsi="Open Sans" w:cs="Open Sans"/>
        </w:rPr>
        <w:t>d</w:t>
      </w:r>
      <w:r w:rsidR="00832E02" w:rsidRPr="009803BC">
        <w:rPr>
          <w:rFonts w:ascii="Open Sans" w:hAnsi="Open Sans" w:cs="Open Sans"/>
        </w:rPr>
        <w:t xml:space="preserve"> deficits relating to </w:t>
      </w:r>
      <w:r w:rsidR="00E1276C">
        <w:rPr>
          <w:rFonts w:ascii="Open Sans" w:hAnsi="Open Sans" w:cs="Open Sans"/>
        </w:rPr>
        <w:t xml:space="preserve">assessment and planning of </w:t>
      </w:r>
      <w:r w:rsidR="00832E02" w:rsidRPr="009803BC">
        <w:rPr>
          <w:rFonts w:ascii="Open Sans" w:hAnsi="Open Sans" w:cs="Open Sans"/>
        </w:rPr>
        <w:t>restrictive practice consent processes, and the need for these to be further strengthened</w:t>
      </w:r>
      <w:r w:rsidR="00832E02">
        <w:rPr>
          <w:rFonts w:ascii="Open Sans" w:hAnsi="Open Sans" w:cs="Open Sans"/>
        </w:rPr>
        <w:t>.</w:t>
      </w:r>
    </w:p>
    <w:p w14:paraId="4A9708F0" w14:textId="69FF7F6E" w:rsidR="005F46DC" w:rsidRDefault="005F46DC" w:rsidP="006B5B9B">
      <w:pPr>
        <w:pStyle w:val="NormalArial"/>
        <w:spacing w:line="276" w:lineRule="auto"/>
        <w:rPr>
          <w:rFonts w:ascii="Open Sans" w:hAnsi="Open Sans" w:cs="Open Sans"/>
        </w:rPr>
      </w:pPr>
      <w:r>
        <w:rPr>
          <w:rFonts w:ascii="Open Sans" w:hAnsi="Open Sans" w:cs="Open Sans"/>
        </w:rPr>
        <w:t>The Plan for Continuous Improvement (PCI) under requirement 2(3)(a) includes actions to:</w:t>
      </w:r>
    </w:p>
    <w:p w14:paraId="70E7FBEB" w14:textId="7A3552AD" w:rsidR="005F46DC" w:rsidRDefault="00C670A9" w:rsidP="006B5B9B">
      <w:pPr>
        <w:pStyle w:val="NormalArial"/>
        <w:numPr>
          <w:ilvl w:val="0"/>
          <w:numId w:val="17"/>
        </w:numPr>
        <w:spacing w:line="276" w:lineRule="auto"/>
        <w:ind w:left="357" w:hanging="357"/>
        <w:rPr>
          <w:rFonts w:ascii="Open Sans" w:hAnsi="Open Sans" w:cs="Open Sans"/>
        </w:rPr>
      </w:pPr>
      <w:r>
        <w:rPr>
          <w:rFonts w:ascii="Open Sans" w:hAnsi="Open Sans" w:cs="Open Sans"/>
        </w:rPr>
        <w:t>Ensure BSPs are updated and tailored</w:t>
      </w:r>
    </w:p>
    <w:p w14:paraId="763B3A65" w14:textId="13778268" w:rsidR="00D0689A" w:rsidRDefault="00D0689A" w:rsidP="006B5B9B">
      <w:pPr>
        <w:pStyle w:val="NormalArial"/>
        <w:numPr>
          <w:ilvl w:val="0"/>
          <w:numId w:val="17"/>
        </w:numPr>
        <w:spacing w:line="276" w:lineRule="auto"/>
        <w:ind w:left="357" w:hanging="357"/>
        <w:rPr>
          <w:rFonts w:ascii="Open Sans" w:hAnsi="Open Sans" w:cs="Open Sans"/>
        </w:rPr>
      </w:pPr>
      <w:r>
        <w:rPr>
          <w:rFonts w:ascii="Open Sans" w:hAnsi="Open Sans" w:cs="Open Sans"/>
        </w:rPr>
        <w:t xml:space="preserve">Add detailed </w:t>
      </w:r>
      <w:r w:rsidR="00E04E5E">
        <w:rPr>
          <w:rFonts w:ascii="Open Sans" w:hAnsi="Open Sans" w:cs="Open Sans"/>
        </w:rPr>
        <w:t>restrictive</w:t>
      </w:r>
      <w:r>
        <w:rPr>
          <w:rFonts w:ascii="Open Sans" w:hAnsi="Open Sans" w:cs="Open Sans"/>
        </w:rPr>
        <w:t xml:space="preserve"> practice guidance to BSPs</w:t>
      </w:r>
    </w:p>
    <w:p w14:paraId="24E666A5" w14:textId="5D05BB40" w:rsidR="00D0689A" w:rsidRDefault="00E04E5E" w:rsidP="006B5B9B">
      <w:pPr>
        <w:pStyle w:val="NormalArial"/>
        <w:numPr>
          <w:ilvl w:val="0"/>
          <w:numId w:val="17"/>
        </w:numPr>
        <w:spacing w:line="276" w:lineRule="auto"/>
        <w:ind w:left="357" w:hanging="357"/>
        <w:rPr>
          <w:rFonts w:ascii="Open Sans" w:hAnsi="Open Sans" w:cs="Open Sans"/>
        </w:rPr>
      </w:pPr>
      <w:r>
        <w:rPr>
          <w:rFonts w:ascii="Open Sans" w:hAnsi="Open Sans" w:cs="Open Sans"/>
        </w:rPr>
        <w:t>Ensure a quarterly audit of assessment completeness and restrictive practice documentation.</w:t>
      </w:r>
    </w:p>
    <w:p w14:paraId="68DAA084" w14:textId="71040229" w:rsidR="001C4CCB" w:rsidRDefault="001C4CCB" w:rsidP="006B5B9B">
      <w:pPr>
        <w:pStyle w:val="NormalArial"/>
        <w:numPr>
          <w:ilvl w:val="0"/>
          <w:numId w:val="17"/>
        </w:numPr>
        <w:spacing w:line="276" w:lineRule="auto"/>
        <w:ind w:left="357" w:hanging="357"/>
        <w:rPr>
          <w:rFonts w:ascii="Open Sans" w:hAnsi="Open Sans" w:cs="Open Sans"/>
        </w:rPr>
      </w:pPr>
      <w:r>
        <w:rPr>
          <w:rFonts w:ascii="Open Sans" w:hAnsi="Open Sans" w:cs="Open Sans"/>
        </w:rPr>
        <w:t xml:space="preserve">Ensure staff receive training </w:t>
      </w:r>
    </w:p>
    <w:p w14:paraId="1D6FF97C" w14:textId="55E5904C" w:rsidR="00832E02" w:rsidRPr="009B0AD5" w:rsidRDefault="00367975" w:rsidP="006B5B9B">
      <w:pPr>
        <w:pStyle w:val="NormalArial"/>
        <w:spacing w:line="276" w:lineRule="auto"/>
        <w:rPr>
          <w:rFonts w:ascii="Open Sans" w:hAnsi="Open Sans" w:cs="Open Sans"/>
          <w:i/>
          <w:iCs/>
        </w:rPr>
      </w:pPr>
      <w:r w:rsidRPr="00367975">
        <w:rPr>
          <w:rFonts w:ascii="Open Sans" w:hAnsi="Open Sans" w:cs="Open Sans"/>
        </w:rPr>
        <w:t xml:space="preserve">Other actions implemented include collecting life stories and behavioural insights, including through engagement of families and integrating these into BSPs; auditing current BSPs to identify gaps in personalisation and relevance; and prioritising consumers with complex behaviours or recent related incidents for immediate review. Staff have recently attended a training session encompassing restrictive practices, psychotropic medication management, and </w:t>
      </w:r>
      <w:r w:rsidRPr="00367975">
        <w:rPr>
          <w:rFonts w:ascii="Open Sans" w:hAnsi="Open Sans" w:cs="Open Sans"/>
        </w:rPr>
        <w:lastRenderedPageBreak/>
        <w:t>care needs and assessment</w:t>
      </w:r>
      <w:r w:rsidR="00035998">
        <w:rPr>
          <w:rFonts w:ascii="Open Sans" w:hAnsi="Open Sans" w:cs="Open Sans"/>
        </w:rPr>
        <w:t xml:space="preserve">, however, there is insufficient evidence </w:t>
      </w:r>
      <w:r w:rsidR="00387ADE">
        <w:rPr>
          <w:rFonts w:ascii="Open Sans" w:hAnsi="Open Sans" w:cs="Open Sans"/>
        </w:rPr>
        <w:t xml:space="preserve">in the provider’s response </w:t>
      </w:r>
      <w:r w:rsidR="009B0AD5">
        <w:rPr>
          <w:rFonts w:ascii="Open Sans" w:hAnsi="Open Sans" w:cs="Open Sans"/>
        </w:rPr>
        <w:t xml:space="preserve">to substantiate the training </w:t>
      </w:r>
      <w:r w:rsidR="001C59A3">
        <w:rPr>
          <w:rFonts w:ascii="Open Sans" w:hAnsi="Open Sans" w:cs="Open Sans"/>
        </w:rPr>
        <w:t>has been completed.</w:t>
      </w:r>
    </w:p>
    <w:p w14:paraId="5D8AB5CB" w14:textId="2DB76A51" w:rsidR="00CF3B64" w:rsidRPr="00CF3B64" w:rsidRDefault="00CF3B64" w:rsidP="006B5B9B">
      <w:pPr>
        <w:pStyle w:val="NormalArial"/>
        <w:spacing w:line="276" w:lineRule="auto"/>
        <w:rPr>
          <w:rFonts w:ascii="Open Sans" w:hAnsi="Open Sans" w:cs="Open Sans"/>
        </w:rPr>
      </w:pPr>
      <w:r w:rsidRPr="00CF3B64">
        <w:rPr>
          <w:rFonts w:ascii="Open Sans" w:hAnsi="Open Sans" w:cs="Open Sans"/>
        </w:rPr>
        <w:t xml:space="preserve">I acknowledge the </w:t>
      </w:r>
      <w:r w:rsidR="00387ADE">
        <w:rPr>
          <w:rFonts w:ascii="Open Sans" w:hAnsi="Open Sans" w:cs="Open Sans"/>
        </w:rPr>
        <w:t xml:space="preserve">totality of the </w:t>
      </w:r>
      <w:r w:rsidRPr="00CF3B64">
        <w:rPr>
          <w:rFonts w:ascii="Open Sans" w:hAnsi="Open Sans" w:cs="Open Sans"/>
        </w:rPr>
        <w:t xml:space="preserve">provider’s response. However, I find assessment and planning processes do not sufficiently inform the delivery of safe and effective care and </w:t>
      </w:r>
      <w:r w:rsidR="00A75308" w:rsidRPr="00CF3B64">
        <w:rPr>
          <w:rFonts w:ascii="Open Sans" w:hAnsi="Open Sans" w:cs="Open Sans"/>
        </w:rPr>
        <w:t>services or</w:t>
      </w:r>
      <w:r w:rsidRPr="00CF3B64">
        <w:rPr>
          <w:rFonts w:ascii="Open Sans" w:hAnsi="Open Sans" w:cs="Open Sans"/>
        </w:rPr>
        <w:t xml:space="preserve"> consider risk. In coming to my finding, I have placed weight on the Assessment Team’s report. </w:t>
      </w:r>
      <w:r w:rsidR="00EB2758">
        <w:rPr>
          <w:rFonts w:ascii="Open Sans" w:hAnsi="Open Sans" w:cs="Open Sans"/>
        </w:rPr>
        <w:t>For example</w:t>
      </w:r>
      <w:r w:rsidR="002333DF">
        <w:rPr>
          <w:rFonts w:ascii="Open Sans" w:hAnsi="Open Sans" w:cs="Open Sans"/>
        </w:rPr>
        <w:t>, f</w:t>
      </w:r>
      <w:r w:rsidRPr="00CF3B64">
        <w:rPr>
          <w:rFonts w:ascii="Open Sans" w:hAnsi="Open Sans" w:cs="Open Sans"/>
        </w:rPr>
        <w:t xml:space="preserve">or consumer’s highlighted, care plans and other related care documentation do not include correct, </w:t>
      </w:r>
      <w:r w:rsidR="00417AB6" w:rsidRPr="00CF3B64">
        <w:rPr>
          <w:rFonts w:ascii="Open Sans" w:hAnsi="Open Sans" w:cs="Open Sans"/>
        </w:rPr>
        <w:t>sufficient,</w:t>
      </w:r>
      <w:r w:rsidRPr="00CF3B64">
        <w:rPr>
          <w:rFonts w:ascii="Open Sans" w:hAnsi="Open Sans" w:cs="Open Sans"/>
        </w:rPr>
        <w:t xml:space="preserve"> or tailored information to guide staff in the provision of consumers’ care. For </w:t>
      </w:r>
      <w:r w:rsidR="000D348E" w:rsidRPr="00CF3B64">
        <w:rPr>
          <w:rFonts w:ascii="Open Sans" w:hAnsi="Open Sans" w:cs="Open Sans"/>
        </w:rPr>
        <w:t>two</w:t>
      </w:r>
      <w:r w:rsidRPr="00CF3B64">
        <w:rPr>
          <w:rFonts w:ascii="Open Sans" w:hAnsi="Open Sans" w:cs="Open Sans"/>
        </w:rPr>
        <w:t xml:space="preserve"> consumers, there was insufficient or inconsistent information in monitoring charts, directives and care planning. Personalised strategies described by staff are not reflected on behaviour charting or progress notes to enable identification and inclusion in the BSP to guide all staff in the management of a consumer’s behaviours. I have also considered management and staff have not demonstrated a</w:t>
      </w:r>
      <w:r w:rsidR="0099349D">
        <w:rPr>
          <w:rFonts w:ascii="Open Sans" w:hAnsi="Open Sans" w:cs="Open Sans"/>
        </w:rPr>
        <w:t xml:space="preserve"> shared </w:t>
      </w:r>
      <w:r w:rsidRPr="00CF3B64">
        <w:rPr>
          <w:rFonts w:ascii="Open Sans" w:hAnsi="Open Sans" w:cs="Open Sans"/>
        </w:rPr>
        <w:t xml:space="preserve">understanding of their legislative responsibilities in relation </w:t>
      </w:r>
      <w:r w:rsidR="00DA0D12">
        <w:rPr>
          <w:rFonts w:ascii="Open Sans" w:hAnsi="Open Sans" w:cs="Open Sans"/>
        </w:rPr>
        <w:t xml:space="preserve">assessment and planning </w:t>
      </w:r>
      <w:r w:rsidR="003C63FC">
        <w:rPr>
          <w:rFonts w:ascii="Open Sans" w:hAnsi="Open Sans" w:cs="Open Sans"/>
        </w:rPr>
        <w:t xml:space="preserve">for </w:t>
      </w:r>
      <w:r w:rsidRPr="00CF3B64">
        <w:rPr>
          <w:rFonts w:ascii="Open Sans" w:hAnsi="Open Sans" w:cs="Open Sans"/>
        </w:rPr>
        <w:t>use of chemical</w:t>
      </w:r>
      <w:r w:rsidR="00E13565">
        <w:rPr>
          <w:rFonts w:ascii="Open Sans" w:hAnsi="Open Sans" w:cs="Open Sans"/>
        </w:rPr>
        <w:t>, mechanical</w:t>
      </w:r>
      <w:r w:rsidRPr="00CF3B64">
        <w:rPr>
          <w:rFonts w:ascii="Open Sans" w:hAnsi="Open Sans" w:cs="Open Sans"/>
        </w:rPr>
        <w:t xml:space="preserve"> and environmental restrictive practices, including undertaking discussions relating to risks and consent</w:t>
      </w:r>
      <w:r w:rsidR="00E13565">
        <w:rPr>
          <w:rFonts w:ascii="Open Sans" w:hAnsi="Open Sans" w:cs="Open Sans"/>
        </w:rPr>
        <w:t xml:space="preserve"> for </w:t>
      </w:r>
      <w:r w:rsidR="003C63FC">
        <w:rPr>
          <w:rFonts w:ascii="Open Sans" w:hAnsi="Open Sans" w:cs="Open Sans"/>
        </w:rPr>
        <w:t>improvised restraint</w:t>
      </w:r>
      <w:r w:rsidRPr="00CF3B64">
        <w:rPr>
          <w:rFonts w:ascii="Open Sans" w:hAnsi="Open Sans" w:cs="Open Sans"/>
        </w:rPr>
        <w:t xml:space="preserve">. As highlighted in requirement 3(3)(a), use of </w:t>
      </w:r>
      <w:r w:rsidR="00385CE1">
        <w:rPr>
          <w:rFonts w:ascii="Open Sans" w:hAnsi="Open Sans" w:cs="Open Sans"/>
        </w:rPr>
        <w:t xml:space="preserve">an improvised form of </w:t>
      </w:r>
      <w:r w:rsidR="00FF0003">
        <w:rPr>
          <w:rFonts w:ascii="Open Sans" w:hAnsi="Open Sans" w:cs="Open Sans"/>
        </w:rPr>
        <w:t>seclusion</w:t>
      </w:r>
      <w:r w:rsidRPr="00CF3B64">
        <w:rPr>
          <w:rFonts w:ascii="Open Sans" w:hAnsi="Open Sans" w:cs="Open Sans"/>
        </w:rPr>
        <w:t xml:space="preserve"> </w:t>
      </w:r>
      <w:r w:rsidR="0099349D">
        <w:rPr>
          <w:rFonts w:ascii="Open Sans" w:hAnsi="Open Sans" w:cs="Open Sans"/>
        </w:rPr>
        <w:t>was</w:t>
      </w:r>
      <w:r w:rsidRPr="00CF3B64">
        <w:rPr>
          <w:rFonts w:ascii="Open Sans" w:hAnsi="Open Sans" w:cs="Open Sans"/>
        </w:rPr>
        <w:t xml:space="preserve"> identified</w:t>
      </w:r>
      <w:r w:rsidR="001A358A">
        <w:rPr>
          <w:rFonts w:ascii="Open Sans" w:hAnsi="Open Sans" w:cs="Open Sans"/>
        </w:rPr>
        <w:t xml:space="preserve"> by the Assessment Team</w:t>
      </w:r>
      <w:r w:rsidRPr="00CF3B64">
        <w:rPr>
          <w:rFonts w:ascii="Open Sans" w:hAnsi="Open Sans" w:cs="Open Sans"/>
        </w:rPr>
        <w:t xml:space="preserve">, therefore, related assessment and planning processes have not been undertaken to identify those consumers impacted. </w:t>
      </w:r>
    </w:p>
    <w:p w14:paraId="2D6D23F5" w14:textId="15C98944" w:rsidR="00CF3B64" w:rsidRPr="00CF3B64" w:rsidRDefault="00CF3B64" w:rsidP="006B5B9B">
      <w:pPr>
        <w:pStyle w:val="NormalArial"/>
        <w:spacing w:line="276" w:lineRule="auto"/>
        <w:rPr>
          <w:rFonts w:ascii="Open Sans" w:hAnsi="Open Sans" w:cs="Open Sans"/>
        </w:rPr>
      </w:pPr>
      <w:r w:rsidRPr="00CF3B64">
        <w:rPr>
          <w:rFonts w:ascii="Open Sans" w:hAnsi="Open Sans" w:cs="Open Sans"/>
        </w:rPr>
        <w:t>I acknowledge a BSP, included in the provider’s response, outlines behaviours, triggers, outcomes and best practice strategies to support a consumer, aligned with their diagnos</w:t>
      </w:r>
      <w:r w:rsidR="00BD1D44">
        <w:rPr>
          <w:rFonts w:ascii="Open Sans" w:hAnsi="Open Sans" w:cs="Open Sans"/>
        </w:rPr>
        <w:t>es</w:t>
      </w:r>
      <w:r w:rsidR="00417AB6">
        <w:rPr>
          <w:rFonts w:ascii="Open Sans" w:hAnsi="Open Sans" w:cs="Open Sans"/>
        </w:rPr>
        <w:t>.</w:t>
      </w:r>
      <w:r w:rsidR="00417AB6" w:rsidRPr="00CF3B64">
        <w:rPr>
          <w:rFonts w:ascii="Open Sans" w:hAnsi="Open Sans" w:cs="Open Sans"/>
        </w:rPr>
        <w:t xml:space="preserve"> </w:t>
      </w:r>
    </w:p>
    <w:p w14:paraId="21C67B62" w14:textId="77777777" w:rsidR="008A5F25" w:rsidRDefault="00BE4C6F" w:rsidP="006B5B9B">
      <w:pPr>
        <w:pStyle w:val="NormalArial"/>
        <w:spacing w:line="276" w:lineRule="auto"/>
        <w:rPr>
          <w:rFonts w:ascii="Open Sans" w:hAnsi="Open Sans" w:cs="Open Sans"/>
        </w:rPr>
      </w:pPr>
      <w:r>
        <w:rPr>
          <w:rFonts w:ascii="Open Sans" w:hAnsi="Open Sans" w:cs="Open Sans"/>
        </w:rPr>
        <w:t xml:space="preserve">In reaching this decision, I have undertaken a comprehensive evaluation of all evidence presented for consideration. I have applied a weight-of-evidence approach, giving due regard to the probative value, reliability and relevance of each source of material. This evaluative process has informed and substantiated the regulatory decision herein. </w:t>
      </w:r>
      <w:r w:rsidR="00CF3B64" w:rsidRPr="00CF3B64">
        <w:rPr>
          <w:rFonts w:ascii="Open Sans" w:hAnsi="Open Sans" w:cs="Open Sans"/>
        </w:rPr>
        <w:t xml:space="preserve">I acknowledge actions taken by the provider to address deficits identified for consumers highlighted in the Assessment Team’s report. </w:t>
      </w:r>
    </w:p>
    <w:p w14:paraId="4F094778" w14:textId="5A03E919" w:rsidR="00CF3B64" w:rsidRPr="00CF3B64" w:rsidRDefault="00CF3B64" w:rsidP="006B5B9B">
      <w:pPr>
        <w:pStyle w:val="NormalArial"/>
        <w:spacing w:line="276" w:lineRule="auto"/>
        <w:rPr>
          <w:rFonts w:ascii="Open Sans" w:hAnsi="Open Sans" w:cs="Open Sans"/>
        </w:rPr>
      </w:pPr>
      <w:r w:rsidRPr="00CF3B64">
        <w:rPr>
          <w:rFonts w:ascii="Open Sans" w:hAnsi="Open Sans" w:cs="Open Sans"/>
        </w:rPr>
        <w:t>However, the issues have not been identified by the organisation’s own processes</w:t>
      </w:r>
      <w:r w:rsidR="00305141">
        <w:rPr>
          <w:rFonts w:ascii="Open Sans" w:hAnsi="Open Sans" w:cs="Open Sans"/>
        </w:rPr>
        <w:t xml:space="preserve">. Although the </w:t>
      </w:r>
      <w:r w:rsidR="00E74021">
        <w:rPr>
          <w:rFonts w:ascii="Open Sans" w:hAnsi="Open Sans" w:cs="Open Sans"/>
        </w:rPr>
        <w:t>pl</w:t>
      </w:r>
      <w:r w:rsidRPr="00CF3B64">
        <w:rPr>
          <w:rFonts w:ascii="Open Sans" w:hAnsi="Open Sans" w:cs="Open Sans"/>
        </w:rPr>
        <w:t xml:space="preserve">an for continuous improvement (PCI) </w:t>
      </w:r>
      <w:r w:rsidR="00305141">
        <w:rPr>
          <w:rFonts w:ascii="Open Sans" w:hAnsi="Open Sans" w:cs="Open Sans"/>
        </w:rPr>
        <w:t xml:space="preserve">contains </w:t>
      </w:r>
      <w:r w:rsidR="00E74021">
        <w:rPr>
          <w:rFonts w:ascii="Open Sans" w:hAnsi="Open Sans" w:cs="Open Sans"/>
        </w:rPr>
        <w:t xml:space="preserve">tangible planned actions specific to this requirement, </w:t>
      </w:r>
      <w:r w:rsidR="003D60BF">
        <w:rPr>
          <w:rFonts w:ascii="Open Sans" w:hAnsi="Open Sans" w:cs="Open Sans"/>
        </w:rPr>
        <w:t xml:space="preserve">the service has </w:t>
      </w:r>
      <w:r w:rsidR="00277D56">
        <w:rPr>
          <w:rFonts w:ascii="Open Sans" w:hAnsi="Open Sans" w:cs="Open Sans"/>
        </w:rPr>
        <w:t xml:space="preserve">taken a reactionary approach </w:t>
      </w:r>
      <w:r w:rsidR="00247D21">
        <w:rPr>
          <w:rFonts w:ascii="Open Sans" w:hAnsi="Open Sans" w:cs="Open Sans"/>
        </w:rPr>
        <w:t xml:space="preserve">and has therefore </w:t>
      </w:r>
      <w:r w:rsidR="003D60BF">
        <w:rPr>
          <w:rFonts w:ascii="Open Sans" w:hAnsi="Open Sans" w:cs="Open Sans"/>
        </w:rPr>
        <w:t>not had time</w:t>
      </w:r>
      <w:r w:rsidR="001E3556">
        <w:rPr>
          <w:rFonts w:ascii="Open Sans" w:hAnsi="Open Sans" w:cs="Open Sans"/>
        </w:rPr>
        <w:t xml:space="preserve"> to</w:t>
      </w:r>
      <w:r w:rsidR="003D60BF">
        <w:rPr>
          <w:rFonts w:ascii="Open Sans" w:hAnsi="Open Sans" w:cs="Open Sans"/>
        </w:rPr>
        <w:t xml:space="preserve"> embed new systems and processes</w:t>
      </w:r>
      <w:r w:rsidR="00247D21">
        <w:rPr>
          <w:rFonts w:ascii="Open Sans" w:hAnsi="Open Sans" w:cs="Open Sans"/>
        </w:rPr>
        <w:t>.</w:t>
      </w:r>
      <w:r w:rsidR="006810D8">
        <w:rPr>
          <w:rFonts w:ascii="Open Sans" w:hAnsi="Open Sans" w:cs="Open Sans"/>
        </w:rPr>
        <w:t xml:space="preserve"> </w:t>
      </w:r>
      <w:r w:rsidR="002463CF">
        <w:rPr>
          <w:rFonts w:ascii="Open Sans" w:hAnsi="Open Sans" w:cs="Open Sans"/>
        </w:rPr>
        <w:t xml:space="preserve">I have considered </w:t>
      </w:r>
      <w:r w:rsidR="000D2732">
        <w:rPr>
          <w:rFonts w:ascii="Open Sans" w:hAnsi="Open Sans" w:cs="Open Sans"/>
        </w:rPr>
        <w:t>whether it is more probable than not</w:t>
      </w:r>
      <w:r w:rsidR="002903D0">
        <w:rPr>
          <w:rFonts w:ascii="Open Sans" w:hAnsi="Open Sans" w:cs="Open Sans"/>
        </w:rPr>
        <w:t xml:space="preserve">, based on the totality of </w:t>
      </w:r>
      <w:r w:rsidR="002463CF">
        <w:rPr>
          <w:rFonts w:ascii="Open Sans" w:hAnsi="Open Sans" w:cs="Open Sans"/>
        </w:rPr>
        <w:t>evidence</w:t>
      </w:r>
      <w:r w:rsidR="009B2F27">
        <w:rPr>
          <w:rFonts w:ascii="Open Sans" w:hAnsi="Open Sans" w:cs="Open Sans"/>
        </w:rPr>
        <w:t xml:space="preserve"> available, that the provider has not demonstrated </w:t>
      </w:r>
      <w:r w:rsidR="009B2F27">
        <w:rPr>
          <w:rFonts w:ascii="Open Sans" w:hAnsi="Open Sans" w:cs="Open Sans"/>
        </w:rPr>
        <w:lastRenderedPageBreak/>
        <w:t xml:space="preserve">compliance </w:t>
      </w:r>
      <w:r w:rsidR="004F6067">
        <w:rPr>
          <w:rFonts w:ascii="Open Sans" w:hAnsi="Open Sans" w:cs="Open Sans"/>
        </w:rPr>
        <w:t xml:space="preserve">with Requirement 2(3)(a). </w:t>
      </w:r>
      <w:r w:rsidR="000A182E">
        <w:rPr>
          <w:rFonts w:ascii="Open Sans" w:hAnsi="Open Sans" w:cs="Open Sans"/>
        </w:rPr>
        <w:t xml:space="preserve">I have placed weight on the reliability, cogency </w:t>
      </w:r>
      <w:r w:rsidR="00E94147">
        <w:rPr>
          <w:rFonts w:ascii="Open Sans" w:hAnsi="Open Sans" w:cs="Open Sans"/>
        </w:rPr>
        <w:t>and probative</w:t>
      </w:r>
      <w:r w:rsidR="00F01912">
        <w:rPr>
          <w:rFonts w:ascii="Open Sans" w:hAnsi="Open Sans" w:cs="Open Sans"/>
        </w:rPr>
        <w:t xml:space="preserve"> value of all evidence before me</w:t>
      </w:r>
      <w:r w:rsidR="005D1F0D">
        <w:rPr>
          <w:rFonts w:ascii="Open Sans" w:hAnsi="Open Sans" w:cs="Open Sans"/>
        </w:rPr>
        <w:t xml:space="preserve"> and</w:t>
      </w:r>
      <w:r w:rsidR="00F01912">
        <w:rPr>
          <w:rFonts w:ascii="Open Sans" w:hAnsi="Open Sans" w:cs="Open Sans"/>
        </w:rPr>
        <w:t xml:space="preserve"> I am satisfied </w:t>
      </w:r>
      <w:r w:rsidR="005512C1">
        <w:rPr>
          <w:rFonts w:ascii="Open Sans" w:hAnsi="Open Sans" w:cs="Open Sans"/>
        </w:rPr>
        <w:t>that the threshold has been met to support a finding on non-compliance.</w:t>
      </w:r>
    </w:p>
    <w:p w14:paraId="4DB98FDF" w14:textId="74FCF71D" w:rsidR="00247D21" w:rsidRDefault="00CF3B64" w:rsidP="006B5B9B">
      <w:pPr>
        <w:pStyle w:val="NormalArial"/>
        <w:spacing w:line="276" w:lineRule="auto"/>
        <w:rPr>
          <w:rFonts w:ascii="Open Sans" w:hAnsi="Open Sans" w:cs="Open Sans"/>
        </w:rPr>
      </w:pPr>
      <w:r w:rsidRPr="00CF3B64">
        <w:rPr>
          <w:rFonts w:ascii="Open Sans" w:hAnsi="Open Sans" w:cs="Open Sans"/>
        </w:rPr>
        <w:t>For the reasons detailed above, I find requirement 2(3)(a) non-compliant</w:t>
      </w:r>
      <w:r w:rsidR="00417AB6" w:rsidRPr="00CF3B64">
        <w:rPr>
          <w:rFonts w:ascii="Open Sans" w:hAnsi="Open Sans" w:cs="Open Sans"/>
        </w:rPr>
        <w:t xml:space="preserve">. </w:t>
      </w:r>
    </w:p>
    <w:p w14:paraId="1F24E50A" w14:textId="3B88A2CB" w:rsidR="00194054" w:rsidRDefault="00247D21" w:rsidP="006B5B9B">
      <w:pPr>
        <w:pStyle w:val="NormalArial"/>
        <w:spacing w:line="276" w:lineRule="auto"/>
        <w:rPr>
          <w:rFonts w:ascii="Open Sans" w:hAnsi="Open Sans" w:cs="Open Sans"/>
        </w:rPr>
      </w:pPr>
      <w:r w:rsidRPr="00B6104C">
        <w:rPr>
          <w:rFonts w:ascii="Open Sans" w:hAnsi="Open Sans" w:cs="Open Sans"/>
          <w:b/>
          <w:bCs/>
        </w:rPr>
        <w:t>Requirement 2(3)(</w:t>
      </w:r>
      <w:r>
        <w:rPr>
          <w:rFonts w:ascii="Open Sans" w:hAnsi="Open Sans" w:cs="Open Sans"/>
          <w:b/>
          <w:bCs/>
        </w:rPr>
        <w:t>e</w:t>
      </w:r>
      <w:r w:rsidRPr="00B6104C">
        <w:rPr>
          <w:rFonts w:ascii="Open Sans" w:hAnsi="Open Sans" w:cs="Open Sans"/>
          <w:b/>
          <w:bCs/>
        </w:rPr>
        <w:t>)</w:t>
      </w:r>
      <w:r w:rsidRPr="00B6104C">
        <w:rPr>
          <w:rFonts w:ascii="Open Sans" w:hAnsi="Open Sans" w:cs="Open Sans"/>
        </w:rPr>
        <w:t xml:space="preserve"> </w:t>
      </w:r>
      <w:r w:rsidR="00B45742">
        <w:rPr>
          <w:rFonts w:ascii="Open Sans" w:hAnsi="Open Sans" w:cs="Open Sans"/>
        </w:rPr>
        <w:t xml:space="preserve">– </w:t>
      </w:r>
      <w:r w:rsidR="001D2CFA">
        <w:rPr>
          <w:rFonts w:ascii="Open Sans" w:hAnsi="Open Sans" w:cs="Open Sans"/>
        </w:rPr>
        <w:t>At the Assessment Contact 29</w:t>
      </w:r>
      <w:r w:rsidR="001A5100">
        <w:rPr>
          <w:rFonts w:ascii="Open Sans" w:hAnsi="Open Sans" w:cs="Open Sans"/>
        </w:rPr>
        <w:t xml:space="preserve"> </w:t>
      </w:r>
      <w:r w:rsidR="001D2CFA">
        <w:rPr>
          <w:rFonts w:ascii="Open Sans" w:hAnsi="Open Sans" w:cs="Open Sans"/>
        </w:rPr>
        <w:t>-</w:t>
      </w:r>
      <w:r w:rsidR="001A5100">
        <w:rPr>
          <w:rFonts w:ascii="Open Sans" w:hAnsi="Open Sans" w:cs="Open Sans"/>
        </w:rPr>
        <w:t xml:space="preserve"> </w:t>
      </w:r>
      <w:r w:rsidR="001D2CFA">
        <w:rPr>
          <w:rFonts w:ascii="Open Sans" w:hAnsi="Open Sans" w:cs="Open Sans"/>
        </w:rPr>
        <w:t>31 July 2025 t</w:t>
      </w:r>
      <w:r w:rsidR="00B45742">
        <w:rPr>
          <w:rFonts w:ascii="Open Sans" w:hAnsi="Open Sans" w:cs="Open Sans"/>
        </w:rPr>
        <w:t xml:space="preserve">he Assessment </w:t>
      </w:r>
      <w:r w:rsidR="005156D7">
        <w:rPr>
          <w:rFonts w:ascii="Open Sans" w:hAnsi="Open Sans" w:cs="Open Sans"/>
        </w:rPr>
        <w:t xml:space="preserve">Team </w:t>
      </w:r>
      <w:r w:rsidR="00B45742">
        <w:rPr>
          <w:rFonts w:ascii="Open Sans" w:hAnsi="Open Sans" w:cs="Open Sans"/>
        </w:rPr>
        <w:t xml:space="preserve">found </w:t>
      </w:r>
      <w:r w:rsidR="000159E5">
        <w:rPr>
          <w:rFonts w:ascii="Open Sans" w:hAnsi="Open Sans" w:cs="Open Sans"/>
        </w:rPr>
        <w:t xml:space="preserve">care plans </w:t>
      </w:r>
      <w:r w:rsidR="00B85909">
        <w:rPr>
          <w:rFonts w:ascii="Open Sans" w:hAnsi="Open Sans" w:cs="Open Sans"/>
        </w:rPr>
        <w:t>were</w:t>
      </w:r>
      <w:r w:rsidR="008934B5">
        <w:rPr>
          <w:rFonts w:ascii="Open Sans" w:hAnsi="Open Sans" w:cs="Open Sans"/>
        </w:rPr>
        <w:t xml:space="preserve"> not consistently updated to reflect changes to consumer’s care and some reviews are not undertaken</w:t>
      </w:r>
      <w:r w:rsidR="00336AE3">
        <w:rPr>
          <w:rFonts w:ascii="Open Sans" w:hAnsi="Open Sans" w:cs="Open Sans"/>
        </w:rPr>
        <w:t xml:space="preserve"> when indicated. The Assessment Team recommended </w:t>
      </w:r>
      <w:r w:rsidR="00194054">
        <w:rPr>
          <w:rFonts w:ascii="Open Sans" w:hAnsi="Open Sans" w:cs="Open Sans"/>
        </w:rPr>
        <w:t>requirement</w:t>
      </w:r>
      <w:r w:rsidR="00336AE3">
        <w:rPr>
          <w:rFonts w:ascii="Open Sans" w:hAnsi="Open Sans" w:cs="Open Sans"/>
        </w:rPr>
        <w:t xml:space="preserve"> 2(3)(e) </w:t>
      </w:r>
      <w:r w:rsidR="00301D43">
        <w:rPr>
          <w:rFonts w:ascii="Open Sans" w:hAnsi="Open Sans" w:cs="Open Sans"/>
        </w:rPr>
        <w:t xml:space="preserve">not met and provided the following collateral </w:t>
      </w:r>
      <w:r w:rsidR="00194054">
        <w:rPr>
          <w:rFonts w:ascii="Open Sans" w:hAnsi="Open Sans" w:cs="Open Sans"/>
        </w:rPr>
        <w:t>collected</w:t>
      </w:r>
      <w:r w:rsidR="00301D43">
        <w:rPr>
          <w:rFonts w:ascii="Open Sans" w:hAnsi="Open Sans" w:cs="Open Sans"/>
        </w:rPr>
        <w:t xml:space="preserve"> through interviews and document review</w:t>
      </w:r>
      <w:r w:rsidR="00194054">
        <w:rPr>
          <w:rFonts w:ascii="Open Sans" w:hAnsi="Open Sans" w:cs="Open Sans"/>
        </w:rPr>
        <w:t>s.</w:t>
      </w:r>
    </w:p>
    <w:p w14:paraId="4B4B2343" w14:textId="35D99206" w:rsidR="00DA5132" w:rsidRDefault="00430560" w:rsidP="006B5B9B">
      <w:pPr>
        <w:pStyle w:val="NormalArial"/>
        <w:spacing w:line="276" w:lineRule="auto"/>
        <w:rPr>
          <w:rFonts w:ascii="Open Sans" w:hAnsi="Open Sans" w:cs="Open Sans"/>
        </w:rPr>
      </w:pPr>
      <w:r>
        <w:rPr>
          <w:rFonts w:ascii="Open Sans" w:hAnsi="Open Sans" w:cs="Open Sans"/>
        </w:rPr>
        <w:t>The electronic clinical management system</w:t>
      </w:r>
      <w:r w:rsidR="00365DDD">
        <w:rPr>
          <w:rFonts w:ascii="Open Sans" w:hAnsi="Open Sans" w:cs="Open Sans"/>
        </w:rPr>
        <w:t xml:space="preserve"> evidenced </w:t>
      </w:r>
      <w:r w:rsidR="000D348E">
        <w:rPr>
          <w:rFonts w:ascii="Open Sans" w:hAnsi="Open Sans" w:cs="Open Sans"/>
        </w:rPr>
        <w:t>ninety-five</w:t>
      </w:r>
      <w:r w:rsidR="00365DDD">
        <w:rPr>
          <w:rFonts w:ascii="Open Sans" w:hAnsi="Open Sans" w:cs="Open Sans"/>
        </w:rPr>
        <w:t xml:space="preserve"> assessments and </w:t>
      </w:r>
      <w:r w:rsidR="000D348E">
        <w:rPr>
          <w:rFonts w:ascii="Open Sans" w:hAnsi="Open Sans" w:cs="Open Sans"/>
        </w:rPr>
        <w:t>forty-nine</w:t>
      </w:r>
      <w:r w:rsidR="00365DDD">
        <w:rPr>
          <w:rFonts w:ascii="Open Sans" w:hAnsi="Open Sans" w:cs="Open Sans"/>
        </w:rPr>
        <w:t xml:space="preserve"> care plans were overdue for review</w:t>
      </w:r>
      <w:r w:rsidR="00452C07">
        <w:rPr>
          <w:rFonts w:ascii="Open Sans" w:hAnsi="Open Sans" w:cs="Open Sans"/>
        </w:rPr>
        <w:t xml:space="preserve">. </w:t>
      </w:r>
      <w:r w:rsidR="00CD1347">
        <w:rPr>
          <w:rFonts w:ascii="Open Sans" w:hAnsi="Open Sans" w:cs="Open Sans"/>
        </w:rPr>
        <w:t xml:space="preserve">Although </w:t>
      </w:r>
      <w:r w:rsidR="007012CA">
        <w:rPr>
          <w:rFonts w:ascii="Open Sans" w:hAnsi="Open Sans" w:cs="Open Sans"/>
        </w:rPr>
        <w:t xml:space="preserve">some periodic review of </w:t>
      </w:r>
      <w:r w:rsidR="00CD1347">
        <w:rPr>
          <w:rFonts w:ascii="Open Sans" w:hAnsi="Open Sans" w:cs="Open Sans"/>
        </w:rPr>
        <w:t>care plans</w:t>
      </w:r>
      <w:r w:rsidR="007012CA">
        <w:rPr>
          <w:rFonts w:ascii="Open Sans" w:hAnsi="Open Sans" w:cs="Open Sans"/>
        </w:rPr>
        <w:t xml:space="preserve"> were undertaken</w:t>
      </w:r>
      <w:r w:rsidR="005F7052">
        <w:rPr>
          <w:rFonts w:ascii="Open Sans" w:hAnsi="Open Sans" w:cs="Open Sans"/>
        </w:rPr>
        <w:t>, there was evidence of an absence of corresponding consumer reassessments. The identified deficien</w:t>
      </w:r>
      <w:r w:rsidR="00892644">
        <w:rPr>
          <w:rFonts w:ascii="Open Sans" w:hAnsi="Open Sans" w:cs="Open Sans"/>
        </w:rPr>
        <w:t>cy in conducti</w:t>
      </w:r>
      <w:r w:rsidR="00BD6BC5">
        <w:rPr>
          <w:rFonts w:ascii="Open Sans" w:hAnsi="Open Sans" w:cs="Open Sans"/>
        </w:rPr>
        <w:t>ng</w:t>
      </w:r>
      <w:r w:rsidR="00892644">
        <w:rPr>
          <w:rFonts w:ascii="Open Sans" w:hAnsi="Open Sans" w:cs="Open Sans"/>
        </w:rPr>
        <w:t xml:space="preserve"> timely reassessments resulted in care plans no</w:t>
      </w:r>
      <w:r w:rsidR="00E75210">
        <w:rPr>
          <w:rFonts w:ascii="Open Sans" w:hAnsi="Open Sans" w:cs="Open Sans"/>
        </w:rPr>
        <w:t xml:space="preserve">t being updated to reflect changes in the </w:t>
      </w:r>
      <w:r w:rsidR="002919E9">
        <w:rPr>
          <w:rFonts w:ascii="Open Sans" w:hAnsi="Open Sans" w:cs="Open Sans"/>
        </w:rPr>
        <w:t xml:space="preserve">consumer’s condition, needs or goals. </w:t>
      </w:r>
      <w:r w:rsidR="00B308ED">
        <w:rPr>
          <w:rFonts w:ascii="Open Sans" w:hAnsi="Open Sans" w:cs="Open Sans"/>
        </w:rPr>
        <w:t xml:space="preserve">One consumer who experienced a </w:t>
      </w:r>
      <w:r w:rsidR="000145F0">
        <w:rPr>
          <w:rFonts w:ascii="Open Sans" w:hAnsi="Open Sans" w:cs="Open Sans"/>
        </w:rPr>
        <w:t xml:space="preserve">fall did not </w:t>
      </w:r>
      <w:r w:rsidR="0081412C">
        <w:rPr>
          <w:rFonts w:ascii="Open Sans" w:hAnsi="Open Sans" w:cs="Open Sans"/>
        </w:rPr>
        <w:t xml:space="preserve">have their care plan reviewed or evaluated to </w:t>
      </w:r>
      <w:r w:rsidR="00246377">
        <w:rPr>
          <w:rFonts w:ascii="Open Sans" w:hAnsi="Open Sans" w:cs="Open Sans"/>
        </w:rPr>
        <w:t xml:space="preserve">ensure care </w:t>
      </w:r>
      <w:r w:rsidR="0081412C">
        <w:rPr>
          <w:rFonts w:ascii="Open Sans" w:hAnsi="Open Sans" w:cs="Open Sans"/>
        </w:rPr>
        <w:t>align</w:t>
      </w:r>
      <w:r w:rsidR="00246377">
        <w:rPr>
          <w:rFonts w:ascii="Open Sans" w:hAnsi="Open Sans" w:cs="Open Sans"/>
        </w:rPr>
        <w:t>ed</w:t>
      </w:r>
      <w:r w:rsidR="0081412C">
        <w:rPr>
          <w:rFonts w:ascii="Open Sans" w:hAnsi="Open Sans" w:cs="Open Sans"/>
        </w:rPr>
        <w:t xml:space="preserve"> with</w:t>
      </w:r>
      <w:r w:rsidR="00331C08">
        <w:rPr>
          <w:rFonts w:ascii="Open Sans" w:hAnsi="Open Sans" w:cs="Open Sans"/>
        </w:rPr>
        <w:t xml:space="preserve"> changes in circumstances</w:t>
      </w:r>
      <w:r w:rsidR="00246377">
        <w:rPr>
          <w:rFonts w:ascii="Open Sans" w:hAnsi="Open Sans" w:cs="Open Sans"/>
        </w:rPr>
        <w:t xml:space="preserve">. </w:t>
      </w:r>
      <w:r w:rsidR="00D25464">
        <w:rPr>
          <w:rFonts w:ascii="Open Sans" w:hAnsi="Open Sans" w:cs="Open Sans"/>
        </w:rPr>
        <w:t>Recommendations from a Dietitian</w:t>
      </w:r>
      <w:r w:rsidR="00331C08">
        <w:rPr>
          <w:rFonts w:ascii="Open Sans" w:hAnsi="Open Sans" w:cs="Open Sans"/>
        </w:rPr>
        <w:t xml:space="preserve"> </w:t>
      </w:r>
      <w:r w:rsidR="00D25464">
        <w:rPr>
          <w:rFonts w:ascii="Open Sans" w:hAnsi="Open Sans" w:cs="Open Sans"/>
        </w:rPr>
        <w:t xml:space="preserve">were </w:t>
      </w:r>
      <w:r w:rsidR="00F3213F">
        <w:rPr>
          <w:rFonts w:ascii="Open Sans" w:hAnsi="Open Sans" w:cs="Open Sans"/>
        </w:rPr>
        <w:t xml:space="preserve">not documented in </w:t>
      </w:r>
      <w:r w:rsidR="0076513C">
        <w:rPr>
          <w:rFonts w:ascii="Open Sans" w:hAnsi="Open Sans" w:cs="Open Sans"/>
        </w:rPr>
        <w:t xml:space="preserve">one </w:t>
      </w:r>
      <w:r w:rsidR="00F3213F">
        <w:rPr>
          <w:rFonts w:ascii="Open Sans" w:hAnsi="Open Sans" w:cs="Open Sans"/>
        </w:rPr>
        <w:t xml:space="preserve">consumer’s care plan to inform and guide staff. </w:t>
      </w:r>
      <w:r w:rsidR="009F5DA3">
        <w:rPr>
          <w:rFonts w:ascii="Open Sans" w:hAnsi="Open Sans" w:cs="Open Sans"/>
        </w:rPr>
        <w:t xml:space="preserve">Another consumer’s insulin </w:t>
      </w:r>
      <w:r w:rsidR="00C829F2">
        <w:rPr>
          <w:rFonts w:ascii="Open Sans" w:hAnsi="Open Sans" w:cs="Open Sans"/>
        </w:rPr>
        <w:t xml:space="preserve">therapy </w:t>
      </w:r>
      <w:r w:rsidR="004A687E">
        <w:rPr>
          <w:rFonts w:ascii="Open Sans" w:hAnsi="Open Sans" w:cs="Open Sans"/>
        </w:rPr>
        <w:t xml:space="preserve">and subsequent changes were not </w:t>
      </w:r>
      <w:r w:rsidR="006C16A5">
        <w:rPr>
          <w:rFonts w:ascii="Open Sans" w:hAnsi="Open Sans" w:cs="Open Sans"/>
        </w:rPr>
        <w:t>reflected</w:t>
      </w:r>
      <w:r w:rsidR="004A687E">
        <w:rPr>
          <w:rFonts w:ascii="Open Sans" w:hAnsi="Open Sans" w:cs="Open Sans"/>
        </w:rPr>
        <w:t xml:space="preserve"> in the diabetic </w:t>
      </w:r>
      <w:r w:rsidR="00896CD2">
        <w:rPr>
          <w:rFonts w:ascii="Open Sans" w:hAnsi="Open Sans" w:cs="Open Sans"/>
        </w:rPr>
        <w:t>management</w:t>
      </w:r>
      <w:r w:rsidR="004A687E">
        <w:rPr>
          <w:rFonts w:ascii="Open Sans" w:hAnsi="Open Sans" w:cs="Open Sans"/>
        </w:rPr>
        <w:t xml:space="preserve"> plan to inform and guide staff</w:t>
      </w:r>
      <w:r w:rsidR="0044435E">
        <w:rPr>
          <w:rFonts w:ascii="Open Sans" w:hAnsi="Open Sans" w:cs="Open Sans"/>
        </w:rPr>
        <w:t xml:space="preserve">. </w:t>
      </w:r>
      <w:r w:rsidR="00DA5132">
        <w:rPr>
          <w:rFonts w:ascii="Open Sans" w:hAnsi="Open Sans" w:cs="Open Sans"/>
        </w:rPr>
        <w:t xml:space="preserve">One consumer </w:t>
      </w:r>
      <w:r w:rsidR="00DA5960">
        <w:rPr>
          <w:rFonts w:ascii="Open Sans" w:hAnsi="Open Sans" w:cs="Open Sans"/>
        </w:rPr>
        <w:t xml:space="preserve">required </w:t>
      </w:r>
      <w:r w:rsidR="00111EE3">
        <w:rPr>
          <w:rFonts w:ascii="Open Sans" w:hAnsi="Open Sans" w:cs="Open Sans"/>
        </w:rPr>
        <w:t xml:space="preserve">an </w:t>
      </w:r>
      <w:r w:rsidR="00DA5960">
        <w:rPr>
          <w:rFonts w:ascii="Open Sans" w:hAnsi="Open Sans" w:cs="Open Sans"/>
        </w:rPr>
        <w:t xml:space="preserve">emotional </w:t>
      </w:r>
      <w:r w:rsidR="009041CC">
        <w:rPr>
          <w:rFonts w:ascii="Open Sans" w:hAnsi="Open Sans" w:cs="Open Sans"/>
        </w:rPr>
        <w:t xml:space="preserve">health and well-being </w:t>
      </w:r>
      <w:r w:rsidR="00111EE3">
        <w:rPr>
          <w:rFonts w:ascii="Open Sans" w:hAnsi="Open Sans" w:cs="Open Sans"/>
        </w:rPr>
        <w:t>review</w:t>
      </w:r>
      <w:r w:rsidR="002036A6">
        <w:rPr>
          <w:rFonts w:ascii="Open Sans" w:hAnsi="Open Sans" w:cs="Open Sans"/>
        </w:rPr>
        <w:t xml:space="preserve">, a palliative care review and </w:t>
      </w:r>
      <w:r w:rsidR="00F70415">
        <w:rPr>
          <w:rFonts w:ascii="Open Sans" w:hAnsi="Open Sans" w:cs="Open Sans"/>
        </w:rPr>
        <w:t xml:space="preserve">daily living review, however, </w:t>
      </w:r>
      <w:r w:rsidR="00111EE3">
        <w:rPr>
          <w:rFonts w:ascii="Open Sans" w:hAnsi="Open Sans" w:cs="Open Sans"/>
        </w:rPr>
        <w:t>the service was unable to demonstrate</w:t>
      </w:r>
      <w:r w:rsidR="00E92E7B">
        <w:rPr>
          <w:rFonts w:ascii="Open Sans" w:hAnsi="Open Sans" w:cs="Open Sans"/>
        </w:rPr>
        <w:t xml:space="preserve"> assessments were completed and reviewed to align with their change in circumstances.</w:t>
      </w:r>
      <w:r w:rsidR="00111EE3">
        <w:rPr>
          <w:rFonts w:ascii="Open Sans" w:hAnsi="Open Sans" w:cs="Open Sans"/>
        </w:rPr>
        <w:t xml:space="preserve"> </w:t>
      </w:r>
      <w:r w:rsidR="00127BE9">
        <w:rPr>
          <w:rFonts w:ascii="Open Sans" w:hAnsi="Open Sans" w:cs="Open Sans"/>
        </w:rPr>
        <w:t xml:space="preserve">Another consumer left the service on </w:t>
      </w:r>
      <w:r w:rsidR="000D348E">
        <w:rPr>
          <w:rFonts w:ascii="Open Sans" w:hAnsi="Open Sans" w:cs="Open Sans"/>
        </w:rPr>
        <w:t>three</w:t>
      </w:r>
      <w:r w:rsidR="00127BE9">
        <w:rPr>
          <w:rFonts w:ascii="Open Sans" w:hAnsi="Open Sans" w:cs="Open Sans"/>
        </w:rPr>
        <w:t xml:space="preserve"> </w:t>
      </w:r>
      <w:r w:rsidR="006C16A5">
        <w:rPr>
          <w:rFonts w:ascii="Open Sans" w:hAnsi="Open Sans" w:cs="Open Sans"/>
        </w:rPr>
        <w:t>occasions</w:t>
      </w:r>
      <w:r w:rsidR="00127BE9">
        <w:rPr>
          <w:rFonts w:ascii="Open Sans" w:hAnsi="Open Sans" w:cs="Open Sans"/>
        </w:rPr>
        <w:t xml:space="preserve"> </w:t>
      </w:r>
      <w:r w:rsidR="002370A9">
        <w:rPr>
          <w:rFonts w:ascii="Open Sans" w:hAnsi="Open Sans" w:cs="Open Sans"/>
        </w:rPr>
        <w:t xml:space="preserve">unaccompanied and their care plan was </w:t>
      </w:r>
      <w:r w:rsidR="00AE0C0B">
        <w:rPr>
          <w:rFonts w:ascii="Open Sans" w:hAnsi="Open Sans" w:cs="Open Sans"/>
        </w:rPr>
        <w:t xml:space="preserve">not </w:t>
      </w:r>
      <w:r w:rsidR="002370A9">
        <w:rPr>
          <w:rFonts w:ascii="Open Sans" w:hAnsi="Open Sans" w:cs="Open Sans"/>
        </w:rPr>
        <w:t xml:space="preserve">reviewed or </w:t>
      </w:r>
      <w:r w:rsidR="00674D96">
        <w:rPr>
          <w:rFonts w:ascii="Open Sans" w:hAnsi="Open Sans" w:cs="Open Sans"/>
        </w:rPr>
        <w:t xml:space="preserve">updated to reflect the risk or strategies implemented to </w:t>
      </w:r>
      <w:r w:rsidR="00067968">
        <w:rPr>
          <w:rFonts w:ascii="Open Sans" w:hAnsi="Open Sans" w:cs="Open Sans"/>
        </w:rPr>
        <w:t>effectively</w:t>
      </w:r>
      <w:r w:rsidR="00674D96">
        <w:rPr>
          <w:rFonts w:ascii="Open Sans" w:hAnsi="Open Sans" w:cs="Open Sans"/>
        </w:rPr>
        <w:t xml:space="preserve"> ensure </w:t>
      </w:r>
      <w:r w:rsidR="00A645FE">
        <w:rPr>
          <w:rFonts w:ascii="Open Sans" w:hAnsi="Open Sans" w:cs="Open Sans"/>
        </w:rPr>
        <w:t>the risk to the consumer was mitigated.</w:t>
      </w:r>
    </w:p>
    <w:p w14:paraId="170255C7" w14:textId="526B2CAF" w:rsidR="00194054" w:rsidRDefault="00987AE9" w:rsidP="006B5B9B">
      <w:pPr>
        <w:pStyle w:val="NormalArial"/>
        <w:spacing w:line="276" w:lineRule="auto"/>
        <w:rPr>
          <w:rFonts w:ascii="Open Sans" w:hAnsi="Open Sans" w:cs="Open Sans"/>
        </w:rPr>
      </w:pPr>
      <w:r>
        <w:rPr>
          <w:rFonts w:ascii="Open Sans" w:hAnsi="Open Sans" w:cs="Open Sans"/>
        </w:rPr>
        <w:t xml:space="preserve">In the provider’s response, </w:t>
      </w:r>
      <w:r w:rsidR="00A05188">
        <w:rPr>
          <w:rFonts w:ascii="Open Sans" w:hAnsi="Open Sans" w:cs="Open Sans"/>
        </w:rPr>
        <w:t>I acknowledge o</w:t>
      </w:r>
      <w:r w:rsidR="00FF49C4">
        <w:rPr>
          <w:rFonts w:ascii="Open Sans" w:hAnsi="Open Sans" w:cs="Open Sans"/>
        </w:rPr>
        <w:t xml:space="preserve">ne consumer </w:t>
      </w:r>
      <w:r w:rsidR="00E14450">
        <w:rPr>
          <w:rFonts w:ascii="Open Sans" w:hAnsi="Open Sans" w:cs="Open Sans"/>
        </w:rPr>
        <w:t>was noted to be in clinical decline re</w:t>
      </w:r>
      <w:r w:rsidR="00C0797B">
        <w:rPr>
          <w:rFonts w:ascii="Open Sans" w:hAnsi="Open Sans" w:cs="Open Sans"/>
        </w:rPr>
        <w:t xml:space="preserve">quiring </w:t>
      </w:r>
      <w:r w:rsidR="00A05188">
        <w:rPr>
          <w:rFonts w:ascii="Open Sans" w:hAnsi="Open Sans" w:cs="Open Sans"/>
        </w:rPr>
        <w:t xml:space="preserve">end of life </w:t>
      </w:r>
      <w:r w:rsidR="00DA5132">
        <w:rPr>
          <w:rFonts w:ascii="Open Sans" w:hAnsi="Open Sans" w:cs="Open Sans"/>
        </w:rPr>
        <w:t xml:space="preserve">and palliative </w:t>
      </w:r>
      <w:r w:rsidR="009C3D9C">
        <w:rPr>
          <w:rFonts w:ascii="Open Sans" w:hAnsi="Open Sans" w:cs="Open Sans"/>
        </w:rPr>
        <w:t xml:space="preserve">care </w:t>
      </w:r>
      <w:r w:rsidR="00DA5132">
        <w:rPr>
          <w:rFonts w:ascii="Open Sans" w:hAnsi="Open Sans" w:cs="Open Sans"/>
        </w:rPr>
        <w:t xml:space="preserve">support. </w:t>
      </w:r>
      <w:r w:rsidR="009C3D9C">
        <w:rPr>
          <w:rFonts w:ascii="Open Sans" w:hAnsi="Open Sans" w:cs="Open Sans"/>
        </w:rPr>
        <w:t>Although, the Assessment Team found no evidence to substantiate the provider reviewed the consumer’s care plan, t</w:t>
      </w:r>
      <w:r w:rsidR="00E92E7B">
        <w:rPr>
          <w:rFonts w:ascii="Open Sans" w:hAnsi="Open Sans" w:cs="Open Sans"/>
        </w:rPr>
        <w:t xml:space="preserve">he evidence brought forward by the </w:t>
      </w:r>
      <w:r w:rsidR="009C3D9C">
        <w:rPr>
          <w:rFonts w:ascii="Open Sans" w:hAnsi="Open Sans" w:cs="Open Sans"/>
        </w:rPr>
        <w:t xml:space="preserve">Provider </w:t>
      </w:r>
      <w:r w:rsidR="00896CD2">
        <w:rPr>
          <w:rFonts w:ascii="Open Sans" w:hAnsi="Open Sans" w:cs="Open Sans"/>
        </w:rPr>
        <w:t>does demonstrate assessments were reviewed and palliative care pathways were updated</w:t>
      </w:r>
      <w:r w:rsidR="00815C15">
        <w:rPr>
          <w:rFonts w:ascii="Open Sans" w:hAnsi="Open Sans" w:cs="Open Sans"/>
        </w:rPr>
        <w:t xml:space="preserve"> specific to this consumer</w:t>
      </w:r>
      <w:r w:rsidR="00896CD2">
        <w:rPr>
          <w:rFonts w:ascii="Open Sans" w:hAnsi="Open Sans" w:cs="Open Sans"/>
        </w:rPr>
        <w:t xml:space="preserve">. </w:t>
      </w:r>
    </w:p>
    <w:p w14:paraId="2AE8C8BF" w14:textId="02AF1F6E" w:rsidR="003D5883" w:rsidRDefault="00834CEF" w:rsidP="006B5B9B">
      <w:pPr>
        <w:pStyle w:val="NormalArial"/>
        <w:spacing w:line="276" w:lineRule="auto"/>
        <w:rPr>
          <w:rFonts w:ascii="Open Sans" w:hAnsi="Open Sans" w:cs="Open Sans"/>
        </w:rPr>
      </w:pPr>
      <w:r>
        <w:rPr>
          <w:rFonts w:ascii="Open Sans" w:hAnsi="Open Sans" w:cs="Open Sans"/>
        </w:rPr>
        <w:t xml:space="preserve">Further to </w:t>
      </w:r>
      <w:r w:rsidR="00972C52">
        <w:rPr>
          <w:rFonts w:ascii="Open Sans" w:hAnsi="Open Sans" w:cs="Open Sans"/>
        </w:rPr>
        <w:t>the provider’s response</w:t>
      </w:r>
      <w:r w:rsidR="00582281">
        <w:rPr>
          <w:rFonts w:ascii="Open Sans" w:hAnsi="Open Sans" w:cs="Open Sans"/>
        </w:rPr>
        <w:t xml:space="preserve">, </w:t>
      </w:r>
      <w:r w:rsidR="007675D8">
        <w:rPr>
          <w:rFonts w:ascii="Open Sans" w:hAnsi="Open Sans" w:cs="Open Sans"/>
        </w:rPr>
        <w:t>I have placed weight on m</w:t>
      </w:r>
      <w:r w:rsidR="00896CD2">
        <w:rPr>
          <w:rFonts w:ascii="Open Sans" w:hAnsi="Open Sans" w:cs="Open Sans"/>
        </w:rPr>
        <w:t xml:space="preserve">anagements </w:t>
      </w:r>
      <w:r w:rsidR="000E0119">
        <w:rPr>
          <w:rFonts w:ascii="Open Sans" w:hAnsi="Open Sans" w:cs="Open Sans"/>
        </w:rPr>
        <w:t>acknowledgement</w:t>
      </w:r>
      <w:r w:rsidR="00896CD2">
        <w:rPr>
          <w:rFonts w:ascii="Open Sans" w:hAnsi="Open Sans" w:cs="Open Sans"/>
        </w:rPr>
        <w:t xml:space="preserve"> </w:t>
      </w:r>
      <w:r w:rsidR="00C41368">
        <w:rPr>
          <w:rFonts w:ascii="Open Sans" w:hAnsi="Open Sans" w:cs="Open Sans"/>
        </w:rPr>
        <w:t>of</w:t>
      </w:r>
      <w:r w:rsidR="00896CD2">
        <w:rPr>
          <w:rFonts w:ascii="Open Sans" w:hAnsi="Open Sans" w:cs="Open Sans"/>
        </w:rPr>
        <w:t xml:space="preserve"> the </w:t>
      </w:r>
      <w:r w:rsidR="008D7DFA">
        <w:rPr>
          <w:rFonts w:ascii="Open Sans" w:hAnsi="Open Sans" w:cs="Open Sans"/>
        </w:rPr>
        <w:t xml:space="preserve">identified departures from </w:t>
      </w:r>
      <w:r w:rsidR="006D7B9C">
        <w:rPr>
          <w:rFonts w:ascii="Open Sans" w:hAnsi="Open Sans" w:cs="Open Sans"/>
        </w:rPr>
        <w:t>Requirement 2(3)(e)</w:t>
      </w:r>
      <w:r w:rsidR="001A4CB3">
        <w:rPr>
          <w:rFonts w:ascii="Open Sans" w:hAnsi="Open Sans" w:cs="Open Sans"/>
        </w:rPr>
        <w:t xml:space="preserve"> </w:t>
      </w:r>
      <w:r w:rsidR="008D7DFA">
        <w:rPr>
          <w:rFonts w:ascii="Open Sans" w:hAnsi="Open Sans" w:cs="Open Sans"/>
        </w:rPr>
        <w:t xml:space="preserve">in care </w:t>
      </w:r>
      <w:r w:rsidR="008D7DFA">
        <w:rPr>
          <w:rFonts w:ascii="Open Sans" w:hAnsi="Open Sans" w:cs="Open Sans"/>
        </w:rPr>
        <w:lastRenderedPageBreak/>
        <w:t>plan reviews</w:t>
      </w:r>
      <w:r w:rsidR="00DE192E">
        <w:rPr>
          <w:rFonts w:ascii="Open Sans" w:hAnsi="Open Sans" w:cs="Open Sans"/>
        </w:rPr>
        <w:t xml:space="preserve"> for diabetic management plans, falls, emotional well-being</w:t>
      </w:r>
      <w:r w:rsidR="00103764">
        <w:rPr>
          <w:rFonts w:ascii="Open Sans" w:hAnsi="Open Sans" w:cs="Open Sans"/>
        </w:rPr>
        <w:t xml:space="preserve"> and some palliative care pathw</w:t>
      </w:r>
      <w:r w:rsidR="00076DE2">
        <w:rPr>
          <w:rFonts w:ascii="Open Sans" w:hAnsi="Open Sans" w:cs="Open Sans"/>
        </w:rPr>
        <w:t xml:space="preserve">ays. </w:t>
      </w:r>
      <w:r w:rsidR="00C67D36">
        <w:rPr>
          <w:rFonts w:ascii="Open Sans" w:hAnsi="Open Sans" w:cs="Open Sans"/>
        </w:rPr>
        <w:t>Additionally</w:t>
      </w:r>
      <w:r w:rsidR="00076DE2">
        <w:rPr>
          <w:rFonts w:ascii="Open Sans" w:hAnsi="Open Sans" w:cs="Open Sans"/>
        </w:rPr>
        <w:t xml:space="preserve">, </w:t>
      </w:r>
      <w:r w:rsidR="00A645FE">
        <w:rPr>
          <w:rFonts w:ascii="Open Sans" w:hAnsi="Open Sans" w:cs="Open Sans"/>
        </w:rPr>
        <w:t xml:space="preserve">it is not </w:t>
      </w:r>
      <w:r w:rsidR="00201EDC">
        <w:rPr>
          <w:rFonts w:ascii="Open Sans" w:hAnsi="Open Sans" w:cs="Open Sans"/>
        </w:rPr>
        <w:t xml:space="preserve">entirely </w:t>
      </w:r>
      <w:r w:rsidR="00A645FE">
        <w:rPr>
          <w:rFonts w:ascii="Open Sans" w:hAnsi="Open Sans" w:cs="Open Sans"/>
        </w:rPr>
        <w:t xml:space="preserve">clear in the provider’s response </w:t>
      </w:r>
      <w:r w:rsidR="007025AD">
        <w:rPr>
          <w:rFonts w:ascii="Open Sans" w:hAnsi="Open Sans" w:cs="Open Sans"/>
        </w:rPr>
        <w:t xml:space="preserve">what </w:t>
      </w:r>
      <w:r w:rsidR="00D41E55">
        <w:rPr>
          <w:rFonts w:ascii="Open Sans" w:hAnsi="Open Sans" w:cs="Open Sans"/>
        </w:rPr>
        <w:t>evidence was brought forward</w:t>
      </w:r>
      <w:r w:rsidR="007025AD">
        <w:rPr>
          <w:rFonts w:ascii="Open Sans" w:hAnsi="Open Sans" w:cs="Open Sans"/>
        </w:rPr>
        <w:t xml:space="preserve"> to address the </w:t>
      </w:r>
      <w:r w:rsidR="007D09CF">
        <w:rPr>
          <w:rFonts w:ascii="Open Sans" w:hAnsi="Open Sans" w:cs="Open Sans"/>
        </w:rPr>
        <w:t>root</w:t>
      </w:r>
      <w:r w:rsidR="00836F1C">
        <w:rPr>
          <w:rFonts w:ascii="Open Sans" w:hAnsi="Open Sans" w:cs="Open Sans"/>
        </w:rPr>
        <w:t xml:space="preserve"> cause </w:t>
      </w:r>
      <w:r w:rsidR="007D09CF">
        <w:rPr>
          <w:rFonts w:ascii="Open Sans" w:hAnsi="Open Sans" w:cs="Open Sans"/>
        </w:rPr>
        <w:t xml:space="preserve">of the </w:t>
      </w:r>
      <w:r w:rsidR="007025AD">
        <w:rPr>
          <w:rFonts w:ascii="Open Sans" w:hAnsi="Open Sans" w:cs="Open Sans"/>
        </w:rPr>
        <w:t>consumer who l</w:t>
      </w:r>
      <w:r w:rsidR="00D41E55">
        <w:rPr>
          <w:rFonts w:ascii="Open Sans" w:hAnsi="Open Sans" w:cs="Open Sans"/>
        </w:rPr>
        <w:t>eaves the service unaccompanied</w:t>
      </w:r>
      <w:r w:rsidR="00DF76CA">
        <w:rPr>
          <w:rFonts w:ascii="Open Sans" w:hAnsi="Open Sans" w:cs="Open Sans"/>
        </w:rPr>
        <w:t xml:space="preserve">. </w:t>
      </w:r>
      <w:r w:rsidR="00D27E8D">
        <w:rPr>
          <w:rFonts w:ascii="Open Sans" w:hAnsi="Open Sans" w:cs="Open Sans"/>
        </w:rPr>
        <w:t xml:space="preserve">Therefore, I am </w:t>
      </w:r>
      <w:r w:rsidR="00170D20">
        <w:rPr>
          <w:rFonts w:ascii="Open Sans" w:hAnsi="Open Sans" w:cs="Open Sans"/>
        </w:rPr>
        <w:t xml:space="preserve">not </w:t>
      </w:r>
      <w:r w:rsidR="00D27E8D">
        <w:rPr>
          <w:rFonts w:ascii="Open Sans" w:hAnsi="Open Sans" w:cs="Open Sans"/>
        </w:rPr>
        <w:t>satisfied</w:t>
      </w:r>
      <w:r w:rsidR="002931C3">
        <w:rPr>
          <w:rFonts w:ascii="Open Sans" w:hAnsi="Open Sans" w:cs="Open Sans"/>
        </w:rPr>
        <w:t xml:space="preserve"> the </w:t>
      </w:r>
      <w:r w:rsidR="00170D20">
        <w:rPr>
          <w:rFonts w:ascii="Open Sans" w:hAnsi="Open Sans" w:cs="Open Sans"/>
        </w:rPr>
        <w:t>genesis</w:t>
      </w:r>
      <w:r w:rsidR="00646443">
        <w:rPr>
          <w:rFonts w:ascii="Open Sans" w:hAnsi="Open Sans" w:cs="Open Sans"/>
        </w:rPr>
        <w:t xml:space="preserve"> of </w:t>
      </w:r>
      <w:r w:rsidR="00D27E8D">
        <w:rPr>
          <w:rFonts w:ascii="Open Sans" w:hAnsi="Open Sans" w:cs="Open Sans"/>
        </w:rPr>
        <w:t xml:space="preserve">risk </w:t>
      </w:r>
      <w:r w:rsidR="00646443">
        <w:rPr>
          <w:rFonts w:ascii="Open Sans" w:hAnsi="Open Sans" w:cs="Open Sans"/>
        </w:rPr>
        <w:t xml:space="preserve">is </w:t>
      </w:r>
      <w:r w:rsidR="004B65E2">
        <w:rPr>
          <w:rFonts w:ascii="Open Sans" w:hAnsi="Open Sans" w:cs="Open Sans"/>
        </w:rPr>
        <w:t xml:space="preserve">mitigated. </w:t>
      </w:r>
      <w:r w:rsidR="00DF76CA">
        <w:rPr>
          <w:rFonts w:ascii="Open Sans" w:hAnsi="Open Sans" w:cs="Open Sans"/>
        </w:rPr>
        <w:t xml:space="preserve">I have further considered the </w:t>
      </w:r>
      <w:r w:rsidR="005A4255">
        <w:rPr>
          <w:rFonts w:ascii="Open Sans" w:hAnsi="Open Sans" w:cs="Open Sans"/>
        </w:rPr>
        <w:t>weight of evidence provided in the Assessment Team report</w:t>
      </w:r>
      <w:r w:rsidR="00210EA8">
        <w:rPr>
          <w:rFonts w:ascii="Open Sans" w:hAnsi="Open Sans" w:cs="Open Sans"/>
        </w:rPr>
        <w:t xml:space="preserve"> and the actions taken by the provider to address </w:t>
      </w:r>
      <w:r w:rsidR="00E31284">
        <w:rPr>
          <w:rFonts w:ascii="Open Sans" w:hAnsi="Open Sans" w:cs="Open Sans"/>
        </w:rPr>
        <w:t xml:space="preserve">departures in reviewing care plans for effectiveness. </w:t>
      </w:r>
      <w:r w:rsidR="00AB7256">
        <w:rPr>
          <w:rFonts w:ascii="Open Sans" w:hAnsi="Open Sans" w:cs="Open Sans"/>
        </w:rPr>
        <w:t xml:space="preserve">I accept the evidence </w:t>
      </w:r>
      <w:r w:rsidR="0087748E">
        <w:rPr>
          <w:rFonts w:ascii="Open Sans" w:hAnsi="Open Sans" w:cs="Open Sans"/>
        </w:rPr>
        <w:t xml:space="preserve">demonstrates </w:t>
      </w:r>
      <w:r w:rsidR="00AB7256">
        <w:rPr>
          <w:rFonts w:ascii="Open Sans" w:hAnsi="Open Sans" w:cs="Open Sans"/>
        </w:rPr>
        <w:t xml:space="preserve">care plans have been reviewed </w:t>
      </w:r>
      <w:r w:rsidR="00EF2E45">
        <w:rPr>
          <w:rFonts w:ascii="Open Sans" w:hAnsi="Open Sans" w:cs="Open Sans"/>
        </w:rPr>
        <w:t>since the Assessment Contact 29</w:t>
      </w:r>
      <w:r w:rsidR="009E16A6">
        <w:rPr>
          <w:rFonts w:ascii="Open Sans" w:hAnsi="Open Sans" w:cs="Open Sans"/>
        </w:rPr>
        <w:t xml:space="preserve"> </w:t>
      </w:r>
      <w:r w:rsidR="00EF2E45">
        <w:rPr>
          <w:rFonts w:ascii="Open Sans" w:hAnsi="Open Sans" w:cs="Open Sans"/>
        </w:rPr>
        <w:t>-</w:t>
      </w:r>
      <w:r w:rsidR="009E16A6">
        <w:rPr>
          <w:rFonts w:ascii="Open Sans" w:hAnsi="Open Sans" w:cs="Open Sans"/>
        </w:rPr>
        <w:t xml:space="preserve"> </w:t>
      </w:r>
      <w:r w:rsidR="00EF2E45">
        <w:rPr>
          <w:rFonts w:ascii="Open Sans" w:hAnsi="Open Sans" w:cs="Open Sans"/>
        </w:rPr>
        <w:t xml:space="preserve">31 July 2025 to align </w:t>
      </w:r>
      <w:r w:rsidR="003D42AB">
        <w:rPr>
          <w:rFonts w:ascii="Open Sans" w:hAnsi="Open Sans" w:cs="Open Sans"/>
        </w:rPr>
        <w:t xml:space="preserve">with the consumer’s needs, goals and circumstances. </w:t>
      </w:r>
      <w:r w:rsidR="0064161C">
        <w:rPr>
          <w:rFonts w:ascii="Open Sans" w:hAnsi="Open Sans" w:cs="Open Sans"/>
        </w:rPr>
        <w:t xml:space="preserve">However, </w:t>
      </w:r>
      <w:r w:rsidR="00C22AD6">
        <w:rPr>
          <w:rFonts w:ascii="Open Sans" w:hAnsi="Open Sans" w:cs="Open Sans"/>
        </w:rPr>
        <w:t>I</w:t>
      </w:r>
      <w:r w:rsidR="0012459A">
        <w:rPr>
          <w:rFonts w:ascii="Open Sans" w:hAnsi="Open Sans" w:cs="Open Sans"/>
        </w:rPr>
        <w:t xml:space="preserve"> remain </w:t>
      </w:r>
      <w:r w:rsidR="00C22AD6">
        <w:rPr>
          <w:rFonts w:ascii="Open Sans" w:hAnsi="Open Sans" w:cs="Open Sans"/>
        </w:rPr>
        <w:t xml:space="preserve">concerned </w:t>
      </w:r>
      <w:r w:rsidR="0064161C">
        <w:rPr>
          <w:rFonts w:ascii="Open Sans" w:hAnsi="Open Sans" w:cs="Open Sans"/>
        </w:rPr>
        <w:t>the issues were not identified</w:t>
      </w:r>
      <w:r w:rsidR="00A65A57">
        <w:rPr>
          <w:rFonts w:ascii="Open Sans" w:hAnsi="Open Sans" w:cs="Open Sans"/>
        </w:rPr>
        <w:t xml:space="preserve"> by the organisations own processes</w:t>
      </w:r>
      <w:r w:rsidR="000F68CA">
        <w:rPr>
          <w:rFonts w:ascii="Open Sans" w:hAnsi="Open Sans" w:cs="Open Sans"/>
        </w:rPr>
        <w:t>, thereby ra</w:t>
      </w:r>
      <w:r w:rsidR="00CE55BE">
        <w:rPr>
          <w:rFonts w:ascii="Open Sans" w:hAnsi="Open Sans" w:cs="Open Sans"/>
        </w:rPr>
        <w:t>ising questions as to the consistency, reliability and adequacy of its application.</w:t>
      </w:r>
      <w:r w:rsidR="00A65A57">
        <w:rPr>
          <w:rFonts w:ascii="Open Sans" w:hAnsi="Open Sans" w:cs="Open Sans"/>
        </w:rPr>
        <w:t xml:space="preserve"> </w:t>
      </w:r>
    </w:p>
    <w:p w14:paraId="4ABEA37F" w14:textId="77777777" w:rsidR="00EE514E" w:rsidRDefault="00953E35" w:rsidP="006B5B9B">
      <w:pPr>
        <w:pStyle w:val="NormalArial"/>
        <w:spacing w:line="276" w:lineRule="auto"/>
        <w:rPr>
          <w:rFonts w:ascii="Open Sans" w:hAnsi="Open Sans" w:cs="Open Sans"/>
        </w:rPr>
      </w:pPr>
      <w:r>
        <w:rPr>
          <w:rFonts w:ascii="Open Sans" w:hAnsi="Open Sans" w:cs="Open Sans"/>
        </w:rPr>
        <w:t>In reaching this decision</w:t>
      </w:r>
      <w:r w:rsidR="00DC43B2">
        <w:rPr>
          <w:rFonts w:ascii="Open Sans" w:hAnsi="Open Sans" w:cs="Open Sans"/>
        </w:rPr>
        <w:t>,</w:t>
      </w:r>
      <w:r w:rsidR="006E7B31">
        <w:rPr>
          <w:rFonts w:ascii="Open Sans" w:hAnsi="Open Sans" w:cs="Open Sans"/>
        </w:rPr>
        <w:t xml:space="preserve"> I have </w:t>
      </w:r>
      <w:r w:rsidR="00B57253">
        <w:rPr>
          <w:rFonts w:ascii="Open Sans" w:hAnsi="Open Sans" w:cs="Open Sans"/>
        </w:rPr>
        <w:t>undertaken</w:t>
      </w:r>
      <w:r w:rsidR="006E7B31">
        <w:rPr>
          <w:rFonts w:ascii="Open Sans" w:hAnsi="Open Sans" w:cs="Open Sans"/>
        </w:rPr>
        <w:t xml:space="preserve"> a comprehensive </w:t>
      </w:r>
      <w:r w:rsidR="00B57253">
        <w:rPr>
          <w:rFonts w:ascii="Open Sans" w:hAnsi="Open Sans" w:cs="Open Sans"/>
        </w:rPr>
        <w:t>evaluation</w:t>
      </w:r>
      <w:r w:rsidR="006E7B31">
        <w:rPr>
          <w:rFonts w:ascii="Open Sans" w:hAnsi="Open Sans" w:cs="Open Sans"/>
        </w:rPr>
        <w:t xml:space="preserve"> of all evidence presented for consideration. I have applied a weight-of-</w:t>
      </w:r>
      <w:r w:rsidR="00B57253">
        <w:rPr>
          <w:rFonts w:ascii="Open Sans" w:hAnsi="Open Sans" w:cs="Open Sans"/>
        </w:rPr>
        <w:t>evidence</w:t>
      </w:r>
      <w:r w:rsidR="006E7B31">
        <w:rPr>
          <w:rFonts w:ascii="Open Sans" w:hAnsi="Open Sans" w:cs="Open Sans"/>
        </w:rPr>
        <w:t xml:space="preserve"> approach, giving due regard to the probative value, reliability</w:t>
      </w:r>
      <w:r w:rsidR="00451BCA">
        <w:rPr>
          <w:rFonts w:ascii="Open Sans" w:hAnsi="Open Sans" w:cs="Open Sans"/>
        </w:rPr>
        <w:t xml:space="preserve"> and relev</w:t>
      </w:r>
      <w:r w:rsidR="00B57253">
        <w:rPr>
          <w:rFonts w:ascii="Open Sans" w:hAnsi="Open Sans" w:cs="Open Sans"/>
        </w:rPr>
        <w:t>ance</w:t>
      </w:r>
      <w:r w:rsidR="00451BCA">
        <w:rPr>
          <w:rFonts w:ascii="Open Sans" w:hAnsi="Open Sans" w:cs="Open Sans"/>
        </w:rPr>
        <w:t xml:space="preserve"> of each source of material. This evaluative process has informed and substantiated the </w:t>
      </w:r>
      <w:r w:rsidR="00B57253">
        <w:rPr>
          <w:rFonts w:ascii="Open Sans" w:hAnsi="Open Sans" w:cs="Open Sans"/>
        </w:rPr>
        <w:t>regulatory</w:t>
      </w:r>
      <w:r w:rsidR="00451BCA">
        <w:rPr>
          <w:rFonts w:ascii="Open Sans" w:hAnsi="Open Sans" w:cs="Open Sans"/>
        </w:rPr>
        <w:t xml:space="preserve"> decision </w:t>
      </w:r>
      <w:r w:rsidR="00B57253">
        <w:rPr>
          <w:rFonts w:ascii="Open Sans" w:hAnsi="Open Sans" w:cs="Open Sans"/>
        </w:rPr>
        <w:t>herein.</w:t>
      </w:r>
      <w:r w:rsidR="00DC43B2">
        <w:rPr>
          <w:rFonts w:ascii="Open Sans" w:hAnsi="Open Sans" w:cs="Open Sans"/>
        </w:rPr>
        <w:t xml:space="preserve"> I am not satisfied the provider has a sufficient </w:t>
      </w:r>
      <w:r w:rsidR="00B9686E">
        <w:rPr>
          <w:rFonts w:ascii="Open Sans" w:hAnsi="Open Sans" w:cs="Open Sans"/>
        </w:rPr>
        <w:t xml:space="preserve">understanding of their obligations under </w:t>
      </w:r>
      <w:r w:rsidR="00A01F2D">
        <w:rPr>
          <w:rFonts w:ascii="Open Sans" w:hAnsi="Open Sans" w:cs="Open Sans"/>
        </w:rPr>
        <w:t xml:space="preserve">requirement 2(3)(e) </w:t>
      </w:r>
      <w:r w:rsidR="001E30A8">
        <w:rPr>
          <w:rFonts w:ascii="Open Sans" w:hAnsi="Open Sans" w:cs="Open Sans"/>
        </w:rPr>
        <w:t xml:space="preserve">to </w:t>
      </w:r>
      <w:r w:rsidR="00B37A3F">
        <w:rPr>
          <w:rFonts w:ascii="Open Sans" w:hAnsi="Open Sans" w:cs="Open Sans"/>
        </w:rPr>
        <w:t>regular</w:t>
      </w:r>
      <w:r w:rsidR="001E30A8">
        <w:rPr>
          <w:rFonts w:ascii="Open Sans" w:hAnsi="Open Sans" w:cs="Open Sans"/>
        </w:rPr>
        <w:t>ly</w:t>
      </w:r>
      <w:r w:rsidR="00B37A3F">
        <w:rPr>
          <w:rFonts w:ascii="Open Sans" w:hAnsi="Open Sans" w:cs="Open Sans"/>
        </w:rPr>
        <w:t xml:space="preserve"> review</w:t>
      </w:r>
      <w:r w:rsidR="001E30A8">
        <w:rPr>
          <w:rFonts w:ascii="Open Sans" w:hAnsi="Open Sans" w:cs="Open Sans"/>
        </w:rPr>
        <w:t xml:space="preserve"> </w:t>
      </w:r>
      <w:r w:rsidR="00B37A3F">
        <w:rPr>
          <w:rFonts w:ascii="Open Sans" w:hAnsi="Open Sans" w:cs="Open Sans"/>
        </w:rPr>
        <w:t>care and services</w:t>
      </w:r>
      <w:r w:rsidR="00A65A57">
        <w:rPr>
          <w:rFonts w:ascii="Open Sans" w:hAnsi="Open Sans" w:cs="Open Sans"/>
        </w:rPr>
        <w:t xml:space="preserve"> </w:t>
      </w:r>
      <w:r w:rsidR="001E30A8">
        <w:rPr>
          <w:rFonts w:ascii="Open Sans" w:hAnsi="Open Sans" w:cs="Open Sans"/>
        </w:rPr>
        <w:t xml:space="preserve">for effectiveness. </w:t>
      </w:r>
      <w:r w:rsidR="00735435">
        <w:rPr>
          <w:rFonts w:ascii="Open Sans" w:hAnsi="Open Sans" w:cs="Open Sans"/>
        </w:rPr>
        <w:t>Although the pl</w:t>
      </w:r>
      <w:r w:rsidR="00735435" w:rsidRPr="00CF3B64">
        <w:rPr>
          <w:rFonts w:ascii="Open Sans" w:hAnsi="Open Sans" w:cs="Open Sans"/>
        </w:rPr>
        <w:t xml:space="preserve">an for continuous improvement (PCI) </w:t>
      </w:r>
      <w:r w:rsidR="00735435">
        <w:rPr>
          <w:rFonts w:ascii="Open Sans" w:hAnsi="Open Sans" w:cs="Open Sans"/>
        </w:rPr>
        <w:t xml:space="preserve">contains tangible planned actions specific to this requirement, the </w:t>
      </w:r>
      <w:r w:rsidR="0064448C">
        <w:rPr>
          <w:rFonts w:ascii="Open Sans" w:hAnsi="Open Sans" w:cs="Open Sans"/>
        </w:rPr>
        <w:t>provider has adopted a reactive rather than proactive approach to the management of care planning review.</w:t>
      </w:r>
    </w:p>
    <w:p w14:paraId="50CDA90A" w14:textId="0E931921" w:rsidR="00896CD2" w:rsidRDefault="001364F5" w:rsidP="006B5B9B">
      <w:pPr>
        <w:pStyle w:val="NormalArial"/>
        <w:spacing w:line="276" w:lineRule="auto"/>
        <w:rPr>
          <w:rFonts w:ascii="Open Sans" w:hAnsi="Open Sans" w:cs="Open Sans"/>
        </w:rPr>
      </w:pPr>
      <w:r>
        <w:rPr>
          <w:rFonts w:ascii="Open Sans" w:hAnsi="Open Sans" w:cs="Open Sans"/>
        </w:rPr>
        <w:t xml:space="preserve">I acknowledge the evidence </w:t>
      </w:r>
      <w:r w:rsidR="00FB1B5A">
        <w:rPr>
          <w:rFonts w:ascii="Open Sans" w:hAnsi="Open Sans" w:cs="Open Sans"/>
        </w:rPr>
        <w:t xml:space="preserve">by </w:t>
      </w:r>
      <w:r>
        <w:rPr>
          <w:rFonts w:ascii="Open Sans" w:hAnsi="Open Sans" w:cs="Open Sans"/>
        </w:rPr>
        <w:t xml:space="preserve">the provider </w:t>
      </w:r>
      <w:r w:rsidR="00C20392">
        <w:rPr>
          <w:rFonts w:ascii="Open Sans" w:hAnsi="Open Sans" w:cs="Open Sans"/>
        </w:rPr>
        <w:t xml:space="preserve">that time and resources have been allocated to remediate the risks in the Assessment Team report. </w:t>
      </w:r>
      <w:r w:rsidR="00876D8D">
        <w:rPr>
          <w:rFonts w:ascii="Open Sans" w:hAnsi="Open Sans" w:cs="Open Sans"/>
        </w:rPr>
        <w:t xml:space="preserve">However, I am not satisfied there is sufficient evidence time and resources </w:t>
      </w:r>
      <w:r w:rsidR="001029B6">
        <w:rPr>
          <w:rFonts w:ascii="Open Sans" w:hAnsi="Open Sans" w:cs="Open Sans"/>
        </w:rPr>
        <w:t>ha</w:t>
      </w:r>
      <w:r w:rsidR="0091684F">
        <w:rPr>
          <w:rFonts w:ascii="Open Sans" w:hAnsi="Open Sans" w:cs="Open Sans"/>
        </w:rPr>
        <w:t>ve</w:t>
      </w:r>
      <w:r w:rsidR="001029B6">
        <w:rPr>
          <w:rFonts w:ascii="Open Sans" w:hAnsi="Open Sans" w:cs="Open Sans"/>
        </w:rPr>
        <w:t xml:space="preserve"> been allocated to </w:t>
      </w:r>
      <w:r w:rsidR="00416F90">
        <w:rPr>
          <w:rFonts w:ascii="Open Sans" w:hAnsi="Open Sans" w:cs="Open Sans"/>
        </w:rPr>
        <w:t xml:space="preserve">sufficiently </w:t>
      </w:r>
      <w:r w:rsidR="001029B6">
        <w:rPr>
          <w:rFonts w:ascii="Open Sans" w:hAnsi="Open Sans" w:cs="Open Sans"/>
        </w:rPr>
        <w:t>embed robust systems and processes</w:t>
      </w:r>
      <w:r w:rsidR="00F965BD">
        <w:rPr>
          <w:rFonts w:ascii="Open Sans" w:hAnsi="Open Sans" w:cs="Open Sans"/>
        </w:rPr>
        <w:t>;</w:t>
      </w:r>
      <w:r w:rsidR="00BE7732">
        <w:rPr>
          <w:rFonts w:ascii="Open Sans" w:hAnsi="Open Sans" w:cs="Open Sans"/>
        </w:rPr>
        <w:t xml:space="preserve"> to ensure care plans are </w:t>
      </w:r>
      <w:r w:rsidR="00115C59">
        <w:rPr>
          <w:rFonts w:ascii="Open Sans" w:hAnsi="Open Sans" w:cs="Open Sans"/>
        </w:rPr>
        <w:t xml:space="preserve">consistently </w:t>
      </w:r>
      <w:r w:rsidR="00BE7732">
        <w:rPr>
          <w:rFonts w:ascii="Open Sans" w:hAnsi="Open Sans" w:cs="Open Sans"/>
        </w:rPr>
        <w:t>subject to regular review and revision</w:t>
      </w:r>
      <w:r w:rsidR="009B2E6D">
        <w:rPr>
          <w:rFonts w:ascii="Open Sans" w:hAnsi="Open Sans" w:cs="Open Sans"/>
        </w:rPr>
        <w:t>,</w:t>
      </w:r>
      <w:r w:rsidR="00BE7732">
        <w:rPr>
          <w:rFonts w:ascii="Open Sans" w:hAnsi="Open Sans" w:cs="Open Sans"/>
        </w:rPr>
        <w:t xml:space="preserve"> in response to changes in consumer’s conditions or circumstances</w:t>
      </w:r>
      <w:r w:rsidR="00C41368">
        <w:rPr>
          <w:rFonts w:ascii="Open Sans" w:hAnsi="Open Sans" w:cs="Open Sans"/>
        </w:rPr>
        <w:t xml:space="preserve">. </w:t>
      </w:r>
      <w:r w:rsidR="00803271">
        <w:rPr>
          <w:rFonts w:ascii="Open Sans" w:hAnsi="Open Sans" w:cs="Open Sans"/>
        </w:rPr>
        <w:t>I have considered whether it is more probable than not, based on the totality of evidence available, that the provider has not demonstrated compliance with Requirement 2(3)(</w:t>
      </w:r>
      <w:r w:rsidR="00F11A43">
        <w:rPr>
          <w:rFonts w:ascii="Open Sans" w:hAnsi="Open Sans" w:cs="Open Sans"/>
        </w:rPr>
        <w:t>e</w:t>
      </w:r>
      <w:r w:rsidR="00803271">
        <w:rPr>
          <w:rFonts w:ascii="Open Sans" w:hAnsi="Open Sans" w:cs="Open Sans"/>
        </w:rPr>
        <w:t>). I have placed weight on the reliability, cogency and probative value of all evidence before me</w:t>
      </w:r>
      <w:r w:rsidR="005D1F0D">
        <w:rPr>
          <w:rFonts w:ascii="Open Sans" w:hAnsi="Open Sans" w:cs="Open Sans"/>
        </w:rPr>
        <w:t xml:space="preserve"> and</w:t>
      </w:r>
      <w:r w:rsidR="00803271">
        <w:rPr>
          <w:rFonts w:ascii="Open Sans" w:hAnsi="Open Sans" w:cs="Open Sans"/>
        </w:rPr>
        <w:t xml:space="preserve"> I am satisfied that the threshold has been met to support a finding on non-compliance.</w:t>
      </w:r>
    </w:p>
    <w:p w14:paraId="4A892330" w14:textId="664EB022" w:rsidR="006C16A5" w:rsidRDefault="006C16A5" w:rsidP="006B5B9B">
      <w:pPr>
        <w:pStyle w:val="NormalArial"/>
        <w:spacing w:line="276" w:lineRule="auto"/>
        <w:rPr>
          <w:rFonts w:ascii="Open Sans" w:hAnsi="Open Sans" w:cs="Open Sans"/>
        </w:rPr>
      </w:pPr>
      <w:r w:rsidRPr="00CF3B64">
        <w:rPr>
          <w:rFonts w:ascii="Open Sans" w:hAnsi="Open Sans" w:cs="Open Sans"/>
        </w:rPr>
        <w:t>For the reasons detailed above, I find requirement 2(3)(</w:t>
      </w:r>
      <w:r>
        <w:rPr>
          <w:rFonts w:ascii="Open Sans" w:hAnsi="Open Sans" w:cs="Open Sans"/>
        </w:rPr>
        <w:t>e</w:t>
      </w:r>
      <w:r w:rsidRPr="00CF3B64">
        <w:rPr>
          <w:rFonts w:ascii="Open Sans" w:hAnsi="Open Sans" w:cs="Open Sans"/>
        </w:rPr>
        <w:t>) non-compliant</w:t>
      </w:r>
      <w:r w:rsidR="00417AB6" w:rsidRPr="00CF3B64">
        <w:rPr>
          <w:rFonts w:ascii="Open Sans" w:hAnsi="Open Sans" w:cs="Open Sans"/>
        </w:rPr>
        <w:t xml:space="preserve">. </w:t>
      </w:r>
    </w:p>
    <w:p w14:paraId="503E0889" w14:textId="6573654E" w:rsidR="00C74695" w:rsidRPr="001E694D" w:rsidRDefault="00C74695" w:rsidP="0036130C">
      <w:pPr>
        <w:pStyle w:val="NormalArial"/>
        <w:rPr>
          <w:rFonts w:ascii="Open Sans" w:hAnsi="Open Sans" w:cs="Open Sans"/>
        </w:rPr>
      </w:pPr>
      <w:r w:rsidRPr="001E694D">
        <w:rPr>
          <w:rFonts w:ascii="Open Sans" w:hAnsi="Open Sans" w:cs="Open Sans"/>
        </w:rPr>
        <w:br w:type="page"/>
      </w:r>
    </w:p>
    <w:p w14:paraId="76DA61F5" w14:textId="77777777" w:rsidR="00C74695" w:rsidRPr="00964196" w:rsidRDefault="00C74695" w:rsidP="00FC045E">
      <w:pPr>
        <w:pStyle w:val="Heading1"/>
        <w:spacing w:before="120" w:after="240" w:line="22" w:lineRule="atLeast"/>
        <w:rPr>
          <w:rFonts w:ascii="Open Sans" w:hAnsi="Open Sans" w:cs="Open Sans"/>
          <w:b w:val="0"/>
          <w:bCs w:val="0"/>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755B3" w14:paraId="5D6B3D6A" w14:textId="77777777" w:rsidTr="00882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32ECED50" w14:textId="77777777" w:rsidR="00C74695" w:rsidRPr="001E694D" w:rsidRDefault="00C7469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658F2E6" w14:textId="77777777" w:rsidR="00C74695" w:rsidRPr="001E694D" w:rsidRDefault="00C7469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755B3" w14:paraId="41C44865" w14:textId="77777777" w:rsidTr="0088273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1FFFDE" w14:textId="77777777" w:rsidR="00C74695" w:rsidRPr="001E694D" w:rsidRDefault="00C74695"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4A7EB39" w14:textId="77777777" w:rsidR="00C74695" w:rsidRPr="001E694D" w:rsidRDefault="00C746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8F7C20B" w14:textId="77777777" w:rsidR="00C74695" w:rsidRPr="001E694D" w:rsidRDefault="00C7469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3DC261E" w14:textId="77777777" w:rsidR="00C74695" w:rsidRPr="001E694D" w:rsidRDefault="00C7469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FAF2C22" w14:textId="77777777" w:rsidR="00C74695" w:rsidRPr="001E694D" w:rsidRDefault="00C7469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3E3CE905" w14:textId="4F1992B5" w:rsidR="00C74695" w:rsidRPr="001E694D" w:rsidRDefault="001327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161035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032F5">
                  <w:rPr>
                    <w:rFonts w:ascii="Open Sans" w:hAnsi="Open Sans" w:cs="Open Sans"/>
                    <w:color w:val="auto"/>
                  </w:rPr>
                  <w:t>Not Compliant</w:t>
                </w:r>
              </w:sdtContent>
            </w:sdt>
          </w:p>
        </w:tc>
      </w:tr>
      <w:tr w:rsidR="006755B3" w14:paraId="2F2E214C" w14:textId="77777777" w:rsidTr="00882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4059C3" w14:textId="77777777" w:rsidR="00C74695" w:rsidRPr="001E694D" w:rsidRDefault="00C74695"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75C05C36" w14:textId="77777777" w:rsidR="00C74695" w:rsidRPr="001E694D" w:rsidRDefault="00C746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34" w:type="dxa"/>
            <w:shd w:val="clear" w:color="auto" w:fill="auto"/>
          </w:tcPr>
          <w:p w14:paraId="6F9E83AB" w14:textId="540EF246" w:rsidR="00C74695" w:rsidRPr="001E694D" w:rsidRDefault="001327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252501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032F5">
                  <w:rPr>
                    <w:rFonts w:ascii="Open Sans" w:hAnsi="Open Sans" w:cs="Open Sans"/>
                    <w:color w:val="auto"/>
                  </w:rPr>
                  <w:t>Not Compliant</w:t>
                </w:r>
              </w:sdtContent>
            </w:sdt>
          </w:p>
        </w:tc>
      </w:tr>
    </w:tbl>
    <w:p w14:paraId="24D3045E" w14:textId="77777777" w:rsidR="00C74695" w:rsidRDefault="00C74695" w:rsidP="00D87E7C">
      <w:pPr>
        <w:pStyle w:val="Heading20"/>
        <w:rPr>
          <w:rFonts w:ascii="Open Sans" w:hAnsi="Open Sans" w:cs="Open Sans"/>
          <w:color w:val="781E77"/>
        </w:rPr>
      </w:pPr>
      <w:r w:rsidRPr="003E162B">
        <w:rPr>
          <w:rFonts w:ascii="Open Sans" w:hAnsi="Open Sans" w:cs="Open Sans"/>
          <w:color w:val="781E77"/>
        </w:rPr>
        <w:t>Findings</w:t>
      </w:r>
    </w:p>
    <w:p w14:paraId="020F7006" w14:textId="336F9F57" w:rsidR="0045713D" w:rsidRPr="0045713D" w:rsidRDefault="0045713D" w:rsidP="00974E84">
      <w:pPr>
        <w:pStyle w:val="NormalArial"/>
        <w:spacing w:line="276" w:lineRule="auto"/>
        <w:rPr>
          <w:rFonts w:ascii="Open Sans" w:hAnsi="Open Sans" w:cs="Open Sans"/>
        </w:rPr>
      </w:pPr>
      <w:r w:rsidRPr="00B6104C">
        <w:rPr>
          <w:rFonts w:ascii="Open Sans" w:hAnsi="Open Sans" w:cs="Open Sans"/>
        </w:rPr>
        <w:t xml:space="preserve">The Quality Standard is non-compliant as 2 requirements assessed </w:t>
      </w:r>
      <w:r>
        <w:rPr>
          <w:rFonts w:ascii="Open Sans" w:hAnsi="Open Sans" w:cs="Open Sans"/>
        </w:rPr>
        <w:t>are</w:t>
      </w:r>
      <w:r w:rsidRPr="00B6104C">
        <w:rPr>
          <w:rFonts w:ascii="Open Sans" w:hAnsi="Open Sans" w:cs="Open Sans"/>
        </w:rPr>
        <w:t xml:space="preserve"> non-compliant.</w:t>
      </w:r>
    </w:p>
    <w:p w14:paraId="7741B3B0" w14:textId="5A22B698" w:rsidR="00856C1E" w:rsidRPr="00856C1E" w:rsidRDefault="00067968" w:rsidP="00974E84">
      <w:pPr>
        <w:pStyle w:val="NormalArial"/>
        <w:spacing w:line="276" w:lineRule="auto"/>
        <w:rPr>
          <w:rFonts w:ascii="Open Sans" w:hAnsi="Open Sans" w:cs="Open Sans"/>
        </w:rPr>
      </w:pPr>
      <w:r w:rsidRPr="00B6104C">
        <w:rPr>
          <w:rFonts w:ascii="Open Sans" w:hAnsi="Open Sans" w:cs="Open Sans"/>
          <w:b/>
          <w:bCs/>
        </w:rPr>
        <w:t xml:space="preserve">Requirement </w:t>
      </w:r>
      <w:r>
        <w:rPr>
          <w:rFonts w:ascii="Open Sans" w:hAnsi="Open Sans" w:cs="Open Sans"/>
          <w:b/>
          <w:bCs/>
        </w:rPr>
        <w:t>3</w:t>
      </w:r>
      <w:r w:rsidRPr="00B6104C">
        <w:rPr>
          <w:rFonts w:ascii="Open Sans" w:hAnsi="Open Sans" w:cs="Open Sans"/>
          <w:b/>
          <w:bCs/>
        </w:rPr>
        <w:t>(3)(</w:t>
      </w:r>
      <w:r>
        <w:rPr>
          <w:rFonts w:ascii="Open Sans" w:hAnsi="Open Sans" w:cs="Open Sans"/>
          <w:b/>
          <w:bCs/>
        </w:rPr>
        <w:t>a</w:t>
      </w:r>
      <w:r w:rsidRPr="00B6104C">
        <w:rPr>
          <w:rFonts w:ascii="Open Sans" w:hAnsi="Open Sans" w:cs="Open Sans"/>
          <w:b/>
          <w:bCs/>
        </w:rPr>
        <w:t>)</w:t>
      </w:r>
      <w:r>
        <w:rPr>
          <w:rFonts w:ascii="Open Sans" w:hAnsi="Open Sans" w:cs="Open Sans"/>
          <w:b/>
          <w:bCs/>
        </w:rPr>
        <w:t xml:space="preserve"> </w:t>
      </w:r>
      <w:r>
        <w:rPr>
          <w:rFonts w:ascii="Open Sans" w:hAnsi="Open Sans" w:cs="Open Sans"/>
        </w:rPr>
        <w:t xml:space="preserve">- </w:t>
      </w:r>
      <w:r w:rsidR="00856C1E" w:rsidRPr="00856C1E">
        <w:rPr>
          <w:rFonts w:ascii="Open Sans" w:hAnsi="Open Sans" w:cs="Open Sans"/>
        </w:rPr>
        <w:t xml:space="preserve">was found non-compliant following a site audit conducted </w:t>
      </w:r>
      <w:r w:rsidR="00254AD7">
        <w:rPr>
          <w:rFonts w:ascii="Open Sans" w:hAnsi="Open Sans" w:cs="Open Sans"/>
        </w:rPr>
        <w:t xml:space="preserve">on </w:t>
      </w:r>
      <w:r w:rsidR="006439B6">
        <w:rPr>
          <w:rFonts w:ascii="Open Sans" w:hAnsi="Open Sans" w:cs="Open Sans"/>
        </w:rPr>
        <w:t xml:space="preserve">30 January </w:t>
      </w:r>
      <w:r w:rsidR="00EA71F0">
        <w:rPr>
          <w:rFonts w:ascii="Open Sans" w:hAnsi="Open Sans" w:cs="Open Sans"/>
        </w:rPr>
        <w:t>2025</w:t>
      </w:r>
      <w:r w:rsidR="00856C1E" w:rsidRPr="00856C1E">
        <w:rPr>
          <w:rFonts w:ascii="Open Sans" w:hAnsi="Open Sans" w:cs="Open Sans"/>
        </w:rPr>
        <w:t xml:space="preserve">, with the related performance report dated </w:t>
      </w:r>
      <w:r w:rsidR="00EA71F0">
        <w:rPr>
          <w:rFonts w:ascii="Open Sans" w:hAnsi="Open Sans" w:cs="Open Sans"/>
        </w:rPr>
        <w:t>27</w:t>
      </w:r>
      <w:r w:rsidR="00EA71F0" w:rsidRPr="00856C1E">
        <w:rPr>
          <w:rFonts w:ascii="Open Sans" w:hAnsi="Open Sans" w:cs="Open Sans"/>
        </w:rPr>
        <w:t xml:space="preserve"> February 2025</w:t>
      </w:r>
      <w:r w:rsidR="00856C1E" w:rsidRPr="00856C1E">
        <w:rPr>
          <w:rFonts w:ascii="Open Sans" w:hAnsi="Open Sans" w:cs="Open Sans"/>
        </w:rPr>
        <w:t>,  finding consumer</w:t>
      </w:r>
      <w:r w:rsidR="00AA1736">
        <w:rPr>
          <w:rFonts w:ascii="Open Sans" w:hAnsi="Open Sans" w:cs="Open Sans"/>
        </w:rPr>
        <w:t>s</w:t>
      </w:r>
      <w:r w:rsidR="00856C1E" w:rsidRPr="00856C1E">
        <w:rPr>
          <w:rFonts w:ascii="Open Sans" w:hAnsi="Open Sans" w:cs="Open Sans"/>
        </w:rPr>
        <w:t xml:space="preserve"> did not receive safe and effective clinical care that was best practice, tailored and optimised their health and wellbeing, specifically in relation to restrictive practices,</w:t>
      </w:r>
      <w:r w:rsidR="00114770">
        <w:rPr>
          <w:rFonts w:ascii="Open Sans" w:hAnsi="Open Sans" w:cs="Open Sans"/>
        </w:rPr>
        <w:t xml:space="preserve"> behaviour support, diabet</w:t>
      </w:r>
      <w:r w:rsidR="00BD43D1">
        <w:rPr>
          <w:rFonts w:ascii="Open Sans" w:hAnsi="Open Sans" w:cs="Open Sans"/>
        </w:rPr>
        <w:t>ic management, falls management,</w:t>
      </w:r>
      <w:r w:rsidR="00856C1E" w:rsidRPr="00856C1E">
        <w:rPr>
          <w:rFonts w:ascii="Open Sans" w:hAnsi="Open Sans" w:cs="Open Sans"/>
        </w:rPr>
        <w:t xml:space="preserve"> pressure injury prevention</w:t>
      </w:r>
      <w:r w:rsidR="00BD43D1">
        <w:rPr>
          <w:rFonts w:ascii="Open Sans" w:hAnsi="Open Sans" w:cs="Open Sans"/>
        </w:rPr>
        <w:t xml:space="preserve">, </w:t>
      </w:r>
      <w:r w:rsidR="00856C1E" w:rsidRPr="00856C1E">
        <w:rPr>
          <w:rFonts w:ascii="Open Sans" w:hAnsi="Open Sans" w:cs="Open Sans"/>
        </w:rPr>
        <w:t>pain</w:t>
      </w:r>
      <w:r w:rsidR="00BD43D1">
        <w:rPr>
          <w:rFonts w:ascii="Open Sans" w:hAnsi="Open Sans" w:cs="Open Sans"/>
        </w:rPr>
        <w:t xml:space="preserve">, weight loss, dysphagia and </w:t>
      </w:r>
      <w:r w:rsidR="003F3AEE">
        <w:rPr>
          <w:rFonts w:ascii="Open Sans" w:hAnsi="Open Sans" w:cs="Open Sans"/>
        </w:rPr>
        <w:t>complex care</w:t>
      </w:r>
      <w:r w:rsidR="00856C1E" w:rsidRPr="00856C1E">
        <w:rPr>
          <w:rFonts w:ascii="Open Sans" w:hAnsi="Open Sans" w:cs="Open Sans"/>
        </w:rPr>
        <w:t>. The Assessment Team’s report did include improvement actions the provider ha</w:t>
      </w:r>
      <w:r w:rsidR="00A272F9">
        <w:rPr>
          <w:rFonts w:ascii="Open Sans" w:hAnsi="Open Sans" w:cs="Open Sans"/>
        </w:rPr>
        <w:t>d</w:t>
      </w:r>
      <w:r w:rsidR="00856C1E" w:rsidRPr="00856C1E">
        <w:rPr>
          <w:rFonts w:ascii="Open Sans" w:hAnsi="Open Sans" w:cs="Open Sans"/>
        </w:rPr>
        <w:t xml:space="preserve"> implemented in response to the non-compliance specific to this requirement. </w:t>
      </w:r>
      <w:r w:rsidR="009B7BE4">
        <w:rPr>
          <w:rFonts w:ascii="Open Sans" w:hAnsi="Open Sans" w:cs="Open Sans"/>
        </w:rPr>
        <w:t xml:space="preserve">However, the Assessment Team report </w:t>
      </w:r>
      <w:r w:rsidR="00AE2D54">
        <w:rPr>
          <w:rFonts w:ascii="Open Sans" w:hAnsi="Open Sans" w:cs="Open Sans"/>
        </w:rPr>
        <w:t>provided</w:t>
      </w:r>
      <w:r w:rsidR="00ED075F">
        <w:rPr>
          <w:rFonts w:ascii="Open Sans" w:hAnsi="Open Sans" w:cs="Open Sans"/>
        </w:rPr>
        <w:t xml:space="preserve"> evidence the </w:t>
      </w:r>
      <w:r w:rsidR="00A953B0">
        <w:rPr>
          <w:rFonts w:ascii="Open Sans" w:hAnsi="Open Sans" w:cs="Open Sans"/>
        </w:rPr>
        <w:t>deficiencies</w:t>
      </w:r>
      <w:r w:rsidR="00ED075F">
        <w:rPr>
          <w:rFonts w:ascii="Open Sans" w:hAnsi="Open Sans" w:cs="Open Sans"/>
        </w:rPr>
        <w:t xml:space="preserve"> were </w:t>
      </w:r>
      <w:r w:rsidR="00AF77F1">
        <w:rPr>
          <w:rFonts w:ascii="Open Sans" w:hAnsi="Open Sans" w:cs="Open Sans"/>
        </w:rPr>
        <w:t xml:space="preserve">only </w:t>
      </w:r>
      <w:r w:rsidR="00ED075F">
        <w:rPr>
          <w:rFonts w:ascii="Open Sans" w:hAnsi="Open Sans" w:cs="Open Sans"/>
        </w:rPr>
        <w:t xml:space="preserve">addressed at a point in time </w:t>
      </w:r>
      <w:r w:rsidR="00DF070A">
        <w:rPr>
          <w:rFonts w:ascii="Open Sans" w:hAnsi="Open Sans" w:cs="Open Sans"/>
        </w:rPr>
        <w:t>and</w:t>
      </w:r>
      <w:r w:rsidR="000B45AE">
        <w:rPr>
          <w:rFonts w:ascii="Open Sans" w:hAnsi="Open Sans" w:cs="Open Sans"/>
        </w:rPr>
        <w:t xml:space="preserve"> did not demonstrate controls were in </w:t>
      </w:r>
      <w:r w:rsidR="00DF070A">
        <w:rPr>
          <w:rFonts w:ascii="Open Sans" w:hAnsi="Open Sans" w:cs="Open Sans"/>
        </w:rPr>
        <w:t>implemented</w:t>
      </w:r>
      <w:r w:rsidR="000B45AE">
        <w:rPr>
          <w:rFonts w:ascii="Open Sans" w:hAnsi="Open Sans" w:cs="Open Sans"/>
        </w:rPr>
        <w:t xml:space="preserve"> to </w:t>
      </w:r>
      <w:r w:rsidR="00A953B0">
        <w:rPr>
          <w:rFonts w:ascii="Open Sans" w:hAnsi="Open Sans" w:cs="Open Sans"/>
        </w:rPr>
        <w:t>continuously</w:t>
      </w:r>
      <w:r w:rsidR="000B45AE">
        <w:rPr>
          <w:rFonts w:ascii="Open Sans" w:hAnsi="Open Sans" w:cs="Open Sans"/>
        </w:rPr>
        <w:t xml:space="preserve"> mitigate the risk from </w:t>
      </w:r>
      <w:r w:rsidR="00A953B0">
        <w:rPr>
          <w:rFonts w:ascii="Open Sans" w:hAnsi="Open Sans" w:cs="Open Sans"/>
        </w:rPr>
        <w:t>departures in expected clinical best practice</w:t>
      </w:r>
      <w:r w:rsidR="00417AB6">
        <w:rPr>
          <w:rFonts w:ascii="Open Sans" w:hAnsi="Open Sans" w:cs="Open Sans"/>
        </w:rPr>
        <w:t xml:space="preserve">. </w:t>
      </w:r>
    </w:p>
    <w:p w14:paraId="2E9762DF" w14:textId="5F73BC7F" w:rsidR="00856C1E" w:rsidRPr="00856C1E" w:rsidRDefault="00856C1E" w:rsidP="00974E84">
      <w:pPr>
        <w:pStyle w:val="NormalArial"/>
        <w:spacing w:line="276" w:lineRule="auto"/>
        <w:rPr>
          <w:rFonts w:ascii="Open Sans" w:hAnsi="Open Sans" w:cs="Open Sans"/>
        </w:rPr>
      </w:pPr>
      <w:r w:rsidRPr="00856C1E">
        <w:rPr>
          <w:rFonts w:ascii="Open Sans" w:hAnsi="Open Sans" w:cs="Open Sans"/>
        </w:rPr>
        <w:t>At the assessment contact in July 2025, the Assessment Team found personal and clinical care that is best practice, tailored and optimises consumers’ health and wellbeing, particularly in relation to restrictive practices</w:t>
      </w:r>
      <w:r w:rsidR="00F83660">
        <w:rPr>
          <w:rFonts w:ascii="Open Sans" w:hAnsi="Open Sans" w:cs="Open Sans"/>
        </w:rPr>
        <w:t xml:space="preserve"> and</w:t>
      </w:r>
      <w:r w:rsidR="006F2FAC">
        <w:rPr>
          <w:rFonts w:ascii="Open Sans" w:hAnsi="Open Sans" w:cs="Open Sans"/>
        </w:rPr>
        <w:t xml:space="preserve"> behaviour support</w:t>
      </w:r>
      <w:r w:rsidRPr="00856C1E">
        <w:rPr>
          <w:rFonts w:ascii="Open Sans" w:hAnsi="Open Sans" w:cs="Open Sans"/>
        </w:rPr>
        <w:t xml:space="preserve">, is not consistently provided. The Assessment Team </w:t>
      </w:r>
      <w:r w:rsidR="00A9798A">
        <w:rPr>
          <w:rFonts w:ascii="Open Sans" w:hAnsi="Open Sans" w:cs="Open Sans"/>
        </w:rPr>
        <w:t xml:space="preserve">report </w:t>
      </w:r>
      <w:r w:rsidRPr="00856C1E">
        <w:rPr>
          <w:rFonts w:ascii="Open Sans" w:hAnsi="Open Sans" w:cs="Open Sans"/>
        </w:rPr>
        <w:t xml:space="preserve">recommended requirement 3(3)(a) not met and provided the following information gathered through interviews and document review. </w:t>
      </w:r>
    </w:p>
    <w:p w14:paraId="00B8C947" w14:textId="6EBA2FC1" w:rsidR="00856C1E" w:rsidRDefault="00856C1E" w:rsidP="00974E84">
      <w:pPr>
        <w:pStyle w:val="NormalArial"/>
        <w:spacing w:line="276" w:lineRule="auto"/>
        <w:rPr>
          <w:rFonts w:ascii="Open Sans" w:hAnsi="Open Sans" w:cs="Open Sans"/>
        </w:rPr>
      </w:pPr>
      <w:r w:rsidRPr="00856C1E">
        <w:rPr>
          <w:rFonts w:ascii="Open Sans" w:hAnsi="Open Sans" w:cs="Open Sans"/>
        </w:rPr>
        <w:lastRenderedPageBreak/>
        <w:t xml:space="preserve">BSPs do not include a life story and lack personal specific information and strategies. BSPs highlighted for </w:t>
      </w:r>
      <w:r w:rsidR="000D348E" w:rsidRPr="00856C1E">
        <w:rPr>
          <w:rFonts w:ascii="Open Sans" w:hAnsi="Open Sans" w:cs="Open Sans"/>
        </w:rPr>
        <w:t>two</w:t>
      </w:r>
      <w:r w:rsidRPr="00856C1E">
        <w:rPr>
          <w:rFonts w:ascii="Open Sans" w:hAnsi="Open Sans" w:cs="Open Sans"/>
        </w:rPr>
        <w:t xml:space="preserve"> consumers do not include individual preferences, likes and interests, activities or music that could be used to support management of behaviours. While one staff member described specific information regarding consumer preferences, likes and dislikes, other staff could not describe this information, nor strategies they would implement for consumers experiencing changed behaviours.</w:t>
      </w:r>
    </w:p>
    <w:p w14:paraId="678CB48C" w14:textId="74A184C9" w:rsidR="009F4263" w:rsidRDefault="00945C53" w:rsidP="00974E84">
      <w:pPr>
        <w:pStyle w:val="NormalArial"/>
        <w:spacing w:line="276" w:lineRule="auto"/>
        <w:rPr>
          <w:rFonts w:ascii="Open Sans" w:hAnsi="Open Sans" w:cs="Open Sans"/>
        </w:rPr>
      </w:pPr>
      <w:r>
        <w:rPr>
          <w:rFonts w:ascii="Open Sans" w:hAnsi="Open Sans" w:cs="Open Sans"/>
        </w:rPr>
        <w:t xml:space="preserve">The service was unable to demonstrate </w:t>
      </w:r>
      <w:r w:rsidR="00394930">
        <w:rPr>
          <w:rFonts w:ascii="Open Sans" w:hAnsi="Open Sans" w:cs="Open Sans"/>
        </w:rPr>
        <w:t xml:space="preserve">expected clinical </w:t>
      </w:r>
      <w:r w:rsidR="00C04AAD">
        <w:rPr>
          <w:rFonts w:ascii="Open Sans" w:hAnsi="Open Sans" w:cs="Open Sans"/>
        </w:rPr>
        <w:t xml:space="preserve">best </w:t>
      </w:r>
      <w:r w:rsidR="00394930">
        <w:rPr>
          <w:rFonts w:ascii="Open Sans" w:hAnsi="Open Sans" w:cs="Open Sans"/>
        </w:rPr>
        <w:t xml:space="preserve">practice of </w:t>
      </w:r>
      <w:r w:rsidR="00124391">
        <w:rPr>
          <w:rFonts w:ascii="Open Sans" w:hAnsi="Open Sans" w:cs="Open Sans"/>
        </w:rPr>
        <w:t xml:space="preserve">diabetes management. </w:t>
      </w:r>
      <w:r w:rsidR="00540E87">
        <w:rPr>
          <w:rFonts w:ascii="Open Sans" w:hAnsi="Open Sans" w:cs="Open Sans"/>
        </w:rPr>
        <w:t xml:space="preserve">Although the Assessment Team report acknowledged </w:t>
      </w:r>
      <w:r w:rsidR="00D13A73">
        <w:rPr>
          <w:rFonts w:ascii="Open Sans" w:hAnsi="Open Sans" w:cs="Open Sans"/>
        </w:rPr>
        <w:t xml:space="preserve">actions in the PCI to address this previous non-compliance, </w:t>
      </w:r>
      <w:r w:rsidR="00DE0CBA">
        <w:rPr>
          <w:rFonts w:ascii="Open Sans" w:hAnsi="Open Sans" w:cs="Open Sans"/>
        </w:rPr>
        <w:t xml:space="preserve">evidence via </w:t>
      </w:r>
      <w:r w:rsidR="00EB29FF">
        <w:rPr>
          <w:rFonts w:ascii="Open Sans" w:hAnsi="Open Sans" w:cs="Open Sans"/>
        </w:rPr>
        <w:t xml:space="preserve">an internal audit revealed </w:t>
      </w:r>
      <w:r w:rsidR="00D13A73">
        <w:rPr>
          <w:rFonts w:ascii="Open Sans" w:hAnsi="Open Sans" w:cs="Open Sans"/>
        </w:rPr>
        <w:t xml:space="preserve">not all consumers with diabetes </w:t>
      </w:r>
      <w:r w:rsidR="00C62232">
        <w:rPr>
          <w:rFonts w:ascii="Open Sans" w:hAnsi="Open Sans" w:cs="Open Sans"/>
        </w:rPr>
        <w:t xml:space="preserve">are effectively managed. </w:t>
      </w:r>
      <w:r w:rsidR="004C72FA">
        <w:rPr>
          <w:rFonts w:ascii="Open Sans" w:hAnsi="Open Sans" w:cs="Open Sans"/>
        </w:rPr>
        <w:t xml:space="preserve">The audit identified </w:t>
      </w:r>
      <w:r w:rsidR="000D348E">
        <w:rPr>
          <w:rFonts w:ascii="Open Sans" w:hAnsi="Open Sans" w:cs="Open Sans"/>
        </w:rPr>
        <w:t>eleven</w:t>
      </w:r>
      <w:r w:rsidR="004C72FA">
        <w:rPr>
          <w:rFonts w:ascii="Open Sans" w:hAnsi="Open Sans" w:cs="Open Sans"/>
        </w:rPr>
        <w:t xml:space="preserve"> consumers with ineffective blood glucose monitoring.</w:t>
      </w:r>
      <w:r w:rsidR="005C6DD7">
        <w:rPr>
          <w:rFonts w:ascii="Open Sans" w:hAnsi="Open Sans" w:cs="Open Sans"/>
        </w:rPr>
        <w:t xml:space="preserve"> </w:t>
      </w:r>
      <w:r w:rsidR="00A15C86">
        <w:rPr>
          <w:rFonts w:ascii="Open Sans" w:hAnsi="Open Sans" w:cs="Open Sans"/>
        </w:rPr>
        <w:t>In the provider’s response</w:t>
      </w:r>
      <w:r w:rsidR="00743079">
        <w:rPr>
          <w:rFonts w:ascii="Open Sans" w:hAnsi="Open Sans" w:cs="Open Sans"/>
        </w:rPr>
        <w:t>,</w:t>
      </w:r>
      <w:r w:rsidR="00E827FD">
        <w:rPr>
          <w:rFonts w:ascii="Open Sans" w:hAnsi="Open Sans" w:cs="Open Sans"/>
        </w:rPr>
        <w:t xml:space="preserve"> I acknowledge </w:t>
      </w:r>
      <w:r w:rsidR="0077143D">
        <w:rPr>
          <w:rFonts w:ascii="Open Sans" w:hAnsi="Open Sans" w:cs="Open Sans"/>
        </w:rPr>
        <w:t xml:space="preserve">the evidence </w:t>
      </w:r>
      <w:r w:rsidR="00E827FD">
        <w:rPr>
          <w:rFonts w:ascii="Open Sans" w:hAnsi="Open Sans" w:cs="Open Sans"/>
        </w:rPr>
        <w:t>one consumer</w:t>
      </w:r>
      <w:r w:rsidR="005C7D2D">
        <w:rPr>
          <w:rFonts w:ascii="Open Sans" w:hAnsi="Open Sans" w:cs="Open Sans"/>
        </w:rPr>
        <w:t xml:space="preserve"> who </w:t>
      </w:r>
      <w:r w:rsidR="002E7723">
        <w:rPr>
          <w:rFonts w:ascii="Open Sans" w:hAnsi="Open Sans" w:cs="Open Sans"/>
        </w:rPr>
        <w:t>self-administers</w:t>
      </w:r>
      <w:r w:rsidR="005C7D2D">
        <w:rPr>
          <w:rFonts w:ascii="Open Sans" w:hAnsi="Open Sans" w:cs="Open Sans"/>
        </w:rPr>
        <w:t xml:space="preserve"> insulin</w:t>
      </w:r>
      <w:r w:rsidR="00743079">
        <w:rPr>
          <w:rFonts w:ascii="Open Sans" w:hAnsi="Open Sans" w:cs="Open Sans"/>
        </w:rPr>
        <w:t xml:space="preserve"> had </w:t>
      </w:r>
      <w:r w:rsidR="0077143D">
        <w:rPr>
          <w:rFonts w:ascii="Open Sans" w:hAnsi="Open Sans" w:cs="Open Sans"/>
        </w:rPr>
        <w:t>sufficient risk assessments</w:t>
      </w:r>
      <w:r w:rsidR="00743079">
        <w:rPr>
          <w:rFonts w:ascii="Open Sans" w:hAnsi="Open Sans" w:cs="Open Sans"/>
        </w:rPr>
        <w:t xml:space="preserve"> </w:t>
      </w:r>
      <w:r w:rsidR="0077143D">
        <w:rPr>
          <w:rFonts w:ascii="Open Sans" w:hAnsi="Open Sans" w:cs="Open Sans"/>
        </w:rPr>
        <w:t xml:space="preserve">undertaken </w:t>
      </w:r>
      <w:r w:rsidR="00FC753B">
        <w:rPr>
          <w:rFonts w:ascii="Open Sans" w:hAnsi="Open Sans" w:cs="Open Sans"/>
        </w:rPr>
        <w:t>to ensure effective administration of insulin and monitoring of blood glucose levels</w:t>
      </w:r>
      <w:r w:rsidR="009F4263">
        <w:rPr>
          <w:rFonts w:ascii="Open Sans" w:hAnsi="Open Sans" w:cs="Open Sans"/>
        </w:rPr>
        <w:t xml:space="preserve">. </w:t>
      </w:r>
      <w:r w:rsidR="00E771D3">
        <w:rPr>
          <w:rFonts w:ascii="Open Sans" w:hAnsi="Open Sans" w:cs="Open Sans"/>
        </w:rPr>
        <w:t xml:space="preserve">In addition, </w:t>
      </w:r>
      <w:r w:rsidR="00A107B7">
        <w:rPr>
          <w:rFonts w:ascii="Open Sans" w:hAnsi="Open Sans" w:cs="Open Sans"/>
        </w:rPr>
        <w:t xml:space="preserve">the provider acknowledges the </w:t>
      </w:r>
      <w:r w:rsidR="00BC21FF">
        <w:rPr>
          <w:rFonts w:ascii="Open Sans" w:hAnsi="Open Sans" w:cs="Open Sans"/>
        </w:rPr>
        <w:t xml:space="preserve">departures from expected clinical best practice and </w:t>
      </w:r>
      <w:r w:rsidR="00F155D0">
        <w:rPr>
          <w:rFonts w:ascii="Open Sans" w:hAnsi="Open Sans" w:cs="Open Sans"/>
        </w:rPr>
        <w:t xml:space="preserve">hired a consultant to address the issues. However, the provider acknowledges this did not </w:t>
      </w:r>
      <w:r w:rsidR="00CB57D4">
        <w:rPr>
          <w:rFonts w:ascii="Open Sans" w:hAnsi="Open Sans" w:cs="Open Sans"/>
        </w:rPr>
        <w:t>mitigate the risk and further training from an educator was implemented.</w:t>
      </w:r>
      <w:r w:rsidR="00C432C7">
        <w:rPr>
          <w:rFonts w:ascii="Open Sans" w:hAnsi="Open Sans" w:cs="Open Sans"/>
        </w:rPr>
        <w:t xml:space="preserve"> </w:t>
      </w:r>
      <w:r w:rsidR="007641B2">
        <w:rPr>
          <w:rFonts w:ascii="Open Sans" w:hAnsi="Open Sans" w:cs="Open Sans"/>
        </w:rPr>
        <w:t xml:space="preserve">I acknowledge the purpose of the </w:t>
      </w:r>
      <w:r w:rsidR="00365C74">
        <w:rPr>
          <w:rFonts w:ascii="Open Sans" w:hAnsi="Open Sans" w:cs="Open Sans"/>
        </w:rPr>
        <w:t xml:space="preserve">provider’s </w:t>
      </w:r>
      <w:r w:rsidR="007641B2">
        <w:rPr>
          <w:rFonts w:ascii="Open Sans" w:hAnsi="Open Sans" w:cs="Open Sans"/>
        </w:rPr>
        <w:t xml:space="preserve">statement is to </w:t>
      </w:r>
      <w:r w:rsidR="00365C74">
        <w:rPr>
          <w:rFonts w:ascii="Open Sans" w:hAnsi="Open Sans" w:cs="Open Sans"/>
        </w:rPr>
        <w:t>re</w:t>
      </w:r>
      <w:r w:rsidR="007641B2">
        <w:rPr>
          <w:rFonts w:ascii="Open Sans" w:hAnsi="Open Sans" w:cs="Open Sans"/>
        </w:rPr>
        <w:t>assure the Commission there is downward pressure on th</w:t>
      </w:r>
      <w:r w:rsidR="003872DB">
        <w:rPr>
          <w:rFonts w:ascii="Open Sans" w:hAnsi="Open Sans" w:cs="Open Sans"/>
        </w:rPr>
        <w:t xml:space="preserve">is deficiency, however, there is </w:t>
      </w:r>
      <w:r w:rsidR="000851B2">
        <w:rPr>
          <w:rFonts w:ascii="Open Sans" w:hAnsi="Open Sans" w:cs="Open Sans"/>
        </w:rPr>
        <w:t>insufficient</w:t>
      </w:r>
      <w:r w:rsidR="003872DB">
        <w:rPr>
          <w:rFonts w:ascii="Open Sans" w:hAnsi="Open Sans" w:cs="Open Sans"/>
        </w:rPr>
        <w:t xml:space="preserve"> evidence </w:t>
      </w:r>
      <w:r w:rsidR="00496650">
        <w:rPr>
          <w:rFonts w:ascii="Open Sans" w:hAnsi="Open Sans" w:cs="Open Sans"/>
        </w:rPr>
        <w:t xml:space="preserve">brought forward by the provider to substantiate </w:t>
      </w:r>
      <w:r w:rsidR="00AB3E80">
        <w:rPr>
          <w:rFonts w:ascii="Open Sans" w:hAnsi="Open Sans" w:cs="Open Sans"/>
        </w:rPr>
        <w:t>the risk has been ameliorated</w:t>
      </w:r>
      <w:r w:rsidR="000851B2">
        <w:rPr>
          <w:rFonts w:ascii="Open Sans" w:hAnsi="Open Sans" w:cs="Open Sans"/>
        </w:rPr>
        <w:t xml:space="preserve"> for the remaining consumers</w:t>
      </w:r>
      <w:r w:rsidR="00417AB6">
        <w:rPr>
          <w:rFonts w:ascii="Open Sans" w:hAnsi="Open Sans" w:cs="Open Sans"/>
        </w:rPr>
        <w:t xml:space="preserve">. </w:t>
      </w:r>
    </w:p>
    <w:p w14:paraId="41AFA708" w14:textId="67E496A7" w:rsidR="00A33772" w:rsidRDefault="002F4A39" w:rsidP="00974E84">
      <w:pPr>
        <w:pStyle w:val="NormalArial"/>
        <w:spacing w:line="276" w:lineRule="auto"/>
        <w:rPr>
          <w:rFonts w:ascii="Open Sans" w:hAnsi="Open Sans" w:cs="Open Sans"/>
        </w:rPr>
      </w:pPr>
      <w:r>
        <w:rPr>
          <w:rFonts w:ascii="Open Sans" w:hAnsi="Open Sans" w:cs="Open Sans"/>
        </w:rPr>
        <w:t xml:space="preserve">One consumer experienced </w:t>
      </w:r>
      <w:r w:rsidR="000D348E">
        <w:rPr>
          <w:rFonts w:ascii="Open Sans" w:hAnsi="Open Sans" w:cs="Open Sans"/>
        </w:rPr>
        <w:t>seven</w:t>
      </w:r>
      <w:r w:rsidR="00DB5BA7">
        <w:rPr>
          <w:rFonts w:ascii="Open Sans" w:hAnsi="Open Sans" w:cs="Open Sans"/>
        </w:rPr>
        <w:t xml:space="preserve"> falls and </w:t>
      </w:r>
      <w:r w:rsidR="00D6519D">
        <w:rPr>
          <w:rFonts w:ascii="Open Sans" w:hAnsi="Open Sans" w:cs="Open Sans"/>
        </w:rPr>
        <w:t xml:space="preserve">the service </w:t>
      </w:r>
      <w:r w:rsidR="00DB5BA7">
        <w:rPr>
          <w:rFonts w:ascii="Open Sans" w:hAnsi="Open Sans" w:cs="Open Sans"/>
        </w:rPr>
        <w:t xml:space="preserve">did not </w:t>
      </w:r>
      <w:r w:rsidR="00D6519D">
        <w:rPr>
          <w:rFonts w:ascii="Open Sans" w:hAnsi="Open Sans" w:cs="Open Sans"/>
        </w:rPr>
        <w:t>demonstrate the</w:t>
      </w:r>
      <w:r w:rsidR="00032DF4">
        <w:rPr>
          <w:rFonts w:ascii="Open Sans" w:hAnsi="Open Sans" w:cs="Open Sans"/>
        </w:rPr>
        <w:t xml:space="preserve"> consumer</w:t>
      </w:r>
      <w:r w:rsidR="00D6519D">
        <w:rPr>
          <w:rFonts w:ascii="Open Sans" w:hAnsi="Open Sans" w:cs="Open Sans"/>
        </w:rPr>
        <w:t xml:space="preserve"> </w:t>
      </w:r>
      <w:r w:rsidR="00DB5BA7">
        <w:rPr>
          <w:rFonts w:ascii="Open Sans" w:hAnsi="Open Sans" w:cs="Open Sans"/>
        </w:rPr>
        <w:t>receive</w:t>
      </w:r>
      <w:r w:rsidR="00D6519D">
        <w:rPr>
          <w:rFonts w:ascii="Open Sans" w:hAnsi="Open Sans" w:cs="Open Sans"/>
        </w:rPr>
        <w:t>d</w:t>
      </w:r>
      <w:r w:rsidR="00DB5BA7">
        <w:rPr>
          <w:rFonts w:ascii="Open Sans" w:hAnsi="Open Sans" w:cs="Open Sans"/>
        </w:rPr>
        <w:t xml:space="preserve"> expected clinical best practice </w:t>
      </w:r>
      <w:r w:rsidR="00032DF4">
        <w:rPr>
          <w:rFonts w:ascii="Open Sans" w:hAnsi="Open Sans" w:cs="Open Sans"/>
        </w:rPr>
        <w:t xml:space="preserve">post fall </w:t>
      </w:r>
      <w:r w:rsidR="00DB5BA7">
        <w:rPr>
          <w:rFonts w:ascii="Open Sans" w:hAnsi="Open Sans" w:cs="Open Sans"/>
        </w:rPr>
        <w:t>management</w:t>
      </w:r>
      <w:r w:rsidR="00D6519D">
        <w:rPr>
          <w:rFonts w:ascii="Open Sans" w:hAnsi="Open Sans" w:cs="Open Sans"/>
        </w:rPr>
        <w:t xml:space="preserve">. </w:t>
      </w:r>
      <w:r w:rsidR="00931503">
        <w:rPr>
          <w:rFonts w:ascii="Open Sans" w:hAnsi="Open Sans" w:cs="Open Sans"/>
        </w:rPr>
        <w:t xml:space="preserve">Neurological and vital sign observations were missing from documentation </w:t>
      </w:r>
      <w:r w:rsidR="00977EF9">
        <w:rPr>
          <w:rFonts w:ascii="Open Sans" w:hAnsi="Open Sans" w:cs="Open Sans"/>
        </w:rPr>
        <w:t xml:space="preserve">and did not align with organisational policy. </w:t>
      </w:r>
      <w:r w:rsidR="007C5346">
        <w:rPr>
          <w:rFonts w:ascii="Open Sans" w:hAnsi="Open Sans" w:cs="Open Sans"/>
        </w:rPr>
        <w:t xml:space="preserve">The service was unable to demonstrate how to manage the consumer’s neurological and vital sign observations </w:t>
      </w:r>
      <w:r w:rsidR="00B34D0F">
        <w:rPr>
          <w:rFonts w:ascii="Open Sans" w:hAnsi="Open Sans" w:cs="Open Sans"/>
        </w:rPr>
        <w:t>when the consumer was asleep or declined care post fall</w:t>
      </w:r>
      <w:r w:rsidR="0098601E">
        <w:rPr>
          <w:rFonts w:ascii="Open Sans" w:hAnsi="Open Sans" w:cs="Open Sans"/>
        </w:rPr>
        <w:t xml:space="preserve">. I acknowledge the providers response </w:t>
      </w:r>
      <w:r w:rsidR="002A04EE">
        <w:rPr>
          <w:rFonts w:ascii="Open Sans" w:hAnsi="Open Sans" w:cs="Open Sans"/>
        </w:rPr>
        <w:t xml:space="preserve">that </w:t>
      </w:r>
      <w:r w:rsidR="00061F2A">
        <w:rPr>
          <w:rFonts w:ascii="Open Sans" w:hAnsi="Open Sans" w:cs="Open Sans"/>
        </w:rPr>
        <w:t xml:space="preserve">a risk assessment was completed and </w:t>
      </w:r>
      <w:r w:rsidR="00DE1AD6">
        <w:rPr>
          <w:rFonts w:ascii="Open Sans" w:hAnsi="Open Sans" w:cs="Open Sans"/>
        </w:rPr>
        <w:t>pages from neurological and vital sign observations were missing but were subsequently found</w:t>
      </w:r>
      <w:r w:rsidR="00A33BC4">
        <w:rPr>
          <w:rFonts w:ascii="Open Sans" w:hAnsi="Open Sans" w:cs="Open Sans"/>
        </w:rPr>
        <w:t xml:space="preserve">. </w:t>
      </w:r>
      <w:r w:rsidR="00423BA0">
        <w:rPr>
          <w:rFonts w:ascii="Open Sans" w:hAnsi="Open Sans" w:cs="Open Sans"/>
        </w:rPr>
        <w:t xml:space="preserve">However, there is insufficient evidence </w:t>
      </w:r>
      <w:r w:rsidR="002A04EE">
        <w:rPr>
          <w:rFonts w:ascii="Open Sans" w:hAnsi="Open Sans" w:cs="Open Sans"/>
        </w:rPr>
        <w:t xml:space="preserve">brought forward by the provider, </w:t>
      </w:r>
      <w:r w:rsidR="00423BA0">
        <w:rPr>
          <w:rFonts w:ascii="Open Sans" w:hAnsi="Open Sans" w:cs="Open Sans"/>
        </w:rPr>
        <w:t xml:space="preserve">to substantiate neurological and vital sign observations were undertaken in </w:t>
      </w:r>
      <w:r w:rsidR="00F82FC5">
        <w:rPr>
          <w:rFonts w:ascii="Open Sans" w:hAnsi="Open Sans" w:cs="Open Sans"/>
        </w:rPr>
        <w:t>accordance with organisational policy or best practice guidelines.</w:t>
      </w:r>
      <w:r w:rsidR="00EE73CC">
        <w:rPr>
          <w:rFonts w:ascii="Open Sans" w:hAnsi="Open Sans" w:cs="Open Sans"/>
        </w:rPr>
        <w:t xml:space="preserve"> </w:t>
      </w:r>
    </w:p>
    <w:p w14:paraId="7AA2BC59" w14:textId="0BF864E6" w:rsidR="000405CE" w:rsidRDefault="00B93A27" w:rsidP="00974E84">
      <w:pPr>
        <w:pStyle w:val="NormalArial"/>
        <w:spacing w:line="276" w:lineRule="auto"/>
        <w:rPr>
          <w:rFonts w:ascii="Open Sans" w:hAnsi="Open Sans" w:cs="Open Sans"/>
        </w:rPr>
      </w:pPr>
      <w:r>
        <w:rPr>
          <w:rFonts w:ascii="Open Sans" w:hAnsi="Open Sans" w:cs="Open Sans"/>
        </w:rPr>
        <w:t>The service was unable to demonstrate one consumer was receiving</w:t>
      </w:r>
      <w:r w:rsidR="008C6119">
        <w:rPr>
          <w:rFonts w:ascii="Open Sans" w:hAnsi="Open Sans" w:cs="Open Sans"/>
        </w:rPr>
        <w:t xml:space="preserve"> regular </w:t>
      </w:r>
      <w:r w:rsidR="00551BAD">
        <w:rPr>
          <w:rFonts w:ascii="Open Sans" w:hAnsi="Open Sans" w:cs="Open Sans"/>
        </w:rPr>
        <w:t xml:space="preserve">daily </w:t>
      </w:r>
      <w:r w:rsidR="00D21CFD">
        <w:rPr>
          <w:rFonts w:ascii="Open Sans" w:hAnsi="Open Sans" w:cs="Open Sans"/>
        </w:rPr>
        <w:t xml:space="preserve">pain </w:t>
      </w:r>
      <w:r w:rsidR="008C6119">
        <w:rPr>
          <w:rFonts w:ascii="Open Sans" w:hAnsi="Open Sans" w:cs="Open Sans"/>
        </w:rPr>
        <w:t>assessment</w:t>
      </w:r>
      <w:r w:rsidR="00D21CFD">
        <w:rPr>
          <w:rFonts w:ascii="Open Sans" w:hAnsi="Open Sans" w:cs="Open Sans"/>
        </w:rPr>
        <w:t>s as per</w:t>
      </w:r>
      <w:r>
        <w:rPr>
          <w:rFonts w:ascii="Open Sans" w:hAnsi="Open Sans" w:cs="Open Sans"/>
        </w:rPr>
        <w:t xml:space="preserve"> best practice pain management</w:t>
      </w:r>
      <w:r w:rsidR="00BC232B">
        <w:rPr>
          <w:rFonts w:ascii="Open Sans" w:hAnsi="Open Sans" w:cs="Open Sans"/>
        </w:rPr>
        <w:t xml:space="preserve"> guidelines</w:t>
      </w:r>
      <w:r>
        <w:rPr>
          <w:rFonts w:ascii="Open Sans" w:hAnsi="Open Sans" w:cs="Open Sans"/>
        </w:rPr>
        <w:t>.</w:t>
      </w:r>
      <w:r w:rsidR="00BC232B">
        <w:rPr>
          <w:rFonts w:ascii="Open Sans" w:hAnsi="Open Sans" w:cs="Open Sans"/>
        </w:rPr>
        <w:t xml:space="preserve"> </w:t>
      </w:r>
      <w:r w:rsidR="00E902D1">
        <w:rPr>
          <w:rFonts w:ascii="Open Sans" w:hAnsi="Open Sans" w:cs="Open Sans"/>
        </w:rPr>
        <w:t xml:space="preserve">The </w:t>
      </w:r>
      <w:r w:rsidR="00E902D1">
        <w:rPr>
          <w:rFonts w:ascii="Open Sans" w:hAnsi="Open Sans" w:cs="Open Sans"/>
        </w:rPr>
        <w:lastRenderedPageBreak/>
        <w:t xml:space="preserve">evidence brought forward in the Assessment Team report </w:t>
      </w:r>
      <w:r w:rsidR="00743D66">
        <w:rPr>
          <w:rFonts w:ascii="Open Sans" w:hAnsi="Open Sans" w:cs="Open Sans"/>
        </w:rPr>
        <w:t xml:space="preserve">did not demonstrate </w:t>
      </w:r>
      <w:r w:rsidR="00E85773">
        <w:rPr>
          <w:rFonts w:ascii="Open Sans" w:hAnsi="Open Sans" w:cs="Open Sans"/>
        </w:rPr>
        <w:t xml:space="preserve">the service completed </w:t>
      </w:r>
      <w:r w:rsidR="00B54BD2">
        <w:rPr>
          <w:rFonts w:ascii="Open Sans" w:hAnsi="Open Sans" w:cs="Open Sans"/>
        </w:rPr>
        <w:t>four</w:t>
      </w:r>
      <w:r w:rsidR="00743D66">
        <w:rPr>
          <w:rFonts w:ascii="Open Sans" w:hAnsi="Open Sans" w:cs="Open Sans"/>
        </w:rPr>
        <w:t xml:space="preserve"> hourly pain assessments. However, in the providers response, there is </w:t>
      </w:r>
      <w:r w:rsidR="008947A5">
        <w:rPr>
          <w:rFonts w:ascii="Open Sans" w:hAnsi="Open Sans" w:cs="Open Sans"/>
        </w:rPr>
        <w:t xml:space="preserve">sufficient evidence to support pain assessments are occurring </w:t>
      </w:r>
      <w:r w:rsidR="00B54BD2">
        <w:rPr>
          <w:rFonts w:ascii="Open Sans" w:hAnsi="Open Sans" w:cs="Open Sans"/>
        </w:rPr>
        <w:t>four</w:t>
      </w:r>
      <w:r w:rsidR="008947A5">
        <w:rPr>
          <w:rFonts w:ascii="Open Sans" w:hAnsi="Open Sans" w:cs="Open Sans"/>
        </w:rPr>
        <w:t xml:space="preserve"> times per day. In response, the provider has</w:t>
      </w:r>
      <w:r w:rsidR="00F57D4A">
        <w:rPr>
          <w:rFonts w:ascii="Open Sans" w:hAnsi="Open Sans" w:cs="Open Sans"/>
        </w:rPr>
        <w:t xml:space="preserve"> further</w:t>
      </w:r>
      <w:r w:rsidR="008947A5">
        <w:rPr>
          <w:rFonts w:ascii="Open Sans" w:hAnsi="Open Sans" w:cs="Open Sans"/>
        </w:rPr>
        <w:t xml:space="preserve"> </w:t>
      </w:r>
      <w:r w:rsidR="00DC5820">
        <w:rPr>
          <w:rFonts w:ascii="Open Sans" w:hAnsi="Open Sans" w:cs="Open Sans"/>
        </w:rPr>
        <w:t xml:space="preserve">increased the pain assessments to </w:t>
      </w:r>
      <w:r w:rsidR="00B54BD2">
        <w:rPr>
          <w:rFonts w:ascii="Open Sans" w:hAnsi="Open Sans" w:cs="Open Sans"/>
        </w:rPr>
        <w:t>eight</w:t>
      </w:r>
      <w:r w:rsidR="00DC5820">
        <w:rPr>
          <w:rFonts w:ascii="Open Sans" w:hAnsi="Open Sans" w:cs="Open Sans"/>
        </w:rPr>
        <w:t xml:space="preserve"> times per day</w:t>
      </w:r>
      <w:r w:rsidR="000405CE">
        <w:rPr>
          <w:rFonts w:ascii="Open Sans" w:hAnsi="Open Sans" w:cs="Open Sans"/>
        </w:rPr>
        <w:t>.</w:t>
      </w:r>
      <w:r w:rsidR="005527B6">
        <w:rPr>
          <w:rFonts w:ascii="Open Sans" w:hAnsi="Open Sans" w:cs="Open Sans"/>
        </w:rPr>
        <w:t xml:space="preserve"> However, </w:t>
      </w:r>
      <w:r w:rsidR="003F2286">
        <w:rPr>
          <w:rFonts w:ascii="Open Sans" w:hAnsi="Open Sans" w:cs="Open Sans"/>
        </w:rPr>
        <w:t xml:space="preserve">evidence brought </w:t>
      </w:r>
      <w:r w:rsidR="00FD42D1">
        <w:rPr>
          <w:rFonts w:ascii="Open Sans" w:hAnsi="Open Sans" w:cs="Open Sans"/>
        </w:rPr>
        <w:t xml:space="preserve">forward in the Assessment Team report demonstrated </w:t>
      </w:r>
      <w:r w:rsidR="00C40958">
        <w:rPr>
          <w:rFonts w:ascii="Open Sans" w:hAnsi="Open Sans" w:cs="Open Sans"/>
        </w:rPr>
        <w:t xml:space="preserve">the service was not using a </w:t>
      </w:r>
      <w:r w:rsidR="005527B6">
        <w:rPr>
          <w:rFonts w:ascii="Open Sans" w:hAnsi="Open Sans" w:cs="Open Sans"/>
        </w:rPr>
        <w:t xml:space="preserve">validated assessment tool </w:t>
      </w:r>
      <w:r w:rsidR="00720EAE">
        <w:rPr>
          <w:rFonts w:ascii="Open Sans" w:hAnsi="Open Sans" w:cs="Open Sans"/>
        </w:rPr>
        <w:t xml:space="preserve">where a verbal </w:t>
      </w:r>
      <w:r w:rsidR="00885E1C">
        <w:rPr>
          <w:rFonts w:ascii="Open Sans" w:hAnsi="Open Sans" w:cs="Open Sans"/>
        </w:rPr>
        <w:t xml:space="preserve">pain </w:t>
      </w:r>
      <w:r w:rsidR="00720EAE">
        <w:rPr>
          <w:rFonts w:ascii="Open Sans" w:hAnsi="Open Sans" w:cs="Open Sans"/>
        </w:rPr>
        <w:t xml:space="preserve">assessment was undertaken. </w:t>
      </w:r>
      <w:r w:rsidR="00E6322E">
        <w:rPr>
          <w:rFonts w:ascii="Open Sans" w:hAnsi="Open Sans" w:cs="Open Sans"/>
        </w:rPr>
        <w:t xml:space="preserve">In the providers response, they acknowledge they are still embedding </w:t>
      </w:r>
      <w:r w:rsidR="00762AFB">
        <w:rPr>
          <w:rFonts w:ascii="Open Sans" w:hAnsi="Open Sans" w:cs="Open Sans"/>
        </w:rPr>
        <w:t>a process for consistent pain management in relation to validated assessment tools. The</w:t>
      </w:r>
      <w:r w:rsidR="00335A63">
        <w:rPr>
          <w:rFonts w:ascii="Open Sans" w:hAnsi="Open Sans" w:cs="Open Sans"/>
        </w:rPr>
        <w:t xml:space="preserve"> provider </w:t>
      </w:r>
      <w:r w:rsidR="00A6592B">
        <w:rPr>
          <w:rFonts w:ascii="Open Sans" w:hAnsi="Open Sans" w:cs="Open Sans"/>
        </w:rPr>
        <w:t>acknowledged</w:t>
      </w:r>
      <w:r w:rsidR="00335A63">
        <w:rPr>
          <w:rFonts w:ascii="Open Sans" w:hAnsi="Open Sans" w:cs="Open Sans"/>
        </w:rPr>
        <w:t xml:space="preserve"> throughout July 2025 only 39% of the 221 assessments </w:t>
      </w:r>
      <w:r w:rsidR="00A6592B">
        <w:rPr>
          <w:rFonts w:ascii="Open Sans" w:hAnsi="Open Sans" w:cs="Open Sans"/>
        </w:rPr>
        <w:t>were completed using a validated pain assessment tool.</w:t>
      </w:r>
      <w:r w:rsidR="007F575A">
        <w:rPr>
          <w:rFonts w:ascii="Open Sans" w:hAnsi="Open Sans" w:cs="Open Sans"/>
        </w:rPr>
        <w:t xml:space="preserve"> </w:t>
      </w:r>
      <w:r w:rsidR="00FB22A2">
        <w:rPr>
          <w:rFonts w:ascii="Open Sans" w:hAnsi="Open Sans" w:cs="Open Sans"/>
        </w:rPr>
        <w:t xml:space="preserve">I acknowledge the deficiency </w:t>
      </w:r>
      <w:r w:rsidR="00E9713C">
        <w:rPr>
          <w:rFonts w:ascii="Open Sans" w:hAnsi="Open Sans" w:cs="Open Sans"/>
        </w:rPr>
        <w:t xml:space="preserve">in timely identification of pain </w:t>
      </w:r>
      <w:r w:rsidR="00FB22A2">
        <w:rPr>
          <w:rFonts w:ascii="Open Sans" w:hAnsi="Open Sans" w:cs="Open Sans"/>
        </w:rPr>
        <w:t xml:space="preserve">has been partly </w:t>
      </w:r>
      <w:r w:rsidR="009B5278">
        <w:rPr>
          <w:rFonts w:ascii="Open Sans" w:hAnsi="Open Sans" w:cs="Open Sans"/>
        </w:rPr>
        <w:t xml:space="preserve">understood by the provider and further consideration </w:t>
      </w:r>
      <w:r w:rsidR="00390A16">
        <w:rPr>
          <w:rFonts w:ascii="Open Sans" w:hAnsi="Open Sans" w:cs="Open Sans"/>
        </w:rPr>
        <w:t xml:space="preserve">to address the </w:t>
      </w:r>
      <w:r w:rsidR="00394FE6">
        <w:rPr>
          <w:rFonts w:ascii="Open Sans" w:hAnsi="Open Sans" w:cs="Open Sans"/>
        </w:rPr>
        <w:t xml:space="preserve">implementation of </w:t>
      </w:r>
      <w:r w:rsidR="00E9713C">
        <w:rPr>
          <w:rFonts w:ascii="Open Sans" w:hAnsi="Open Sans" w:cs="Open Sans"/>
        </w:rPr>
        <w:t xml:space="preserve">validated assessment tools is still </w:t>
      </w:r>
      <w:r w:rsidR="00394FE6">
        <w:rPr>
          <w:rFonts w:ascii="Open Sans" w:hAnsi="Open Sans" w:cs="Open Sans"/>
        </w:rPr>
        <w:t xml:space="preserve">ongoing. </w:t>
      </w:r>
    </w:p>
    <w:p w14:paraId="66C30E99" w14:textId="77777777" w:rsidR="00523337" w:rsidRDefault="00145B49" w:rsidP="00974E84">
      <w:pPr>
        <w:pStyle w:val="NormalArial"/>
        <w:spacing w:line="276" w:lineRule="auto"/>
        <w:rPr>
          <w:rFonts w:ascii="Open Sans" w:hAnsi="Open Sans" w:cs="Open Sans"/>
        </w:rPr>
      </w:pPr>
      <w:r>
        <w:rPr>
          <w:rFonts w:ascii="Open Sans" w:hAnsi="Open Sans" w:cs="Open Sans"/>
        </w:rPr>
        <w:t xml:space="preserve">The service was unable to demonstrate effective </w:t>
      </w:r>
      <w:r w:rsidR="00394FE6">
        <w:rPr>
          <w:rFonts w:ascii="Open Sans" w:hAnsi="Open Sans" w:cs="Open Sans"/>
        </w:rPr>
        <w:t xml:space="preserve">clinical </w:t>
      </w:r>
      <w:r>
        <w:rPr>
          <w:rFonts w:ascii="Open Sans" w:hAnsi="Open Sans" w:cs="Open Sans"/>
        </w:rPr>
        <w:t xml:space="preserve">best practice management of unplanned weight loss. </w:t>
      </w:r>
      <w:r w:rsidR="00D339AF">
        <w:rPr>
          <w:rFonts w:ascii="Open Sans" w:hAnsi="Open Sans" w:cs="Open Sans"/>
        </w:rPr>
        <w:t xml:space="preserve">Staff were unaware </w:t>
      </w:r>
      <w:r w:rsidR="004A034A">
        <w:rPr>
          <w:rFonts w:ascii="Open Sans" w:hAnsi="Open Sans" w:cs="Open Sans"/>
        </w:rPr>
        <w:t>o</w:t>
      </w:r>
      <w:r>
        <w:rPr>
          <w:rFonts w:ascii="Open Sans" w:hAnsi="Open Sans" w:cs="Open Sans"/>
        </w:rPr>
        <w:t xml:space="preserve">ne consumer </w:t>
      </w:r>
      <w:r w:rsidR="004A034A">
        <w:rPr>
          <w:rFonts w:ascii="Open Sans" w:hAnsi="Open Sans" w:cs="Open Sans"/>
        </w:rPr>
        <w:t xml:space="preserve">had been reviewed by the </w:t>
      </w:r>
      <w:r w:rsidR="0087538E">
        <w:rPr>
          <w:rFonts w:ascii="Open Sans" w:hAnsi="Open Sans" w:cs="Open Sans"/>
        </w:rPr>
        <w:t xml:space="preserve">dietitian and </w:t>
      </w:r>
      <w:r w:rsidR="00B348B6">
        <w:rPr>
          <w:rFonts w:ascii="Open Sans" w:hAnsi="Open Sans" w:cs="Open Sans"/>
        </w:rPr>
        <w:t xml:space="preserve">clinical management </w:t>
      </w:r>
      <w:r w:rsidR="0087538E">
        <w:rPr>
          <w:rFonts w:ascii="Open Sans" w:hAnsi="Open Sans" w:cs="Open Sans"/>
        </w:rPr>
        <w:t>were unaware of the recommendations to</w:t>
      </w:r>
      <w:r w:rsidR="00D62F73">
        <w:rPr>
          <w:rFonts w:ascii="Open Sans" w:hAnsi="Open Sans" w:cs="Open Sans"/>
        </w:rPr>
        <w:t xml:space="preserve"> support the consumer.</w:t>
      </w:r>
      <w:r w:rsidR="00384613">
        <w:rPr>
          <w:rFonts w:ascii="Open Sans" w:hAnsi="Open Sans" w:cs="Open Sans"/>
        </w:rPr>
        <w:t xml:space="preserve"> Progress notes evidenced </w:t>
      </w:r>
      <w:r w:rsidR="00F30872">
        <w:rPr>
          <w:rFonts w:ascii="Open Sans" w:hAnsi="Open Sans" w:cs="Open Sans"/>
        </w:rPr>
        <w:t>staff recorded 350mls of fluid was consumed over a 24 hour period</w:t>
      </w:r>
      <w:r w:rsidR="0087232F">
        <w:rPr>
          <w:rFonts w:ascii="Open Sans" w:hAnsi="Open Sans" w:cs="Open Sans"/>
        </w:rPr>
        <w:t xml:space="preserve"> and other clinical documentation evidenced the consumer only received 200-250mls of fluid per day</w:t>
      </w:r>
      <w:r w:rsidR="005D77C2">
        <w:rPr>
          <w:rFonts w:ascii="Open Sans" w:hAnsi="Open Sans" w:cs="Open Sans"/>
        </w:rPr>
        <w:t>. In the providers response, management acknowledge</w:t>
      </w:r>
      <w:r w:rsidR="004027ED">
        <w:rPr>
          <w:rFonts w:ascii="Open Sans" w:hAnsi="Open Sans" w:cs="Open Sans"/>
        </w:rPr>
        <w:t>d</w:t>
      </w:r>
      <w:r w:rsidR="005D77C2">
        <w:rPr>
          <w:rFonts w:ascii="Open Sans" w:hAnsi="Open Sans" w:cs="Open Sans"/>
        </w:rPr>
        <w:t xml:space="preserve"> the maladministration </w:t>
      </w:r>
      <w:r w:rsidR="00AD1EBD">
        <w:rPr>
          <w:rFonts w:ascii="Open Sans" w:hAnsi="Open Sans" w:cs="Open Sans"/>
        </w:rPr>
        <w:t xml:space="preserve">of documenting dietitian recommendations and the departure from best practice </w:t>
      </w:r>
      <w:r w:rsidR="005D77C2">
        <w:rPr>
          <w:rFonts w:ascii="Open Sans" w:hAnsi="Open Sans" w:cs="Open Sans"/>
        </w:rPr>
        <w:t xml:space="preserve">of </w:t>
      </w:r>
      <w:r w:rsidR="0092691C">
        <w:rPr>
          <w:rFonts w:ascii="Open Sans" w:hAnsi="Open Sans" w:cs="Open Sans"/>
        </w:rPr>
        <w:t>fluid charting</w:t>
      </w:r>
      <w:r w:rsidR="00AD1EBD">
        <w:rPr>
          <w:rFonts w:ascii="Open Sans" w:hAnsi="Open Sans" w:cs="Open Sans"/>
        </w:rPr>
        <w:t>.</w:t>
      </w:r>
      <w:r w:rsidR="00E01516">
        <w:rPr>
          <w:rFonts w:ascii="Open Sans" w:hAnsi="Open Sans" w:cs="Open Sans"/>
        </w:rPr>
        <w:t xml:space="preserve"> </w:t>
      </w:r>
    </w:p>
    <w:p w14:paraId="63B2B962" w14:textId="06A93DD8" w:rsidR="00F82FC5" w:rsidRDefault="00B3713C" w:rsidP="00974E84">
      <w:pPr>
        <w:pStyle w:val="NormalArial"/>
        <w:spacing w:line="276" w:lineRule="auto"/>
        <w:rPr>
          <w:rFonts w:ascii="Open Sans" w:hAnsi="Open Sans" w:cs="Open Sans"/>
        </w:rPr>
      </w:pPr>
      <w:r>
        <w:rPr>
          <w:rFonts w:ascii="Open Sans" w:hAnsi="Open Sans" w:cs="Open Sans"/>
        </w:rPr>
        <w:t>Moreover</w:t>
      </w:r>
      <w:r w:rsidR="00E01516">
        <w:rPr>
          <w:rFonts w:ascii="Open Sans" w:hAnsi="Open Sans" w:cs="Open Sans"/>
        </w:rPr>
        <w:t>, th</w:t>
      </w:r>
      <w:r w:rsidR="008661BF">
        <w:rPr>
          <w:rFonts w:ascii="Open Sans" w:hAnsi="Open Sans" w:cs="Open Sans"/>
        </w:rPr>
        <w:t>e Assessment Team report identified the same consumer d</w:t>
      </w:r>
      <w:r w:rsidR="005A307B">
        <w:rPr>
          <w:rFonts w:ascii="Open Sans" w:hAnsi="Open Sans" w:cs="Open Sans"/>
        </w:rPr>
        <w:t>id</w:t>
      </w:r>
      <w:r w:rsidR="008661BF">
        <w:rPr>
          <w:rFonts w:ascii="Open Sans" w:hAnsi="Open Sans" w:cs="Open Sans"/>
        </w:rPr>
        <w:t xml:space="preserve"> not receive</w:t>
      </w:r>
      <w:r w:rsidR="005A307B">
        <w:rPr>
          <w:rFonts w:ascii="Open Sans" w:hAnsi="Open Sans" w:cs="Open Sans"/>
        </w:rPr>
        <w:t xml:space="preserve"> their soft and bite sized </w:t>
      </w:r>
      <w:r w:rsidR="0047770A">
        <w:rPr>
          <w:rFonts w:ascii="Open Sans" w:hAnsi="Open Sans" w:cs="Open Sans"/>
        </w:rPr>
        <w:t>diet profile, despite the consumer</w:t>
      </w:r>
      <w:r w:rsidR="00D25305">
        <w:rPr>
          <w:rFonts w:ascii="Open Sans" w:hAnsi="Open Sans" w:cs="Open Sans"/>
        </w:rPr>
        <w:t xml:space="preserve"> living with dysphagia. The consumer was </w:t>
      </w:r>
      <w:r w:rsidR="00783617">
        <w:rPr>
          <w:rFonts w:ascii="Open Sans" w:hAnsi="Open Sans" w:cs="Open Sans"/>
        </w:rPr>
        <w:t>observed to be given meat balls</w:t>
      </w:r>
      <w:r w:rsidR="009D6D26">
        <w:rPr>
          <w:rFonts w:ascii="Open Sans" w:hAnsi="Open Sans" w:cs="Open Sans"/>
        </w:rPr>
        <w:t xml:space="preserve"> after the consumer refused to eat a pureed meal.</w:t>
      </w:r>
      <w:r w:rsidR="003D295D">
        <w:rPr>
          <w:rFonts w:ascii="Open Sans" w:hAnsi="Open Sans" w:cs="Open Sans"/>
        </w:rPr>
        <w:t xml:space="preserve"> The report also </w:t>
      </w:r>
      <w:r w:rsidR="009F2FA6">
        <w:rPr>
          <w:rFonts w:ascii="Open Sans" w:hAnsi="Open Sans" w:cs="Open Sans"/>
        </w:rPr>
        <w:t xml:space="preserve">brought forward observational evidence the consumer </w:t>
      </w:r>
      <w:r w:rsidR="008B1AE5">
        <w:rPr>
          <w:rFonts w:ascii="Open Sans" w:hAnsi="Open Sans" w:cs="Open Sans"/>
        </w:rPr>
        <w:t xml:space="preserve">was </w:t>
      </w:r>
      <w:r w:rsidR="0064679C">
        <w:rPr>
          <w:rFonts w:ascii="Open Sans" w:hAnsi="Open Sans" w:cs="Open Sans"/>
        </w:rPr>
        <w:t>not given any meal after she requested to go to the toilet</w:t>
      </w:r>
      <w:r w:rsidR="008B1AE5">
        <w:rPr>
          <w:rFonts w:ascii="Open Sans" w:hAnsi="Open Sans" w:cs="Open Sans"/>
        </w:rPr>
        <w:t>.</w:t>
      </w:r>
      <w:r w:rsidR="009D6D26">
        <w:rPr>
          <w:rFonts w:ascii="Open Sans" w:hAnsi="Open Sans" w:cs="Open Sans"/>
        </w:rPr>
        <w:t xml:space="preserve"> </w:t>
      </w:r>
      <w:r w:rsidR="00E24939">
        <w:rPr>
          <w:rFonts w:ascii="Open Sans" w:hAnsi="Open Sans" w:cs="Open Sans"/>
        </w:rPr>
        <w:t xml:space="preserve">In the providers response, management </w:t>
      </w:r>
      <w:r w:rsidR="00074C78">
        <w:rPr>
          <w:rFonts w:ascii="Open Sans" w:hAnsi="Open Sans" w:cs="Open Sans"/>
        </w:rPr>
        <w:t xml:space="preserve">acknowledge the consumer was given </w:t>
      </w:r>
      <w:r w:rsidR="001D682F">
        <w:rPr>
          <w:rFonts w:ascii="Open Sans" w:hAnsi="Open Sans" w:cs="Open Sans"/>
        </w:rPr>
        <w:t>a meal that was not soft and bite sized.</w:t>
      </w:r>
      <w:r w:rsidR="00ED178D">
        <w:rPr>
          <w:rFonts w:ascii="Open Sans" w:hAnsi="Open Sans" w:cs="Open Sans"/>
        </w:rPr>
        <w:t xml:space="preserve"> Notably, the provider</w:t>
      </w:r>
      <w:r w:rsidR="00177E7D">
        <w:rPr>
          <w:rFonts w:ascii="Open Sans" w:hAnsi="Open Sans" w:cs="Open Sans"/>
        </w:rPr>
        <w:t>’s response</w:t>
      </w:r>
      <w:r w:rsidR="00ED178D">
        <w:rPr>
          <w:rFonts w:ascii="Open Sans" w:hAnsi="Open Sans" w:cs="Open Sans"/>
        </w:rPr>
        <w:t xml:space="preserve"> did not acknowledge the </w:t>
      </w:r>
      <w:r w:rsidR="00B9051D">
        <w:rPr>
          <w:rFonts w:ascii="Open Sans" w:hAnsi="Open Sans" w:cs="Open Sans"/>
        </w:rPr>
        <w:t>near miss</w:t>
      </w:r>
      <w:r w:rsidR="00ED178D">
        <w:rPr>
          <w:rFonts w:ascii="Open Sans" w:hAnsi="Open Sans" w:cs="Open Sans"/>
        </w:rPr>
        <w:t xml:space="preserve"> choking incident</w:t>
      </w:r>
      <w:r w:rsidR="00177E7D">
        <w:rPr>
          <w:rFonts w:ascii="Open Sans" w:hAnsi="Open Sans" w:cs="Open Sans"/>
        </w:rPr>
        <w:t>,</w:t>
      </w:r>
      <w:r w:rsidR="00ED178D">
        <w:rPr>
          <w:rFonts w:ascii="Open Sans" w:hAnsi="Open Sans" w:cs="Open Sans"/>
        </w:rPr>
        <w:t xml:space="preserve"> which was </w:t>
      </w:r>
      <w:r w:rsidR="00177E7D">
        <w:rPr>
          <w:rFonts w:ascii="Open Sans" w:hAnsi="Open Sans" w:cs="Open Sans"/>
        </w:rPr>
        <w:t>ser</w:t>
      </w:r>
      <w:r w:rsidR="00640CBE">
        <w:rPr>
          <w:rFonts w:ascii="Open Sans" w:hAnsi="Open Sans" w:cs="Open Sans"/>
        </w:rPr>
        <w:t>endipitously</w:t>
      </w:r>
      <w:r w:rsidR="00BE3CF4">
        <w:rPr>
          <w:rFonts w:ascii="Open Sans" w:hAnsi="Open Sans" w:cs="Open Sans"/>
        </w:rPr>
        <w:t xml:space="preserve"> </w:t>
      </w:r>
      <w:r w:rsidR="00ED178D">
        <w:rPr>
          <w:rFonts w:ascii="Open Sans" w:hAnsi="Open Sans" w:cs="Open Sans"/>
        </w:rPr>
        <w:t xml:space="preserve">avoided </w:t>
      </w:r>
      <w:r w:rsidR="00B9051D">
        <w:rPr>
          <w:rFonts w:ascii="Open Sans" w:hAnsi="Open Sans" w:cs="Open Sans"/>
        </w:rPr>
        <w:t xml:space="preserve">by the consumer’s request to go to the toilet. </w:t>
      </w:r>
      <w:r w:rsidR="00A314A2">
        <w:rPr>
          <w:rFonts w:ascii="Open Sans" w:hAnsi="Open Sans" w:cs="Open Sans"/>
        </w:rPr>
        <w:t>Although, t</w:t>
      </w:r>
      <w:r w:rsidR="00695D17">
        <w:rPr>
          <w:rFonts w:ascii="Open Sans" w:hAnsi="Open Sans" w:cs="Open Sans"/>
        </w:rPr>
        <w:t xml:space="preserve">he provider </w:t>
      </w:r>
      <w:r w:rsidR="00B277D4">
        <w:rPr>
          <w:rFonts w:ascii="Open Sans" w:hAnsi="Open Sans" w:cs="Open Sans"/>
        </w:rPr>
        <w:t xml:space="preserve">also acknowledges </w:t>
      </w:r>
      <w:r w:rsidR="000A1081">
        <w:rPr>
          <w:rFonts w:ascii="Open Sans" w:hAnsi="Open Sans" w:cs="Open Sans"/>
        </w:rPr>
        <w:t xml:space="preserve">staff did not offer the consumer </w:t>
      </w:r>
      <w:r w:rsidR="008C2FC3">
        <w:rPr>
          <w:rFonts w:ascii="Open Sans" w:hAnsi="Open Sans" w:cs="Open Sans"/>
        </w:rPr>
        <w:t>a meal or</w:t>
      </w:r>
      <w:r w:rsidR="00246C26">
        <w:rPr>
          <w:rFonts w:ascii="Open Sans" w:hAnsi="Open Sans" w:cs="Open Sans"/>
        </w:rPr>
        <w:t xml:space="preserve"> snack</w:t>
      </w:r>
      <w:r w:rsidR="003A544E">
        <w:rPr>
          <w:rFonts w:ascii="Open Sans" w:hAnsi="Open Sans" w:cs="Open Sans"/>
        </w:rPr>
        <w:t xml:space="preserve"> </w:t>
      </w:r>
      <w:r w:rsidR="003D14AB">
        <w:rPr>
          <w:rFonts w:ascii="Open Sans" w:hAnsi="Open Sans" w:cs="Open Sans"/>
        </w:rPr>
        <w:t xml:space="preserve">despite being given </w:t>
      </w:r>
      <w:r w:rsidR="00B26135">
        <w:rPr>
          <w:rFonts w:ascii="Open Sans" w:hAnsi="Open Sans" w:cs="Open Sans"/>
        </w:rPr>
        <w:t>in</w:t>
      </w:r>
      <w:r w:rsidR="003D14AB">
        <w:rPr>
          <w:rFonts w:ascii="Open Sans" w:hAnsi="Open Sans" w:cs="Open Sans"/>
        </w:rPr>
        <w:t>correct meals</w:t>
      </w:r>
      <w:r w:rsidR="00395B82">
        <w:rPr>
          <w:rFonts w:ascii="Open Sans" w:hAnsi="Open Sans" w:cs="Open Sans"/>
        </w:rPr>
        <w:t>,</w:t>
      </w:r>
      <w:r w:rsidR="000574ED">
        <w:rPr>
          <w:rFonts w:ascii="Open Sans" w:hAnsi="Open Sans" w:cs="Open Sans"/>
        </w:rPr>
        <w:t xml:space="preserve"> </w:t>
      </w:r>
      <w:r w:rsidR="00395B82">
        <w:rPr>
          <w:rFonts w:ascii="Open Sans" w:hAnsi="Open Sans" w:cs="Open Sans"/>
        </w:rPr>
        <w:t xml:space="preserve">the provider stopped short in acknowledging how this </w:t>
      </w:r>
      <w:r w:rsidR="00A314A2">
        <w:rPr>
          <w:rFonts w:ascii="Open Sans" w:hAnsi="Open Sans" w:cs="Open Sans"/>
        </w:rPr>
        <w:t xml:space="preserve">impacts the consumer’s </w:t>
      </w:r>
      <w:r w:rsidR="00E12290">
        <w:rPr>
          <w:rFonts w:ascii="Open Sans" w:hAnsi="Open Sans" w:cs="Open Sans"/>
        </w:rPr>
        <w:t>unplanned weight loss</w:t>
      </w:r>
      <w:r w:rsidR="00246C26">
        <w:rPr>
          <w:rFonts w:ascii="Open Sans" w:hAnsi="Open Sans" w:cs="Open Sans"/>
        </w:rPr>
        <w:t xml:space="preserve">. </w:t>
      </w:r>
      <w:r w:rsidR="000574ED">
        <w:rPr>
          <w:rFonts w:ascii="Open Sans" w:hAnsi="Open Sans" w:cs="Open Sans"/>
        </w:rPr>
        <w:t>Furthermore</w:t>
      </w:r>
      <w:r w:rsidR="00246C26">
        <w:rPr>
          <w:rFonts w:ascii="Open Sans" w:hAnsi="Open Sans" w:cs="Open Sans"/>
        </w:rPr>
        <w:t xml:space="preserve">, the provider did not provide sufficient evidence in </w:t>
      </w:r>
      <w:r w:rsidR="00246C26">
        <w:rPr>
          <w:rFonts w:ascii="Open Sans" w:hAnsi="Open Sans" w:cs="Open Sans"/>
        </w:rPr>
        <w:lastRenderedPageBreak/>
        <w:t xml:space="preserve">their response to specifically address </w:t>
      </w:r>
      <w:r w:rsidR="00B859F7">
        <w:rPr>
          <w:rFonts w:ascii="Open Sans" w:hAnsi="Open Sans" w:cs="Open Sans"/>
        </w:rPr>
        <w:t>lack of</w:t>
      </w:r>
      <w:r w:rsidR="00D429FD">
        <w:rPr>
          <w:rFonts w:ascii="Open Sans" w:hAnsi="Open Sans" w:cs="Open Sans"/>
        </w:rPr>
        <w:t xml:space="preserve"> </w:t>
      </w:r>
      <w:r w:rsidR="008405E9">
        <w:rPr>
          <w:rFonts w:ascii="Open Sans" w:hAnsi="Open Sans" w:cs="Open Sans"/>
        </w:rPr>
        <w:t xml:space="preserve">reporting to the serious incident response scheme, </w:t>
      </w:r>
      <w:r w:rsidR="00246C26">
        <w:rPr>
          <w:rFonts w:ascii="Open Sans" w:hAnsi="Open Sans" w:cs="Open Sans"/>
        </w:rPr>
        <w:t xml:space="preserve">incorrect diet profile, </w:t>
      </w:r>
      <w:r w:rsidR="005F3F72">
        <w:rPr>
          <w:rFonts w:ascii="Open Sans" w:hAnsi="Open Sans" w:cs="Open Sans"/>
        </w:rPr>
        <w:t xml:space="preserve">near-miss </w:t>
      </w:r>
      <w:r w:rsidR="00246C26">
        <w:rPr>
          <w:rFonts w:ascii="Open Sans" w:hAnsi="Open Sans" w:cs="Open Sans"/>
        </w:rPr>
        <w:t>risk of choking</w:t>
      </w:r>
      <w:r w:rsidR="005F173B">
        <w:rPr>
          <w:rFonts w:ascii="Open Sans" w:hAnsi="Open Sans" w:cs="Open Sans"/>
        </w:rPr>
        <w:t>, weight loss and</w:t>
      </w:r>
      <w:r w:rsidR="00246C26">
        <w:rPr>
          <w:rFonts w:ascii="Open Sans" w:hAnsi="Open Sans" w:cs="Open Sans"/>
        </w:rPr>
        <w:t xml:space="preserve"> </w:t>
      </w:r>
      <w:r w:rsidR="00DA3F60">
        <w:rPr>
          <w:rFonts w:ascii="Open Sans" w:hAnsi="Open Sans" w:cs="Open Sans"/>
        </w:rPr>
        <w:t>hunger the consumer experienced</w:t>
      </w:r>
      <w:r w:rsidR="005F173B">
        <w:rPr>
          <w:rFonts w:ascii="Open Sans" w:hAnsi="Open Sans" w:cs="Open Sans"/>
        </w:rPr>
        <w:t xml:space="preserve"> or potentially </w:t>
      </w:r>
      <w:r w:rsidR="007F7D6C">
        <w:rPr>
          <w:rFonts w:ascii="Open Sans" w:hAnsi="Open Sans" w:cs="Open Sans"/>
        </w:rPr>
        <w:t>experienced</w:t>
      </w:r>
      <w:r w:rsidR="00DA3F60">
        <w:rPr>
          <w:rFonts w:ascii="Open Sans" w:hAnsi="Open Sans" w:cs="Open Sans"/>
        </w:rPr>
        <w:t xml:space="preserve">. I acknowledge the </w:t>
      </w:r>
      <w:r w:rsidR="00113FA4">
        <w:rPr>
          <w:rFonts w:ascii="Open Sans" w:hAnsi="Open Sans" w:cs="Open Sans"/>
        </w:rPr>
        <w:t xml:space="preserve">actions in the PCI </w:t>
      </w:r>
      <w:r w:rsidR="007F7D6C">
        <w:rPr>
          <w:rFonts w:ascii="Open Sans" w:hAnsi="Open Sans" w:cs="Open Sans"/>
        </w:rPr>
        <w:t xml:space="preserve">to implement </w:t>
      </w:r>
      <w:r w:rsidR="00113FA4">
        <w:rPr>
          <w:rFonts w:ascii="Open Sans" w:hAnsi="Open Sans" w:cs="Open Sans"/>
        </w:rPr>
        <w:t xml:space="preserve">tray cards to inform care staff of </w:t>
      </w:r>
      <w:r w:rsidR="00E24333">
        <w:rPr>
          <w:rFonts w:ascii="Open Sans" w:hAnsi="Open Sans" w:cs="Open Sans"/>
        </w:rPr>
        <w:t>diet profiles</w:t>
      </w:r>
      <w:r w:rsidR="00723DD3">
        <w:rPr>
          <w:rFonts w:ascii="Open Sans" w:hAnsi="Open Sans" w:cs="Open Sans"/>
        </w:rPr>
        <w:t xml:space="preserve"> </w:t>
      </w:r>
      <w:r w:rsidR="001A4ADB">
        <w:rPr>
          <w:rFonts w:ascii="Open Sans" w:hAnsi="Open Sans" w:cs="Open Sans"/>
        </w:rPr>
        <w:t>and a planned investigation into the incident.</w:t>
      </w:r>
    </w:p>
    <w:p w14:paraId="5476BBAD" w14:textId="3D57095E" w:rsidR="005C2ABB" w:rsidRDefault="00952304" w:rsidP="00974E84">
      <w:pPr>
        <w:pStyle w:val="NormalArial"/>
        <w:spacing w:line="276" w:lineRule="auto"/>
        <w:rPr>
          <w:rFonts w:ascii="Open Sans" w:hAnsi="Open Sans" w:cs="Open Sans"/>
        </w:rPr>
      </w:pPr>
      <w:r>
        <w:rPr>
          <w:rFonts w:ascii="Open Sans" w:hAnsi="Open Sans" w:cs="Open Sans"/>
        </w:rPr>
        <w:t xml:space="preserve">Overall, </w:t>
      </w:r>
      <w:r w:rsidR="00F6188F">
        <w:rPr>
          <w:rFonts w:ascii="Open Sans" w:hAnsi="Open Sans" w:cs="Open Sans"/>
        </w:rPr>
        <w:t xml:space="preserve">care staff and management were unable to demonstrate </w:t>
      </w:r>
      <w:r w:rsidR="007F019D">
        <w:rPr>
          <w:rFonts w:ascii="Open Sans" w:hAnsi="Open Sans" w:cs="Open Sans"/>
        </w:rPr>
        <w:t>behaviour</w:t>
      </w:r>
      <w:r w:rsidR="00F6188F">
        <w:rPr>
          <w:rFonts w:ascii="Open Sans" w:hAnsi="Open Sans" w:cs="Open Sans"/>
        </w:rPr>
        <w:t xml:space="preserve"> support plans and restrictive practice </w:t>
      </w:r>
      <w:r w:rsidR="00A45217">
        <w:rPr>
          <w:rFonts w:ascii="Open Sans" w:hAnsi="Open Sans" w:cs="Open Sans"/>
        </w:rPr>
        <w:t xml:space="preserve">assessments inform the delivery of best practice </w:t>
      </w:r>
      <w:r w:rsidR="00247A00">
        <w:rPr>
          <w:rFonts w:ascii="Open Sans" w:hAnsi="Open Sans" w:cs="Open Sans"/>
        </w:rPr>
        <w:t>care. Staff and management were unable to demonstrate awareness or shared understanding of restrictive practices</w:t>
      </w:r>
      <w:r w:rsidR="00905460">
        <w:rPr>
          <w:rFonts w:ascii="Open Sans" w:hAnsi="Open Sans" w:cs="Open Sans"/>
        </w:rPr>
        <w:t>,</w:t>
      </w:r>
      <w:r w:rsidR="008C3425">
        <w:rPr>
          <w:rFonts w:ascii="Open Sans" w:hAnsi="Open Sans" w:cs="Open Sans"/>
        </w:rPr>
        <w:t xml:space="preserve"> nor evidence an </w:t>
      </w:r>
      <w:r w:rsidR="007F019D">
        <w:rPr>
          <w:rFonts w:ascii="Open Sans" w:hAnsi="Open Sans" w:cs="Open Sans"/>
        </w:rPr>
        <w:t>understanding</w:t>
      </w:r>
      <w:r w:rsidR="008C3425">
        <w:rPr>
          <w:rFonts w:ascii="Open Sans" w:hAnsi="Open Sans" w:cs="Open Sans"/>
        </w:rPr>
        <w:t xml:space="preserve"> of legislated requirements for </w:t>
      </w:r>
      <w:r w:rsidR="007F019D">
        <w:rPr>
          <w:rFonts w:ascii="Open Sans" w:hAnsi="Open Sans" w:cs="Open Sans"/>
        </w:rPr>
        <w:t>restrictive</w:t>
      </w:r>
      <w:r w:rsidR="008C3425">
        <w:rPr>
          <w:rFonts w:ascii="Open Sans" w:hAnsi="Open Sans" w:cs="Open Sans"/>
        </w:rPr>
        <w:t xml:space="preserve"> practice use. </w:t>
      </w:r>
      <w:r w:rsidR="000C7B04">
        <w:rPr>
          <w:rFonts w:ascii="Open Sans" w:hAnsi="Open Sans" w:cs="Open Sans"/>
        </w:rPr>
        <w:t xml:space="preserve">Staff were unable to demonstrate </w:t>
      </w:r>
      <w:r w:rsidR="00535464">
        <w:rPr>
          <w:rFonts w:ascii="Open Sans" w:hAnsi="Open Sans" w:cs="Open Sans"/>
        </w:rPr>
        <w:t xml:space="preserve">monitoring of the use of restraint and the documentation </w:t>
      </w:r>
      <w:r w:rsidR="00B276A1">
        <w:rPr>
          <w:rFonts w:ascii="Open Sans" w:hAnsi="Open Sans" w:cs="Open Sans"/>
        </w:rPr>
        <w:t xml:space="preserve">to support the use of the </w:t>
      </w:r>
      <w:r w:rsidR="007F019D">
        <w:rPr>
          <w:rFonts w:ascii="Open Sans" w:hAnsi="Open Sans" w:cs="Open Sans"/>
        </w:rPr>
        <w:t>restraint</w:t>
      </w:r>
      <w:r w:rsidR="00B276A1">
        <w:rPr>
          <w:rFonts w:ascii="Open Sans" w:hAnsi="Open Sans" w:cs="Open Sans"/>
        </w:rPr>
        <w:t xml:space="preserve"> as a last resort. </w:t>
      </w:r>
      <w:r w:rsidR="00B709F9">
        <w:rPr>
          <w:rFonts w:ascii="Open Sans" w:hAnsi="Open Sans" w:cs="Open Sans"/>
        </w:rPr>
        <w:t xml:space="preserve">Observational evidence </w:t>
      </w:r>
      <w:r w:rsidR="00EC5671">
        <w:rPr>
          <w:rFonts w:ascii="Open Sans" w:hAnsi="Open Sans" w:cs="Open Sans"/>
        </w:rPr>
        <w:t>brought forward in the Assessment Team report, evidenced o</w:t>
      </w:r>
      <w:r w:rsidR="00B276A1">
        <w:rPr>
          <w:rFonts w:ascii="Open Sans" w:hAnsi="Open Sans" w:cs="Open Sans"/>
        </w:rPr>
        <w:t xml:space="preserve">ne consumer was consistently </w:t>
      </w:r>
      <w:r w:rsidR="0094759E">
        <w:rPr>
          <w:rFonts w:ascii="Open Sans" w:hAnsi="Open Sans" w:cs="Open Sans"/>
        </w:rPr>
        <w:t xml:space="preserve">led </w:t>
      </w:r>
      <w:r w:rsidR="00B709F9">
        <w:rPr>
          <w:rFonts w:ascii="Open Sans" w:hAnsi="Open Sans" w:cs="Open Sans"/>
        </w:rPr>
        <w:t xml:space="preserve">and directed </w:t>
      </w:r>
      <w:r w:rsidR="0094759E">
        <w:rPr>
          <w:rFonts w:ascii="Open Sans" w:hAnsi="Open Sans" w:cs="Open Sans"/>
        </w:rPr>
        <w:t xml:space="preserve">by care staff to </w:t>
      </w:r>
      <w:r w:rsidR="000D5F31">
        <w:rPr>
          <w:rFonts w:ascii="Open Sans" w:hAnsi="Open Sans" w:cs="Open Sans"/>
        </w:rPr>
        <w:t xml:space="preserve">a </w:t>
      </w:r>
      <w:r w:rsidR="00EC5671">
        <w:rPr>
          <w:rFonts w:ascii="Open Sans" w:hAnsi="Open Sans" w:cs="Open Sans"/>
        </w:rPr>
        <w:t xml:space="preserve">single </w:t>
      </w:r>
      <w:r w:rsidR="000D5F31">
        <w:rPr>
          <w:rFonts w:ascii="Open Sans" w:hAnsi="Open Sans" w:cs="Open Sans"/>
        </w:rPr>
        <w:t xml:space="preserve">chair in a </w:t>
      </w:r>
      <w:r w:rsidR="0094759E">
        <w:rPr>
          <w:rFonts w:ascii="Open Sans" w:hAnsi="Open Sans" w:cs="Open Sans"/>
        </w:rPr>
        <w:t>room</w:t>
      </w:r>
      <w:r w:rsidR="000D5F31">
        <w:rPr>
          <w:rFonts w:ascii="Open Sans" w:hAnsi="Open Sans" w:cs="Open Sans"/>
        </w:rPr>
        <w:t xml:space="preserve">, where </w:t>
      </w:r>
      <w:r w:rsidR="0013799B">
        <w:rPr>
          <w:rFonts w:ascii="Open Sans" w:hAnsi="Open Sans" w:cs="Open Sans"/>
        </w:rPr>
        <w:t>staff directed the consumer</w:t>
      </w:r>
      <w:r w:rsidR="00590209">
        <w:rPr>
          <w:rFonts w:ascii="Open Sans" w:hAnsi="Open Sans" w:cs="Open Sans"/>
        </w:rPr>
        <w:t xml:space="preserve"> </w:t>
      </w:r>
      <w:r w:rsidR="00FE48FC">
        <w:rPr>
          <w:rFonts w:ascii="Open Sans" w:hAnsi="Open Sans" w:cs="Open Sans"/>
        </w:rPr>
        <w:t>to sit</w:t>
      </w:r>
      <w:r w:rsidR="00E15441">
        <w:rPr>
          <w:rFonts w:ascii="Open Sans" w:hAnsi="Open Sans" w:cs="Open Sans"/>
        </w:rPr>
        <w:t>.</w:t>
      </w:r>
      <w:r w:rsidR="00286D8E">
        <w:rPr>
          <w:rFonts w:ascii="Open Sans" w:hAnsi="Open Sans" w:cs="Open Sans"/>
        </w:rPr>
        <w:t xml:space="preserve"> Staff were subsequently </w:t>
      </w:r>
      <w:r w:rsidR="00857173">
        <w:rPr>
          <w:rFonts w:ascii="Open Sans" w:hAnsi="Open Sans" w:cs="Open Sans"/>
        </w:rPr>
        <w:t>observed build</w:t>
      </w:r>
      <w:r w:rsidR="00C96BDC">
        <w:rPr>
          <w:rFonts w:ascii="Open Sans" w:hAnsi="Open Sans" w:cs="Open Sans"/>
        </w:rPr>
        <w:t>ing</w:t>
      </w:r>
      <w:r w:rsidR="00857173">
        <w:rPr>
          <w:rFonts w:ascii="Open Sans" w:hAnsi="Open Sans" w:cs="Open Sans"/>
        </w:rPr>
        <w:t xml:space="preserve"> </w:t>
      </w:r>
      <w:r w:rsidR="00286D8E">
        <w:rPr>
          <w:rFonts w:ascii="Open Sans" w:hAnsi="Open Sans" w:cs="Open Sans"/>
        </w:rPr>
        <w:t xml:space="preserve">a </w:t>
      </w:r>
      <w:r w:rsidR="00524FE9">
        <w:rPr>
          <w:rFonts w:ascii="Open Sans" w:hAnsi="Open Sans" w:cs="Open Sans"/>
        </w:rPr>
        <w:t>wall</w:t>
      </w:r>
      <w:r w:rsidR="00286D8E">
        <w:rPr>
          <w:rFonts w:ascii="Open Sans" w:hAnsi="Open Sans" w:cs="Open Sans"/>
        </w:rPr>
        <w:t xml:space="preserve"> around the consumer using</w:t>
      </w:r>
      <w:r w:rsidR="003B581D">
        <w:rPr>
          <w:rFonts w:ascii="Open Sans" w:hAnsi="Open Sans" w:cs="Open Sans"/>
        </w:rPr>
        <w:t xml:space="preserve"> other</w:t>
      </w:r>
      <w:r w:rsidR="00524FE9">
        <w:rPr>
          <w:rFonts w:ascii="Open Sans" w:hAnsi="Open Sans" w:cs="Open Sans"/>
        </w:rPr>
        <w:t xml:space="preserve"> chairs. </w:t>
      </w:r>
      <w:r w:rsidR="00C20B25">
        <w:rPr>
          <w:rFonts w:ascii="Open Sans" w:hAnsi="Open Sans" w:cs="Open Sans"/>
        </w:rPr>
        <w:t xml:space="preserve">After </w:t>
      </w:r>
      <w:r w:rsidR="00C96BDC">
        <w:rPr>
          <w:rFonts w:ascii="Open Sans" w:hAnsi="Open Sans" w:cs="Open Sans"/>
        </w:rPr>
        <w:t xml:space="preserve">observing </w:t>
      </w:r>
      <w:r w:rsidR="00C20B25">
        <w:rPr>
          <w:rFonts w:ascii="Open Sans" w:hAnsi="Open Sans" w:cs="Open Sans"/>
        </w:rPr>
        <w:t xml:space="preserve">the </w:t>
      </w:r>
      <w:r w:rsidR="00F77AE9">
        <w:rPr>
          <w:rFonts w:ascii="Open Sans" w:hAnsi="Open Sans" w:cs="Open Sans"/>
        </w:rPr>
        <w:t xml:space="preserve">completed </w:t>
      </w:r>
      <w:r w:rsidR="007F019D">
        <w:rPr>
          <w:rFonts w:ascii="Open Sans" w:hAnsi="Open Sans" w:cs="Open Sans"/>
        </w:rPr>
        <w:t>construction</w:t>
      </w:r>
      <w:r w:rsidR="00C20B25">
        <w:rPr>
          <w:rFonts w:ascii="Open Sans" w:hAnsi="Open Sans" w:cs="Open Sans"/>
        </w:rPr>
        <w:t xml:space="preserve"> of the </w:t>
      </w:r>
      <w:r w:rsidR="00C96BDC">
        <w:rPr>
          <w:rFonts w:ascii="Open Sans" w:hAnsi="Open Sans" w:cs="Open Sans"/>
        </w:rPr>
        <w:t xml:space="preserve">chair walls, </w:t>
      </w:r>
      <w:r w:rsidR="002B70D2">
        <w:rPr>
          <w:rFonts w:ascii="Open Sans" w:hAnsi="Open Sans" w:cs="Open Sans"/>
        </w:rPr>
        <w:t>the consumer was observed to</w:t>
      </w:r>
      <w:r w:rsidR="00BA1266">
        <w:rPr>
          <w:rFonts w:ascii="Open Sans" w:hAnsi="Open Sans" w:cs="Open Sans"/>
        </w:rPr>
        <w:t xml:space="preserve"> be </w:t>
      </w:r>
      <w:r w:rsidR="00A0227E">
        <w:rPr>
          <w:rFonts w:ascii="Open Sans" w:hAnsi="Open Sans" w:cs="Open Sans"/>
        </w:rPr>
        <w:t>sitting in a confined space with no physical room to walk.</w:t>
      </w:r>
      <w:r w:rsidR="00785F8E">
        <w:rPr>
          <w:rFonts w:ascii="Open Sans" w:hAnsi="Open Sans" w:cs="Open Sans"/>
        </w:rPr>
        <w:t xml:space="preserve"> The consumer was </w:t>
      </w:r>
      <w:r w:rsidR="00F441D7">
        <w:rPr>
          <w:rFonts w:ascii="Open Sans" w:hAnsi="Open Sans" w:cs="Open Sans"/>
        </w:rPr>
        <w:t xml:space="preserve">observed to be unable to </w:t>
      </w:r>
      <w:r w:rsidR="00CE10E9">
        <w:rPr>
          <w:rFonts w:ascii="Open Sans" w:hAnsi="Open Sans" w:cs="Open Sans"/>
        </w:rPr>
        <w:t>voluntarily</w:t>
      </w:r>
      <w:r w:rsidR="00F441D7">
        <w:rPr>
          <w:rFonts w:ascii="Open Sans" w:hAnsi="Open Sans" w:cs="Open Sans"/>
        </w:rPr>
        <w:t xml:space="preserve"> </w:t>
      </w:r>
      <w:r w:rsidR="00A014C7">
        <w:rPr>
          <w:rFonts w:ascii="Open Sans" w:hAnsi="Open Sans" w:cs="Open Sans"/>
        </w:rPr>
        <w:t>exit the confined space</w:t>
      </w:r>
      <w:r w:rsidR="00F36542">
        <w:rPr>
          <w:rFonts w:ascii="Open Sans" w:hAnsi="Open Sans" w:cs="Open Sans"/>
        </w:rPr>
        <w:t xml:space="preserve"> due to the improvised wall</w:t>
      </w:r>
      <w:r w:rsidR="005131C5">
        <w:rPr>
          <w:rFonts w:ascii="Open Sans" w:hAnsi="Open Sans" w:cs="Open Sans"/>
        </w:rPr>
        <w:t xml:space="preserve"> constructed from chairs.</w:t>
      </w:r>
      <w:r w:rsidR="005E652E">
        <w:rPr>
          <w:rFonts w:ascii="Open Sans" w:hAnsi="Open Sans" w:cs="Open Sans"/>
        </w:rPr>
        <w:t xml:space="preserve"> The consumer was observed to be the only consumer confined </w:t>
      </w:r>
      <w:r w:rsidR="00592FB8">
        <w:rPr>
          <w:rFonts w:ascii="Open Sans" w:hAnsi="Open Sans" w:cs="Open Sans"/>
        </w:rPr>
        <w:t>with</w:t>
      </w:r>
      <w:r w:rsidR="005E652E">
        <w:rPr>
          <w:rFonts w:ascii="Open Sans" w:hAnsi="Open Sans" w:cs="Open Sans"/>
        </w:rPr>
        <w:t xml:space="preserve">in </w:t>
      </w:r>
      <w:r w:rsidR="00592FB8">
        <w:rPr>
          <w:rFonts w:ascii="Open Sans" w:hAnsi="Open Sans" w:cs="Open Sans"/>
        </w:rPr>
        <w:t xml:space="preserve">the space </w:t>
      </w:r>
      <w:r w:rsidR="00A82B77">
        <w:rPr>
          <w:rFonts w:ascii="Open Sans" w:hAnsi="Open Sans" w:cs="Open Sans"/>
        </w:rPr>
        <w:t xml:space="preserve">created by the </w:t>
      </w:r>
      <w:r w:rsidR="00592FB8">
        <w:rPr>
          <w:rFonts w:ascii="Open Sans" w:hAnsi="Open Sans" w:cs="Open Sans"/>
        </w:rPr>
        <w:t>chair</w:t>
      </w:r>
      <w:r w:rsidR="00A82B77">
        <w:rPr>
          <w:rFonts w:ascii="Open Sans" w:hAnsi="Open Sans" w:cs="Open Sans"/>
        </w:rPr>
        <w:t xml:space="preserve"> walls</w:t>
      </w:r>
      <w:r w:rsidR="00CF74FB">
        <w:rPr>
          <w:rFonts w:ascii="Open Sans" w:hAnsi="Open Sans" w:cs="Open Sans"/>
        </w:rPr>
        <w:t>.</w:t>
      </w:r>
      <w:r w:rsidR="00A0227E">
        <w:rPr>
          <w:rFonts w:ascii="Open Sans" w:hAnsi="Open Sans" w:cs="Open Sans"/>
        </w:rPr>
        <w:t xml:space="preserve"> The </w:t>
      </w:r>
      <w:r w:rsidR="005D0ED5">
        <w:rPr>
          <w:rFonts w:ascii="Open Sans" w:hAnsi="Open Sans" w:cs="Open Sans"/>
        </w:rPr>
        <w:t xml:space="preserve">consumer was observed to </w:t>
      </w:r>
      <w:r w:rsidR="00F77AE9">
        <w:rPr>
          <w:rFonts w:ascii="Open Sans" w:hAnsi="Open Sans" w:cs="Open Sans"/>
        </w:rPr>
        <w:t xml:space="preserve">only </w:t>
      </w:r>
      <w:r w:rsidR="005D0ED5">
        <w:rPr>
          <w:rFonts w:ascii="Open Sans" w:hAnsi="Open Sans" w:cs="Open Sans"/>
        </w:rPr>
        <w:t>have the ability to sit and stand</w:t>
      </w:r>
      <w:r w:rsidR="00396002">
        <w:rPr>
          <w:rFonts w:ascii="Open Sans" w:hAnsi="Open Sans" w:cs="Open Sans"/>
        </w:rPr>
        <w:t xml:space="preserve">. </w:t>
      </w:r>
      <w:r w:rsidR="00E15441">
        <w:rPr>
          <w:rFonts w:ascii="Open Sans" w:hAnsi="Open Sans" w:cs="Open Sans"/>
        </w:rPr>
        <w:t xml:space="preserve">Staff interviews substantiated </w:t>
      </w:r>
      <w:r w:rsidR="00390AFE">
        <w:rPr>
          <w:rFonts w:ascii="Open Sans" w:hAnsi="Open Sans" w:cs="Open Sans"/>
        </w:rPr>
        <w:t>this restraint was</w:t>
      </w:r>
      <w:r w:rsidR="0029491E">
        <w:rPr>
          <w:rFonts w:ascii="Open Sans" w:hAnsi="Open Sans" w:cs="Open Sans"/>
        </w:rPr>
        <w:t xml:space="preserve"> being used as first line treatment and was</w:t>
      </w:r>
      <w:r w:rsidR="00390AFE">
        <w:rPr>
          <w:rFonts w:ascii="Open Sans" w:hAnsi="Open Sans" w:cs="Open Sans"/>
        </w:rPr>
        <w:t xml:space="preserve"> imp</w:t>
      </w:r>
      <w:r w:rsidR="0029491E">
        <w:rPr>
          <w:rFonts w:ascii="Open Sans" w:hAnsi="Open Sans" w:cs="Open Sans"/>
        </w:rPr>
        <w:t>lemented</w:t>
      </w:r>
      <w:r w:rsidR="00390AFE">
        <w:rPr>
          <w:rFonts w:ascii="Open Sans" w:hAnsi="Open Sans" w:cs="Open Sans"/>
        </w:rPr>
        <w:t xml:space="preserve"> to influence</w:t>
      </w:r>
      <w:r w:rsidR="0029491E">
        <w:rPr>
          <w:rFonts w:ascii="Open Sans" w:hAnsi="Open Sans" w:cs="Open Sans"/>
        </w:rPr>
        <w:t xml:space="preserve"> the consumer’s behaviour.</w:t>
      </w:r>
      <w:r w:rsidR="00E15441">
        <w:rPr>
          <w:rFonts w:ascii="Open Sans" w:hAnsi="Open Sans" w:cs="Open Sans"/>
        </w:rPr>
        <w:t xml:space="preserve"> </w:t>
      </w:r>
    </w:p>
    <w:p w14:paraId="2490E6EE" w14:textId="4EF77F3A" w:rsidR="004C322B" w:rsidRDefault="00A229AE" w:rsidP="00974E84">
      <w:pPr>
        <w:pStyle w:val="NormalArial"/>
        <w:spacing w:line="276" w:lineRule="auto"/>
        <w:rPr>
          <w:rFonts w:ascii="Open Sans" w:hAnsi="Open Sans" w:cs="Open Sans"/>
        </w:rPr>
      </w:pPr>
      <w:r>
        <w:rPr>
          <w:rFonts w:ascii="Open Sans" w:hAnsi="Open Sans" w:cs="Open Sans"/>
        </w:rPr>
        <w:t xml:space="preserve">In </w:t>
      </w:r>
      <w:r w:rsidR="00785F8E">
        <w:rPr>
          <w:rFonts w:ascii="Open Sans" w:hAnsi="Open Sans" w:cs="Open Sans"/>
        </w:rPr>
        <w:t xml:space="preserve">the providers response, management </w:t>
      </w:r>
      <w:r w:rsidR="009A074B">
        <w:rPr>
          <w:rFonts w:ascii="Open Sans" w:hAnsi="Open Sans" w:cs="Open Sans"/>
        </w:rPr>
        <w:t>confirmed</w:t>
      </w:r>
      <w:r w:rsidR="00764B25">
        <w:rPr>
          <w:rFonts w:ascii="Open Sans" w:hAnsi="Open Sans" w:cs="Open Sans"/>
        </w:rPr>
        <w:t xml:space="preserve"> the consumer is confined to a</w:t>
      </w:r>
      <w:r w:rsidR="005F0DE9">
        <w:rPr>
          <w:rFonts w:ascii="Open Sans" w:hAnsi="Open Sans" w:cs="Open Sans"/>
        </w:rPr>
        <w:t xml:space="preserve"> physical</w:t>
      </w:r>
      <w:r w:rsidR="00764B25">
        <w:rPr>
          <w:rFonts w:ascii="Open Sans" w:hAnsi="Open Sans" w:cs="Open Sans"/>
        </w:rPr>
        <w:t xml:space="preserve"> </w:t>
      </w:r>
      <w:r w:rsidR="00430953">
        <w:rPr>
          <w:rFonts w:ascii="Open Sans" w:hAnsi="Open Sans" w:cs="Open Sans"/>
        </w:rPr>
        <w:t>space</w:t>
      </w:r>
      <w:r w:rsidR="00FB6802">
        <w:rPr>
          <w:rFonts w:ascii="Open Sans" w:hAnsi="Open Sans" w:cs="Open Sans"/>
        </w:rPr>
        <w:t xml:space="preserve"> with a </w:t>
      </w:r>
      <w:r w:rsidR="006F3CB2">
        <w:rPr>
          <w:rFonts w:ascii="Open Sans" w:hAnsi="Open Sans" w:cs="Open Sans"/>
        </w:rPr>
        <w:t>‘</w:t>
      </w:r>
      <w:r w:rsidR="00FB6802">
        <w:rPr>
          <w:rFonts w:ascii="Open Sans" w:hAnsi="Open Sans" w:cs="Open Sans"/>
        </w:rPr>
        <w:t xml:space="preserve">barrier constructed of chairs to protect other consumers and </w:t>
      </w:r>
      <w:r w:rsidR="009A074B">
        <w:rPr>
          <w:rFonts w:ascii="Open Sans" w:hAnsi="Open Sans" w:cs="Open Sans"/>
        </w:rPr>
        <w:t>prevent falls</w:t>
      </w:r>
      <w:r w:rsidR="00434C25">
        <w:rPr>
          <w:rFonts w:ascii="Open Sans" w:hAnsi="Open Sans" w:cs="Open Sans"/>
        </w:rPr>
        <w:t>.’</w:t>
      </w:r>
      <w:r w:rsidR="009A074B">
        <w:rPr>
          <w:rFonts w:ascii="Open Sans" w:hAnsi="Open Sans" w:cs="Open Sans"/>
        </w:rPr>
        <w:t xml:space="preserve"> </w:t>
      </w:r>
      <w:r w:rsidR="00EF28A4">
        <w:rPr>
          <w:rFonts w:ascii="Open Sans" w:hAnsi="Open Sans" w:cs="Open Sans"/>
        </w:rPr>
        <w:t xml:space="preserve">The Assessment Team report provided evidence to support this is a potential </w:t>
      </w:r>
      <w:r w:rsidR="00D2714F">
        <w:rPr>
          <w:rFonts w:ascii="Open Sans" w:hAnsi="Open Sans" w:cs="Open Sans"/>
        </w:rPr>
        <w:t xml:space="preserve">form of improvised seclusion due to the lack of evidence of risk assessments or consideration of the appropriate use of a restraint. </w:t>
      </w:r>
      <w:r w:rsidR="009F5E45">
        <w:rPr>
          <w:rFonts w:ascii="Open Sans" w:hAnsi="Open Sans" w:cs="Open Sans"/>
        </w:rPr>
        <w:t>Additionally</w:t>
      </w:r>
      <w:r w:rsidR="005F0DE9">
        <w:rPr>
          <w:rFonts w:ascii="Open Sans" w:hAnsi="Open Sans" w:cs="Open Sans"/>
        </w:rPr>
        <w:t xml:space="preserve">, in the providers response, </w:t>
      </w:r>
      <w:r w:rsidR="00FD7591">
        <w:rPr>
          <w:rFonts w:ascii="Open Sans" w:hAnsi="Open Sans" w:cs="Open Sans"/>
        </w:rPr>
        <w:t>management</w:t>
      </w:r>
      <w:r w:rsidR="005F0DE9">
        <w:rPr>
          <w:rFonts w:ascii="Open Sans" w:hAnsi="Open Sans" w:cs="Open Sans"/>
        </w:rPr>
        <w:t xml:space="preserve"> d</w:t>
      </w:r>
      <w:r w:rsidR="00B607E3">
        <w:rPr>
          <w:rFonts w:ascii="Open Sans" w:hAnsi="Open Sans" w:cs="Open Sans"/>
        </w:rPr>
        <w:t>id</w:t>
      </w:r>
      <w:r w:rsidR="005F0DE9">
        <w:rPr>
          <w:rFonts w:ascii="Open Sans" w:hAnsi="Open Sans" w:cs="Open Sans"/>
        </w:rPr>
        <w:t xml:space="preserve"> not agree this </w:t>
      </w:r>
      <w:r w:rsidR="00B607E3">
        <w:rPr>
          <w:rFonts w:ascii="Open Sans" w:hAnsi="Open Sans" w:cs="Open Sans"/>
        </w:rPr>
        <w:t>was</w:t>
      </w:r>
      <w:r w:rsidR="009F5E45">
        <w:rPr>
          <w:rFonts w:ascii="Open Sans" w:hAnsi="Open Sans" w:cs="Open Sans"/>
        </w:rPr>
        <w:t xml:space="preserve"> a</w:t>
      </w:r>
      <w:r w:rsidR="00096646">
        <w:rPr>
          <w:rFonts w:ascii="Open Sans" w:hAnsi="Open Sans" w:cs="Open Sans"/>
        </w:rPr>
        <w:t>n</w:t>
      </w:r>
      <w:r w:rsidR="009F5E45">
        <w:rPr>
          <w:rFonts w:ascii="Open Sans" w:hAnsi="Open Sans" w:cs="Open Sans"/>
        </w:rPr>
        <w:t xml:space="preserve"> </w:t>
      </w:r>
      <w:r w:rsidR="00096646">
        <w:rPr>
          <w:rFonts w:ascii="Open Sans" w:hAnsi="Open Sans" w:cs="Open Sans"/>
        </w:rPr>
        <w:t xml:space="preserve">improvised </w:t>
      </w:r>
      <w:r w:rsidR="009F5E45">
        <w:rPr>
          <w:rFonts w:ascii="Open Sans" w:hAnsi="Open Sans" w:cs="Open Sans"/>
        </w:rPr>
        <w:t>form of seclusion.</w:t>
      </w:r>
      <w:r w:rsidR="00562F05">
        <w:rPr>
          <w:rFonts w:ascii="Open Sans" w:hAnsi="Open Sans" w:cs="Open Sans"/>
        </w:rPr>
        <w:t xml:space="preserve"> However, the</w:t>
      </w:r>
      <w:r w:rsidR="00C3036B">
        <w:rPr>
          <w:rFonts w:ascii="Open Sans" w:hAnsi="Open Sans" w:cs="Open Sans"/>
        </w:rPr>
        <w:t>re is insufficient evidence brought forward in the</w:t>
      </w:r>
      <w:r w:rsidR="00562F05">
        <w:rPr>
          <w:rFonts w:ascii="Open Sans" w:hAnsi="Open Sans" w:cs="Open Sans"/>
        </w:rPr>
        <w:t xml:space="preserve"> providers response </w:t>
      </w:r>
      <w:r w:rsidR="00C3036B">
        <w:rPr>
          <w:rFonts w:ascii="Open Sans" w:hAnsi="Open Sans" w:cs="Open Sans"/>
        </w:rPr>
        <w:t xml:space="preserve">to </w:t>
      </w:r>
      <w:r w:rsidR="00293664">
        <w:rPr>
          <w:rFonts w:ascii="Open Sans" w:hAnsi="Open Sans" w:cs="Open Sans"/>
        </w:rPr>
        <w:t xml:space="preserve">substantiate the consumer was not </w:t>
      </w:r>
      <w:r w:rsidR="0032555A">
        <w:rPr>
          <w:rFonts w:ascii="Open Sans" w:hAnsi="Open Sans" w:cs="Open Sans"/>
        </w:rPr>
        <w:t xml:space="preserve">subject to an improvised form of </w:t>
      </w:r>
      <w:r w:rsidR="00293664">
        <w:rPr>
          <w:rFonts w:ascii="Open Sans" w:hAnsi="Open Sans" w:cs="Open Sans"/>
        </w:rPr>
        <w:t>seclu</w:t>
      </w:r>
      <w:r w:rsidR="0032555A">
        <w:rPr>
          <w:rFonts w:ascii="Open Sans" w:hAnsi="Open Sans" w:cs="Open Sans"/>
        </w:rPr>
        <w:t>sion</w:t>
      </w:r>
      <w:r w:rsidR="00293664">
        <w:rPr>
          <w:rFonts w:ascii="Open Sans" w:hAnsi="Open Sans" w:cs="Open Sans"/>
        </w:rPr>
        <w:t xml:space="preserve">. For example, </w:t>
      </w:r>
      <w:r w:rsidR="00DB3E70">
        <w:rPr>
          <w:rFonts w:ascii="Open Sans" w:hAnsi="Open Sans" w:cs="Open Sans"/>
        </w:rPr>
        <w:t>there</w:t>
      </w:r>
      <w:r w:rsidR="00293664">
        <w:rPr>
          <w:rFonts w:ascii="Open Sans" w:hAnsi="Open Sans" w:cs="Open Sans"/>
        </w:rPr>
        <w:t xml:space="preserve"> is </w:t>
      </w:r>
      <w:r w:rsidR="0022025B">
        <w:rPr>
          <w:rFonts w:ascii="Open Sans" w:hAnsi="Open Sans" w:cs="Open Sans"/>
        </w:rPr>
        <w:t>insufficient</w:t>
      </w:r>
      <w:r w:rsidR="00293664">
        <w:rPr>
          <w:rFonts w:ascii="Open Sans" w:hAnsi="Open Sans" w:cs="Open Sans"/>
        </w:rPr>
        <w:t xml:space="preserve"> </w:t>
      </w:r>
      <w:r w:rsidR="002A5EBA">
        <w:rPr>
          <w:rFonts w:ascii="Open Sans" w:hAnsi="Open Sans" w:cs="Open Sans"/>
        </w:rPr>
        <w:t xml:space="preserve">documented </w:t>
      </w:r>
      <w:r w:rsidR="00293664">
        <w:rPr>
          <w:rFonts w:ascii="Open Sans" w:hAnsi="Open Sans" w:cs="Open Sans"/>
        </w:rPr>
        <w:t xml:space="preserve">evidence </w:t>
      </w:r>
      <w:r w:rsidR="00DB3E70">
        <w:rPr>
          <w:rFonts w:ascii="Open Sans" w:hAnsi="Open Sans" w:cs="Open Sans"/>
        </w:rPr>
        <w:t xml:space="preserve">to substantiate the consumer was not left </w:t>
      </w:r>
      <w:r w:rsidR="00293664">
        <w:rPr>
          <w:rFonts w:ascii="Open Sans" w:hAnsi="Open Sans" w:cs="Open Sans"/>
        </w:rPr>
        <w:t>alone in the confined space</w:t>
      </w:r>
      <w:r w:rsidR="00C41E91">
        <w:rPr>
          <w:rFonts w:ascii="Open Sans" w:hAnsi="Open Sans" w:cs="Open Sans"/>
        </w:rPr>
        <w:t xml:space="preserve"> at any hour of the day</w:t>
      </w:r>
      <w:r w:rsidR="00293664">
        <w:rPr>
          <w:rFonts w:ascii="Open Sans" w:hAnsi="Open Sans" w:cs="Open Sans"/>
        </w:rPr>
        <w:t xml:space="preserve">, </w:t>
      </w:r>
      <w:r w:rsidR="00C41E91">
        <w:rPr>
          <w:rFonts w:ascii="Open Sans" w:hAnsi="Open Sans" w:cs="Open Sans"/>
        </w:rPr>
        <w:t xml:space="preserve">the consumer was </w:t>
      </w:r>
      <w:r w:rsidR="00293664">
        <w:rPr>
          <w:rFonts w:ascii="Open Sans" w:hAnsi="Open Sans" w:cs="Open Sans"/>
        </w:rPr>
        <w:t>able to voluntarily exit the confined space,</w:t>
      </w:r>
      <w:r w:rsidR="00C41E91">
        <w:rPr>
          <w:rFonts w:ascii="Open Sans" w:hAnsi="Open Sans" w:cs="Open Sans"/>
        </w:rPr>
        <w:t xml:space="preserve"> the consumer was not prevented</w:t>
      </w:r>
      <w:r w:rsidR="00C249F2">
        <w:rPr>
          <w:rFonts w:ascii="Open Sans" w:hAnsi="Open Sans" w:cs="Open Sans"/>
        </w:rPr>
        <w:t xml:space="preserve"> by chair walls</w:t>
      </w:r>
      <w:r w:rsidR="00C41E91">
        <w:rPr>
          <w:rFonts w:ascii="Open Sans" w:hAnsi="Open Sans" w:cs="Open Sans"/>
        </w:rPr>
        <w:t xml:space="preserve"> from leaving the confined </w:t>
      </w:r>
      <w:r w:rsidR="00C41E91">
        <w:rPr>
          <w:rFonts w:ascii="Open Sans" w:hAnsi="Open Sans" w:cs="Open Sans"/>
        </w:rPr>
        <w:lastRenderedPageBreak/>
        <w:t>space</w:t>
      </w:r>
      <w:r w:rsidR="00293664">
        <w:rPr>
          <w:rFonts w:ascii="Open Sans" w:hAnsi="Open Sans" w:cs="Open Sans"/>
        </w:rPr>
        <w:t xml:space="preserve"> </w:t>
      </w:r>
      <w:r w:rsidR="00DE143F">
        <w:rPr>
          <w:rFonts w:ascii="Open Sans" w:hAnsi="Open Sans" w:cs="Open Sans"/>
        </w:rPr>
        <w:t xml:space="preserve">and the purpose of the restraint was not to influence behaviour. </w:t>
      </w:r>
      <w:r w:rsidR="00121111">
        <w:rPr>
          <w:rFonts w:ascii="Open Sans" w:hAnsi="Open Sans" w:cs="Open Sans"/>
        </w:rPr>
        <w:t xml:space="preserve">In their response, the provider does not </w:t>
      </w:r>
      <w:r w:rsidR="00C77BCE">
        <w:rPr>
          <w:rFonts w:ascii="Open Sans" w:hAnsi="Open Sans" w:cs="Open Sans"/>
        </w:rPr>
        <w:t xml:space="preserve">provide </w:t>
      </w:r>
      <w:r w:rsidR="004732C1">
        <w:rPr>
          <w:rFonts w:ascii="Open Sans" w:hAnsi="Open Sans" w:cs="Open Sans"/>
        </w:rPr>
        <w:t xml:space="preserve">sufficient evidence </w:t>
      </w:r>
      <w:r w:rsidR="00F42E08">
        <w:rPr>
          <w:rFonts w:ascii="Open Sans" w:hAnsi="Open Sans" w:cs="Open Sans"/>
        </w:rPr>
        <w:t xml:space="preserve">of </w:t>
      </w:r>
      <w:r w:rsidR="00C77BCE">
        <w:rPr>
          <w:rFonts w:ascii="Open Sans" w:hAnsi="Open Sans" w:cs="Open Sans"/>
        </w:rPr>
        <w:t>a</w:t>
      </w:r>
      <w:r w:rsidR="00F42E08">
        <w:rPr>
          <w:rFonts w:ascii="Open Sans" w:hAnsi="Open Sans" w:cs="Open Sans"/>
        </w:rPr>
        <w:t>n evidence-based</w:t>
      </w:r>
      <w:r w:rsidR="00C77BCE">
        <w:rPr>
          <w:rFonts w:ascii="Open Sans" w:hAnsi="Open Sans" w:cs="Open Sans"/>
        </w:rPr>
        <w:t xml:space="preserve"> risk assessment </w:t>
      </w:r>
      <w:r w:rsidR="00753E37">
        <w:rPr>
          <w:rFonts w:ascii="Open Sans" w:hAnsi="Open Sans" w:cs="Open Sans"/>
        </w:rPr>
        <w:t xml:space="preserve">to </w:t>
      </w:r>
      <w:r w:rsidR="00F42E08">
        <w:rPr>
          <w:rFonts w:ascii="Open Sans" w:hAnsi="Open Sans" w:cs="Open Sans"/>
        </w:rPr>
        <w:t>rationalise</w:t>
      </w:r>
      <w:r w:rsidR="00BF6D2F">
        <w:rPr>
          <w:rFonts w:ascii="Open Sans" w:hAnsi="Open Sans" w:cs="Open Sans"/>
        </w:rPr>
        <w:t xml:space="preserve"> </w:t>
      </w:r>
      <w:r w:rsidR="003B6C26">
        <w:rPr>
          <w:rFonts w:ascii="Open Sans" w:hAnsi="Open Sans" w:cs="Open Sans"/>
        </w:rPr>
        <w:t xml:space="preserve">the use </w:t>
      </w:r>
      <w:r w:rsidR="003942FE">
        <w:rPr>
          <w:rFonts w:ascii="Open Sans" w:hAnsi="Open Sans" w:cs="Open Sans"/>
        </w:rPr>
        <w:t>of</w:t>
      </w:r>
      <w:r w:rsidR="003B6C26">
        <w:rPr>
          <w:rFonts w:ascii="Open Sans" w:hAnsi="Open Sans" w:cs="Open Sans"/>
        </w:rPr>
        <w:t xml:space="preserve"> a</w:t>
      </w:r>
      <w:r w:rsidR="003942FE">
        <w:rPr>
          <w:rFonts w:ascii="Open Sans" w:hAnsi="Open Sans" w:cs="Open Sans"/>
        </w:rPr>
        <w:t xml:space="preserve"> restraint which carries the potential for</w:t>
      </w:r>
      <w:r w:rsidR="00121111">
        <w:rPr>
          <w:rFonts w:ascii="Open Sans" w:hAnsi="Open Sans" w:cs="Open Sans"/>
        </w:rPr>
        <w:t xml:space="preserve"> serious health risk</w:t>
      </w:r>
      <w:r w:rsidR="003B6C26">
        <w:rPr>
          <w:rFonts w:ascii="Open Sans" w:hAnsi="Open Sans" w:cs="Open Sans"/>
        </w:rPr>
        <w:t>s</w:t>
      </w:r>
      <w:r w:rsidR="00121111">
        <w:rPr>
          <w:rFonts w:ascii="Open Sans" w:hAnsi="Open Sans" w:cs="Open Sans"/>
        </w:rPr>
        <w:t xml:space="preserve"> associated with a </w:t>
      </w:r>
      <w:r w:rsidR="005043F3">
        <w:rPr>
          <w:rFonts w:ascii="Open Sans" w:hAnsi="Open Sans" w:cs="Open Sans"/>
        </w:rPr>
        <w:t xml:space="preserve">person being confined to a </w:t>
      </w:r>
      <w:r w:rsidR="008D6734">
        <w:rPr>
          <w:rFonts w:ascii="Open Sans" w:hAnsi="Open Sans" w:cs="Open Sans"/>
        </w:rPr>
        <w:t xml:space="preserve">seat in a small </w:t>
      </w:r>
      <w:r w:rsidR="005043F3">
        <w:rPr>
          <w:rFonts w:ascii="Open Sans" w:hAnsi="Open Sans" w:cs="Open Sans"/>
        </w:rPr>
        <w:t xml:space="preserve">space </w:t>
      </w:r>
      <w:r w:rsidR="00002CD2">
        <w:rPr>
          <w:rFonts w:ascii="Open Sans" w:hAnsi="Open Sans" w:cs="Open Sans"/>
        </w:rPr>
        <w:t xml:space="preserve">for hours of the day. </w:t>
      </w:r>
    </w:p>
    <w:p w14:paraId="6830201A" w14:textId="1FE20651" w:rsidR="004C322B" w:rsidRDefault="00002CD2" w:rsidP="00974E84">
      <w:pPr>
        <w:pStyle w:val="NormalArial"/>
        <w:spacing w:line="276" w:lineRule="auto"/>
        <w:rPr>
          <w:rFonts w:ascii="Open Sans" w:hAnsi="Open Sans" w:cs="Open Sans"/>
        </w:rPr>
      </w:pPr>
      <w:r>
        <w:rPr>
          <w:rFonts w:ascii="Open Sans" w:hAnsi="Open Sans" w:cs="Open Sans"/>
        </w:rPr>
        <w:t xml:space="preserve">I have reviewed the </w:t>
      </w:r>
      <w:r w:rsidR="00A05293">
        <w:rPr>
          <w:rFonts w:ascii="Open Sans" w:hAnsi="Open Sans" w:cs="Open Sans"/>
        </w:rPr>
        <w:t>assessments</w:t>
      </w:r>
      <w:r w:rsidR="00BB311F">
        <w:rPr>
          <w:rFonts w:ascii="Open Sans" w:hAnsi="Open Sans" w:cs="Open Sans"/>
        </w:rPr>
        <w:t xml:space="preserve"> in the provider’s response</w:t>
      </w:r>
      <w:r w:rsidR="00A05293">
        <w:rPr>
          <w:rFonts w:ascii="Open Sans" w:hAnsi="Open Sans" w:cs="Open Sans"/>
        </w:rPr>
        <w:t xml:space="preserve"> and there is </w:t>
      </w:r>
      <w:r w:rsidR="003E40A9">
        <w:rPr>
          <w:rFonts w:ascii="Open Sans" w:hAnsi="Open Sans" w:cs="Open Sans"/>
        </w:rPr>
        <w:t>insufficient</w:t>
      </w:r>
      <w:r w:rsidR="00A05293">
        <w:rPr>
          <w:rFonts w:ascii="Open Sans" w:hAnsi="Open Sans" w:cs="Open Sans"/>
        </w:rPr>
        <w:t xml:space="preserve"> </w:t>
      </w:r>
      <w:r w:rsidR="006762D4">
        <w:rPr>
          <w:rFonts w:ascii="Open Sans" w:hAnsi="Open Sans" w:cs="Open Sans"/>
        </w:rPr>
        <w:t xml:space="preserve">evidence of clinical consideration of </w:t>
      </w:r>
      <w:r w:rsidR="00664409">
        <w:rPr>
          <w:rFonts w:ascii="Open Sans" w:hAnsi="Open Sans" w:cs="Open Sans"/>
        </w:rPr>
        <w:t xml:space="preserve">high risk adverse health </w:t>
      </w:r>
      <w:r w:rsidR="00984A5D">
        <w:rPr>
          <w:rFonts w:ascii="Open Sans" w:hAnsi="Open Sans" w:cs="Open Sans"/>
        </w:rPr>
        <w:t>effects such as deep vein thrombosis</w:t>
      </w:r>
      <w:r w:rsidR="00234078">
        <w:rPr>
          <w:rFonts w:ascii="Open Sans" w:hAnsi="Open Sans" w:cs="Open Sans"/>
        </w:rPr>
        <w:t xml:space="preserve"> and psychological distress</w:t>
      </w:r>
      <w:r w:rsidR="00406651">
        <w:rPr>
          <w:rFonts w:ascii="Open Sans" w:hAnsi="Open Sans" w:cs="Open Sans"/>
        </w:rPr>
        <w:t xml:space="preserve"> potentially associated with </w:t>
      </w:r>
      <w:r w:rsidR="00BB311F">
        <w:rPr>
          <w:rFonts w:ascii="Open Sans" w:hAnsi="Open Sans" w:cs="Open Sans"/>
        </w:rPr>
        <w:t>this form of restraint.</w:t>
      </w:r>
      <w:r w:rsidR="00234078">
        <w:rPr>
          <w:rFonts w:ascii="Open Sans" w:hAnsi="Open Sans" w:cs="Open Sans"/>
        </w:rPr>
        <w:t xml:space="preserve"> </w:t>
      </w:r>
      <w:r w:rsidR="00456526">
        <w:rPr>
          <w:rFonts w:ascii="Open Sans" w:hAnsi="Open Sans" w:cs="Open Sans"/>
        </w:rPr>
        <w:t xml:space="preserve">I acknowledge the provider has determined the restraint </w:t>
      </w:r>
      <w:r w:rsidR="003E4D80">
        <w:rPr>
          <w:rFonts w:ascii="Open Sans" w:hAnsi="Open Sans" w:cs="Open Sans"/>
        </w:rPr>
        <w:t>a</w:t>
      </w:r>
      <w:r w:rsidR="00456526">
        <w:rPr>
          <w:rFonts w:ascii="Open Sans" w:hAnsi="Open Sans" w:cs="Open Sans"/>
        </w:rPr>
        <w:t>s mechanical</w:t>
      </w:r>
      <w:r w:rsidR="007D3BED">
        <w:rPr>
          <w:rFonts w:ascii="Open Sans" w:hAnsi="Open Sans" w:cs="Open Sans"/>
        </w:rPr>
        <w:t xml:space="preserve">, however, there is no </w:t>
      </w:r>
      <w:r w:rsidR="00000682">
        <w:rPr>
          <w:rFonts w:ascii="Open Sans" w:hAnsi="Open Sans" w:cs="Open Sans"/>
        </w:rPr>
        <w:t>evidence</w:t>
      </w:r>
      <w:r w:rsidR="00706CC3">
        <w:rPr>
          <w:rFonts w:ascii="Open Sans" w:hAnsi="Open Sans" w:cs="Open Sans"/>
        </w:rPr>
        <w:t xml:space="preserve">-based </w:t>
      </w:r>
      <w:r w:rsidR="002C3BEF">
        <w:rPr>
          <w:rFonts w:ascii="Open Sans" w:hAnsi="Open Sans" w:cs="Open Sans"/>
        </w:rPr>
        <w:t>rationale</w:t>
      </w:r>
      <w:r w:rsidR="00000682">
        <w:rPr>
          <w:rFonts w:ascii="Open Sans" w:hAnsi="Open Sans" w:cs="Open Sans"/>
        </w:rPr>
        <w:t xml:space="preserve"> in the providers reply to demonstrate </w:t>
      </w:r>
      <w:r w:rsidR="003E4D80">
        <w:rPr>
          <w:rFonts w:ascii="Open Sans" w:hAnsi="Open Sans" w:cs="Open Sans"/>
        </w:rPr>
        <w:t xml:space="preserve">how they have </w:t>
      </w:r>
      <w:r w:rsidR="00610F3D">
        <w:rPr>
          <w:rFonts w:ascii="Open Sans" w:hAnsi="Open Sans" w:cs="Open Sans"/>
        </w:rPr>
        <w:t>determine</w:t>
      </w:r>
      <w:r w:rsidR="003E4D80">
        <w:rPr>
          <w:rFonts w:ascii="Open Sans" w:hAnsi="Open Sans" w:cs="Open Sans"/>
        </w:rPr>
        <w:t xml:space="preserve">d this </w:t>
      </w:r>
      <w:r w:rsidR="00EB1AEC">
        <w:rPr>
          <w:rFonts w:ascii="Open Sans" w:hAnsi="Open Sans" w:cs="Open Sans"/>
        </w:rPr>
        <w:t xml:space="preserve">to be </w:t>
      </w:r>
      <w:r w:rsidR="003E40A9">
        <w:rPr>
          <w:rFonts w:ascii="Open Sans" w:hAnsi="Open Sans" w:cs="Open Sans"/>
        </w:rPr>
        <w:t xml:space="preserve">a safe </w:t>
      </w:r>
      <w:r w:rsidR="00F10BA1">
        <w:rPr>
          <w:rFonts w:ascii="Open Sans" w:hAnsi="Open Sans" w:cs="Open Sans"/>
        </w:rPr>
        <w:t xml:space="preserve">form of restraint, </w:t>
      </w:r>
      <w:r w:rsidR="00B55B54">
        <w:rPr>
          <w:rFonts w:ascii="Open Sans" w:hAnsi="Open Sans" w:cs="Open Sans"/>
        </w:rPr>
        <w:t>a justified form of restraint</w:t>
      </w:r>
      <w:r w:rsidR="005E4F78">
        <w:rPr>
          <w:rFonts w:ascii="Open Sans" w:hAnsi="Open Sans" w:cs="Open Sans"/>
        </w:rPr>
        <w:t xml:space="preserve"> and why this </w:t>
      </w:r>
      <w:r w:rsidR="00004CAD">
        <w:rPr>
          <w:rFonts w:ascii="Open Sans" w:hAnsi="Open Sans" w:cs="Open Sans"/>
        </w:rPr>
        <w:t xml:space="preserve">type </w:t>
      </w:r>
      <w:r w:rsidR="00EB1AEC">
        <w:rPr>
          <w:rFonts w:ascii="Open Sans" w:hAnsi="Open Sans" w:cs="Open Sans"/>
        </w:rPr>
        <w:t>of</w:t>
      </w:r>
      <w:r w:rsidR="00004CAD">
        <w:rPr>
          <w:rFonts w:ascii="Open Sans" w:hAnsi="Open Sans" w:cs="Open Sans"/>
        </w:rPr>
        <w:t xml:space="preserve"> restraint is </w:t>
      </w:r>
      <w:r w:rsidR="00EB1AEC">
        <w:rPr>
          <w:rFonts w:ascii="Open Sans" w:hAnsi="Open Sans" w:cs="Open Sans"/>
        </w:rPr>
        <w:t xml:space="preserve">preferred </w:t>
      </w:r>
      <w:r w:rsidR="00004CAD">
        <w:rPr>
          <w:rFonts w:ascii="Open Sans" w:hAnsi="Open Sans" w:cs="Open Sans"/>
        </w:rPr>
        <w:t xml:space="preserve">over </w:t>
      </w:r>
      <w:r w:rsidR="00EB1AEC">
        <w:rPr>
          <w:rFonts w:ascii="Open Sans" w:hAnsi="Open Sans" w:cs="Open Sans"/>
        </w:rPr>
        <w:t>alternative</w:t>
      </w:r>
      <w:r w:rsidR="00004CAD">
        <w:rPr>
          <w:rFonts w:ascii="Open Sans" w:hAnsi="Open Sans" w:cs="Open Sans"/>
        </w:rPr>
        <w:t xml:space="preserve"> </w:t>
      </w:r>
      <w:r w:rsidR="002C3BEF">
        <w:rPr>
          <w:rFonts w:ascii="Open Sans" w:hAnsi="Open Sans" w:cs="Open Sans"/>
        </w:rPr>
        <w:t>strategies</w:t>
      </w:r>
      <w:r w:rsidR="00DC00B5">
        <w:rPr>
          <w:rFonts w:ascii="Open Sans" w:hAnsi="Open Sans" w:cs="Open Sans"/>
        </w:rPr>
        <w:t xml:space="preserve">. </w:t>
      </w:r>
      <w:r w:rsidR="001D1C55">
        <w:rPr>
          <w:rFonts w:ascii="Open Sans" w:hAnsi="Open Sans" w:cs="Open Sans"/>
        </w:rPr>
        <w:t xml:space="preserve">In </w:t>
      </w:r>
      <w:r w:rsidR="00BA73E0">
        <w:rPr>
          <w:rFonts w:ascii="Open Sans" w:hAnsi="Open Sans" w:cs="Open Sans"/>
        </w:rPr>
        <w:t>addition,</w:t>
      </w:r>
      <w:r w:rsidR="001D1C55">
        <w:rPr>
          <w:rFonts w:ascii="Open Sans" w:hAnsi="Open Sans" w:cs="Open Sans"/>
        </w:rPr>
        <w:t xml:space="preserve"> I also </w:t>
      </w:r>
      <w:r w:rsidR="00114E70">
        <w:rPr>
          <w:rFonts w:ascii="Open Sans" w:hAnsi="Open Sans" w:cs="Open Sans"/>
        </w:rPr>
        <w:t xml:space="preserve">acknowledge </w:t>
      </w:r>
      <w:r w:rsidR="00D85E81">
        <w:rPr>
          <w:rFonts w:ascii="Open Sans" w:hAnsi="Open Sans" w:cs="Open Sans"/>
        </w:rPr>
        <w:t>an</w:t>
      </w:r>
      <w:r w:rsidR="00114E70">
        <w:rPr>
          <w:rFonts w:ascii="Open Sans" w:hAnsi="Open Sans" w:cs="Open Sans"/>
        </w:rPr>
        <w:t xml:space="preserve"> </w:t>
      </w:r>
      <w:r w:rsidR="006F02CA">
        <w:rPr>
          <w:rFonts w:ascii="Open Sans" w:hAnsi="Open Sans" w:cs="Open Sans"/>
        </w:rPr>
        <w:t xml:space="preserve">updated risk assessment for mechanical </w:t>
      </w:r>
      <w:r w:rsidR="00A3337C">
        <w:rPr>
          <w:rFonts w:ascii="Open Sans" w:hAnsi="Open Sans" w:cs="Open Sans"/>
        </w:rPr>
        <w:t>restraint</w:t>
      </w:r>
      <w:r w:rsidR="001D1C55">
        <w:rPr>
          <w:rFonts w:ascii="Open Sans" w:hAnsi="Open Sans" w:cs="Open Sans"/>
        </w:rPr>
        <w:t xml:space="preserve"> in the providers response</w:t>
      </w:r>
      <w:r w:rsidR="00293B36">
        <w:rPr>
          <w:rFonts w:ascii="Open Sans" w:hAnsi="Open Sans" w:cs="Open Sans"/>
        </w:rPr>
        <w:t>. H</w:t>
      </w:r>
      <w:r w:rsidR="006F02CA">
        <w:rPr>
          <w:rFonts w:ascii="Open Sans" w:hAnsi="Open Sans" w:cs="Open Sans"/>
        </w:rPr>
        <w:t xml:space="preserve">owever, </w:t>
      </w:r>
      <w:r w:rsidR="00647C66">
        <w:rPr>
          <w:rFonts w:ascii="Open Sans" w:hAnsi="Open Sans" w:cs="Open Sans"/>
        </w:rPr>
        <w:t xml:space="preserve">the </w:t>
      </w:r>
      <w:r w:rsidR="00293B36">
        <w:rPr>
          <w:rFonts w:ascii="Open Sans" w:hAnsi="Open Sans" w:cs="Open Sans"/>
        </w:rPr>
        <w:t xml:space="preserve">risk </w:t>
      </w:r>
      <w:r w:rsidR="00496673">
        <w:rPr>
          <w:rFonts w:ascii="Open Sans" w:hAnsi="Open Sans" w:cs="Open Sans"/>
        </w:rPr>
        <w:t xml:space="preserve">assessment does not </w:t>
      </w:r>
      <w:r w:rsidR="008E3702">
        <w:rPr>
          <w:rFonts w:ascii="Open Sans" w:hAnsi="Open Sans" w:cs="Open Sans"/>
        </w:rPr>
        <w:t xml:space="preserve">fully describe the </w:t>
      </w:r>
      <w:r w:rsidR="002A1216">
        <w:rPr>
          <w:rFonts w:ascii="Open Sans" w:hAnsi="Open Sans" w:cs="Open Sans"/>
        </w:rPr>
        <w:t xml:space="preserve">type and features of the </w:t>
      </w:r>
      <w:r w:rsidR="008E3702">
        <w:rPr>
          <w:rFonts w:ascii="Open Sans" w:hAnsi="Open Sans" w:cs="Open Sans"/>
        </w:rPr>
        <w:t>mechanical restraint being implemented</w:t>
      </w:r>
      <w:r w:rsidR="002A1216">
        <w:rPr>
          <w:rFonts w:ascii="Open Sans" w:hAnsi="Open Sans" w:cs="Open Sans"/>
        </w:rPr>
        <w:t xml:space="preserve">. </w:t>
      </w:r>
      <w:r w:rsidR="006925C0">
        <w:rPr>
          <w:rFonts w:ascii="Open Sans" w:hAnsi="Open Sans" w:cs="Open Sans"/>
        </w:rPr>
        <w:t xml:space="preserve">For example, the </w:t>
      </w:r>
      <w:r w:rsidR="00293B36">
        <w:rPr>
          <w:rFonts w:ascii="Open Sans" w:hAnsi="Open Sans" w:cs="Open Sans"/>
        </w:rPr>
        <w:t xml:space="preserve">risk </w:t>
      </w:r>
      <w:r w:rsidR="006925C0">
        <w:rPr>
          <w:rFonts w:ascii="Open Sans" w:hAnsi="Open Sans" w:cs="Open Sans"/>
        </w:rPr>
        <w:t xml:space="preserve">assessment </w:t>
      </w:r>
      <w:r w:rsidR="00BA73E0">
        <w:rPr>
          <w:rFonts w:ascii="Open Sans" w:hAnsi="Open Sans" w:cs="Open Sans"/>
        </w:rPr>
        <w:t>states</w:t>
      </w:r>
      <w:r w:rsidR="00EE64AB">
        <w:rPr>
          <w:rFonts w:ascii="Open Sans" w:hAnsi="Open Sans" w:cs="Open Sans"/>
        </w:rPr>
        <w:t xml:space="preserve"> mechanical restraint as</w:t>
      </w:r>
      <w:r w:rsidR="002B18DD">
        <w:rPr>
          <w:rFonts w:ascii="Open Sans" w:hAnsi="Open Sans" w:cs="Open Sans"/>
        </w:rPr>
        <w:t xml:space="preserve"> ‘the use of a chair’ but </w:t>
      </w:r>
      <w:r w:rsidR="00FE2C15">
        <w:rPr>
          <w:rFonts w:ascii="Open Sans" w:hAnsi="Open Sans" w:cs="Open Sans"/>
        </w:rPr>
        <w:t xml:space="preserve">the provider in their reply describes the </w:t>
      </w:r>
      <w:r w:rsidR="00EE64AB">
        <w:rPr>
          <w:rFonts w:ascii="Open Sans" w:hAnsi="Open Sans" w:cs="Open Sans"/>
        </w:rPr>
        <w:t xml:space="preserve">mechanical </w:t>
      </w:r>
      <w:r w:rsidR="00FE2C15">
        <w:rPr>
          <w:rFonts w:ascii="Open Sans" w:hAnsi="Open Sans" w:cs="Open Sans"/>
        </w:rPr>
        <w:t xml:space="preserve">restraint as a ‘chair arrangement </w:t>
      </w:r>
      <w:r w:rsidR="00AB2C84">
        <w:rPr>
          <w:rFonts w:ascii="Open Sans" w:hAnsi="Open Sans" w:cs="Open Sans"/>
        </w:rPr>
        <w:t>and a barrier</w:t>
      </w:r>
      <w:r w:rsidR="00434C25">
        <w:rPr>
          <w:rFonts w:ascii="Open Sans" w:hAnsi="Open Sans" w:cs="Open Sans"/>
        </w:rPr>
        <w:t>.’</w:t>
      </w:r>
      <w:r w:rsidR="00AB2C84">
        <w:rPr>
          <w:rFonts w:ascii="Open Sans" w:hAnsi="Open Sans" w:cs="Open Sans"/>
        </w:rPr>
        <w:t xml:space="preserve"> </w:t>
      </w:r>
      <w:r w:rsidR="00293B36">
        <w:rPr>
          <w:rFonts w:ascii="Open Sans" w:hAnsi="Open Sans" w:cs="Open Sans"/>
        </w:rPr>
        <w:t>Th</w:t>
      </w:r>
      <w:r w:rsidR="004F6342">
        <w:rPr>
          <w:rFonts w:ascii="Open Sans" w:hAnsi="Open Sans" w:cs="Open Sans"/>
        </w:rPr>
        <w:t>erefore</w:t>
      </w:r>
      <w:r w:rsidR="00EA1BBF">
        <w:rPr>
          <w:rFonts w:ascii="Open Sans" w:hAnsi="Open Sans" w:cs="Open Sans"/>
        </w:rPr>
        <w:t>,</w:t>
      </w:r>
      <w:r w:rsidR="004F6342">
        <w:rPr>
          <w:rFonts w:ascii="Open Sans" w:hAnsi="Open Sans" w:cs="Open Sans"/>
        </w:rPr>
        <w:t xml:space="preserve"> it is not clear to me </w:t>
      </w:r>
      <w:r w:rsidR="00EA1BBF">
        <w:rPr>
          <w:rFonts w:ascii="Open Sans" w:hAnsi="Open Sans" w:cs="Open Sans"/>
        </w:rPr>
        <w:t xml:space="preserve">if </w:t>
      </w:r>
      <w:r w:rsidR="00B51835">
        <w:rPr>
          <w:rFonts w:ascii="Open Sans" w:hAnsi="Open Sans" w:cs="Open Sans"/>
        </w:rPr>
        <w:t xml:space="preserve">staff are </w:t>
      </w:r>
      <w:r w:rsidR="00D10FCD">
        <w:rPr>
          <w:rFonts w:ascii="Open Sans" w:hAnsi="Open Sans" w:cs="Open Sans"/>
        </w:rPr>
        <w:t xml:space="preserve">being guided </w:t>
      </w:r>
      <w:r w:rsidR="00B51835">
        <w:rPr>
          <w:rFonts w:ascii="Open Sans" w:hAnsi="Open Sans" w:cs="Open Sans"/>
        </w:rPr>
        <w:t xml:space="preserve">to use </w:t>
      </w:r>
      <w:r w:rsidR="00EA1BBF">
        <w:rPr>
          <w:rFonts w:ascii="Open Sans" w:hAnsi="Open Sans" w:cs="Open Sans"/>
        </w:rPr>
        <w:t xml:space="preserve">one chair or multiple chairs </w:t>
      </w:r>
      <w:r w:rsidR="00B51835">
        <w:rPr>
          <w:rFonts w:ascii="Open Sans" w:hAnsi="Open Sans" w:cs="Open Sans"/>
        </w:rPr>
        <w:t xml:space="preserve">to </w:t>
      </w:r>
      <w:r w:rsidR="00721F12">
        <w:rPr>
          <w:rFonts w:ascii="Open Sans" w:hAnsi="Open Sans" w:cs="Open Sans"/>
        </w:rPr>
        <w:t xml:space="preserve">create a ‘barrier’ to </w:t>
      </w:r>
      <w:r w:rsidR="00F01597">
        <w:rPr>
          <w:rFonts w:ascii="Open Sans" w:hAnsi="Open Sans" w:cs="Open Sans"/>
        </w:rPr>
        <w:t>confine the consumer</w:t>
      </w:r>
      <w:r w:rsidR="00B51835">
        <w:rPr>
          <w:rFonts w:ascii="Open Sans" w:hAnsi="Open Sans" w:cs="Open Sans"/>
        </w:rPr>
        <w:t xml:space="preserve"> to a small space</w:t>
      </w:r>
      <w:r w:rsidR="00B3699F">
        <w:rPr>
          <w:rFonts w:ascii="Open Sans" w:hAnsi="Open Sans" w:cs="Open Sans"/>
        </w:rPr>
        <w:t xml:space="preserve"> and prevent voluntary </w:t>
      </w:r>
      <w:r w:rsidR="00BA73E0">
        <w:rPr>
          <w:rFonts w:ascii="Open Sans" w:hAnsi="Open Sans" w:cs="Open Sans"/>
        </w:rPr>
        <w:t>extrication.</w:t>
      </w:r>
      <w:r w:rsidR="00610F3D">
        <w:rPr>
          <w:rFonts w:ascii="Open Sans" w:hAnsi="Open Sans" w:cs="Open Sans"/>
        </w:rPr>
        <w:t xml:space="preserve"> </w:t>
      </w:r>
    </w:p>
    <w:p w14:paraId="240DBF0B" w14:textId="77777777" w:rsidR="007C3DDF" w:rsidRDefault="00323008" w:rsidP="00974E84">
      <w:pPr>
        <w:pStyle w:val="NormalArial"/>
        <w:spacing w:line="276" w:lineRule="auto"/>
        <w:rPr>
          <w:rFonts w:ascii="Open Sans" w:hAnsi="Open Sans" w:cs="Open Sans"/>
        </w:rPr>
      </w:pPr>
      <w:r>
        <w:rPr>
          <w:rFonts w:ascii="Open Sans" w:hAnsi="Open Sans" w:cs="Open Sans"/>
        </w:rPr>
        <w:t xml:space="preserve">Furthermore, there is </w:t>
      </w:r>
      <w:r w:rsidR="003B1FE9">
        <w:rPr>
          <w:rFonts w:ascii="Open Sans" w:hAnsi="Open Sans" w:cs="Open Sans"/>
        </w:rPr>
        <w:t>insufficient</w:t>
      </w:r>
      <w:r>
        <w:rPr>
          <w:rFonts w:ascii="Open Sans" w:hAnsi="Open Sans" w:cs="Open Sans"/>
        </w:rPr>
        <w:t xml:space="preserve"> evidence in the providers re</w:t>
      </w:r>
      <w:r w:rsidR="001930E5">
        <w:rPr>
          <w:rFonts w:ascii="Open Sans" w:hAnsi="Open Sans" w:cs="Open Sans"/>
        </w:rPr>
        <w:t>sponse</w:t>
      </w:r>
      <w:r>
        <w:rPr>
          <w:rFonts w:ascii="Open Sans" w:hAnsi="Open Sans" w:cs="Open Sans"/>
        </w:rPr>
        <w:t xml:space="preserve"> </w:t>
      </w:r>
      <w:r w:rsidR="00BE1B8F">
        <w:rPr>
          <w:rFonts w:ascii="Open Sans" w:hAnsi="Open Sans" w:cs="Open Sans"/>
        </w:rPr>
        <w:t xml:space="preserve">to substantiate this form of </w:t>
      </w:r>
      <w:r w:rsidR="00056DC3">
        <w:rPr>
          <w:rFonts w:ascii="Open Sans" w:hAnsi="Open Sans" w:cs="Open Sans"/>
        </w:rPr>
        <w:t>restraint</w:t>
      </w:r>
      <w:r w:rsidR="00BE1B8F">
        <w:rPr>
          <w:rFonts w:ascii="Open Sans" w:hAnsi="Open Sans" w:cs="Open Sans"/>
        </w:rPr>
        <w:t xml:space="preserve"> </w:t>
      </w:r>
      <w:r w:rsidR="00056DC3">
        <w:rPr>
          <w:rFonts w:ascii="Open Sans" w:hAnsi="Open Sans" w:cs="Open Sans"/>
        </w:rPr>
        <w:t xml:space="preserve">met legislative requirements. The provider </w:t>
      </w:r>
      <w:r w:rsidR="005553B9">
        <w:rPr>
          <w:rFonts w:ascii="Open Sans" w:hAnsi="Open Sans" w:cs="Open Sans"/>
        </w:rPr>
        <w:t xml:space="preserve">does </w:t>
      </w:r>
      <w:r w:rsidR="00A3337C">
        <w:rPr>
          <w:rFonts w:ascii="Open Sans" w:hAnsi="Open Sans" w:cs="Open Sans"/>
        </w:rPr>
        <w:t>acknowledge</w:t>
      </w:r>
      <w:r w:rsidR="00056DC3">
        <w:rPr>
          <w:rFonts w:ascii="Open Sans" w:hAnsi="Open Sans" w:cs="Open Sans"/>
        </w:rPr>
        <w:t xml:space="preserve"> this</w:t>
      </w:r>
      <w:r w:rsidR="00316B09">
        <w:rPr>
          <w:rFonts w:ascii="Open Sans" w:hAnsi="Open Sans" w:cs="Open Sans"/>
        </w:rPr>
        <w:t xml:space="preserve"> deficit and is currently investigating</w:t>
      </w:r>
      <w:r w:rsidR="00DA6CF3">
        <w:rPr>
          <w:rFonts w:ascii="Open Sans" w:hAnsi="Open Sans" w:cs="Open Sans"/>
        </w:rPr>
        <w:t xml:space="preserve"> this defic</w:t>
      </w:r>
      <w:r w:rsidR="005553B9">
        <w:rPr>
          <w:rFonts w:ascii="Open Sans" w:hAnsi="Open Sans" w:cs="Open Sans"/>
        </w:rPr>
        <w:t>iency</w:t>
      </w:r>
      <w:r w:rsidR="00DA6CF3">
        <w:rPr>
          <w:rFonts w:ascii="Open Sans" w:hAnsi="Open Sans" w:cs="Open Sans"/>
        </w:rPr>
        <w:t xml:space="preserve"> in their clinical management system.</w:t>
      </w:r>
      <w:r w:rsidR="004650DD">
        <w:rPr>
          <w:rFonts w:ascii="Open Sans" w:hAnsi="Open Sans" w:cs="Open Sans"/>
        </w:rPr>
        <w:t xml:space="preserve"> I acknowledge management have now</w:t>
      </w:r>
      <w:r w:rsidR="00366567">
        <w:rPr>
          <w:rFonts w:ascii="Open Sans" w:hAnsi="Open Sans" w:cs="Open Sans"/>
        </w:rPr>
        <w:t xml:space="preserve"> stated</w:t>
      </w:r>
      <w:r w:rsidR="001174BB">
        <w:rPr>
          <w:rFonts w:ascii="Open Sans" w:hAnsi="Open Sans" w:cs="Open Sans"/>
        </w:rPr>
        <w:t xml:space="preserve"> they have</w:t>
      </w:r>
      <w:r w:rsidR="004650DD">
        <w:rPr>
          <w:rFonts w:ascii="Open Sans" w:hAnsi="Open Sans" w:cs="Open Sans"/>
        </w:rPr>
        <w:t xml:space="preserve"> </w:t>
      </w:r>
      <w:r w:rsidR="00C35591">
        <w:rPr>
          <w:rFonts w:ascii="Open Sans" w:hAnsi="Open Sans" w:cs="Open Sans"/>
        </w:rPr>
        <w:t xml:space="preserve">‘released’ </w:t>
      </w:r>
      <w:r w:rsidR="005553B9">
        <w:rPr>
          <w:rFonts w:ascii="Open Sans" w:hAnsi="Open Sans" w:cs="Open Sans"/>
        </w:rPr>
        <w:t>the</w:t>
      </w:r>
      <w:r w:rsidR="001A25A8">
        <w:rPr>
          <w:rFonts w:ascii="Open Sans" w:hAnsi="Open Sans" w:cs="Open Sans"/>
        </w:rPr>
        <w:t xml:space="preserve"> restraint, however, there is </w:t>
      </w:r>
      <w:r w:rsidR="004332B9">
        <w:rPr>
          <w:rFonts w:ascii="Open Sans" w:hAnsi="Open Sans" w:cs="Open Sans"/>
        </w:rPr>
        <w:t>insufficient</w:t>
      </w:r>
      <w:r w:rsidR="001A25A8">
        <w:rPr>
          <w:rFonts w:ascii="Open Sans" w:hAnsi="Open Sans" w:cs="Open Sans"/>
        </w:rPr>
        <w:t xml:space="preserve"> evidence </w:t>
      </w:r>
      <w:r w:rsidR="004332B9">
        <w:rPr>
          <w:rFonts w:ascii="Open Sans" w:hAnsi="Open Sans" w:cs="Open Sans"/>
        </w:rPr>
        <w:t xml:space="preserve">brought forward by the provider, </w:t>
      </w:r>
      <w:r w:rsidR="001A25A8">
        <w:rPr>
          <w:rFonts w:ascii="Open Sans" w:hAnsi="Open Sans" w:cs="Open Sans"/>
        </w:rPr>
        <w:t>to substan</w:t>
      </w:r>
      <w:r w:rsidR="00B3133B">
        <w:rPr>
          <w:rFonts w:ascii="Open Sans" w:hAnsi="Open Sans" w:cs="Open Sans"/>
        </w:rPr>
        <w:t xml:space="preserve">tiate this </w:t>
      </w:r>
      <w:r w:rsidR="007F2DBC">
        <w:rPr>
          <w:rFonts w:ascii="Open Sans" w:hAnsi="Open Sans" w:cs="Open Sans"/>
        </w:rPr>
        <w:t xml:space="preserve">has </w:t>
      </w:r>
      <w:r w:rsidR="004332B9">
        <w:rPr>
          <w:rFonts w:ascii="Open Sans" w:hAnsi="Open Sans" w:cs="Open Sans"/>
        </w:rPr>
        <w:t xml:space="preserve">occurred. </w:t>
      </w:r>
      <w:r w:rsidR="001174BB">
        <w:rPr>
          <w:rFonts w:ascii="Open Sans" w:hAnsi="Open Sans" w:cs="Open Sans"/>
        </w:rPr>
        <w:t>On the balance of evidence</w:t>
      </w:r>
      <w:r w:rsidR="003F3C07">
        <w:rPr>
          <w:rFonts w:ascii="Open Sans" w:hAnsi="Open Sans" w:cs="Open Sans"/>
        </w:rPr>
        <w:t xml:space="preserve">, I have placed weight on the observations </w:t>
      </w:r>
      <w:r w:rsidR="005D55D7">
        <w:rPr>
          <w:rFonts w:ascii="Open Sans" w:hAnsi="Open Sans" w:cs="Open Sans"/>
        </w:rPr>
        <w:t>of the Assessment Team and the collateral provided in staff interviews.</w:t>
      </w:r>
      <w:r w:rsidR="00CF4455">
        <w:rPr>
          <w:rFonts w:ascii="Open Sans" w:hAnsi="Open Sans" w:cs="Open Sans"/>
        </w:rPr>
        <w:t xml:space="preserve"> </w:t>
      </w:r>
    </w:p>
    <w:p w14:paraId="1357CA96" w14:textId="026A7DD4" w:rsidR="00952304" w:rsidRDefault="00CF4455" w:rsidP="00974E84">
      <w:pPr>
        <w:pStyle w:val="NormalArial"/>
        <w:spacing w:line="276" w:lineRule="auto"/>
        <w:rPr>
          <w:rFonts w:ascii="Open Sans" w:hAnsi="Open Sans" w:cs="Open Sans"/>
        </w:rPr>
      </w:pPr>
      <w:r>
        <w:rPr>
          <w:rFonts w:ascii="Open Sans" w:hAnsi="Open Sans" w:cs="Open Sans"/>
        </w:rPr>
        <w:t xml:space="preserve">Notably, in the provider’s response, </w:t>
      </w:r>
      <w:r w:rsidR="0076531F">
        <w:rPr>
          <w:rFonts w:ascii="Open Sans" w:hAnsi="Open Sans" w:cs="Open Sans"/>
        </w:rPr>
        <w:t xml:space="preserve">management have declared they are not reporting this </w:t>
      </w:r>
      <w:r w:rsidR="00464D5E">
        <w:rPr>
          <w:rFonts w:ascii="Open Sans" w:hAnsi="Open Sans" w:cs="Open Sans"/>
        </w:rPr>
        <w:t xml:space="preserve">to the serious incident response scheme as they disagree </w:t>
      </w:r>
      <w:r w:rsidR="006356E5">
        <w:rPr>
          <w:rFonts w:ascii="Open Sans" w:hAnsi="Open Sans" w:cs="Open Sans"/>
        </w:rPr>
        <w:t>with the findings in the Assessment Team report.</w:t>
      </w:r>
      <w:r w:rsidR="005D55D7">
        <w:rPr>
          <w:rFonts w:ascii="Open Sans" w:hAnsi="Open Sans" w:cs="Open Sans"/>
        </w:rPr>
        <w:t xml:space="preserve"> I am not satisfied the provider </w:t>
      </w:r>
      <w:r w:rsidR="001F1C5C">
        <w:rPr>
          <w:rFonts w:ascii="Open Sans" w:hAnsi="Open Sans" w:cs="Open Sans"/>
        </w:rPr>
        <w:t xml:space="preserve">understands the </w:t>
      </w:r>
      <w:r w:rsidR="0016289B">
        <w:rPr>
          <w:rFonts w:ascii="Open Sans" w:hAnsi="Open Sans" w:cs="Open Sans"/>
        </w:rPr>
        <w:t xml:space="preserve">potential risk </w:t>
      </w:r>
      <w:r w:rsidR="00AF7C04">
        <w:rPr>
          <w:rFonts w:ascii="Open Sans" w:hAnsi="Open Sans" w:cs="Open Sans"/>
        </w:rPr>
        <w:t xml:space="preserve">imposed by the </w:t>
      </w:r>
      <w:r w:rsidR="001F1C5C">
        <w:rPr>
          <w:rFonts w:ascii="Open Sans" w:hAnsi="Open Sans" w:cs="Open Sans"/>
        </w:rPr>
        <w:t>improvised nature of the restraint and</w:t>
      </w:r>
      <w:r w:rsidR="00EF2BB4">
        <w:rPr>
          <w:rFonts w:ascii="Open Sans" w:hAnsi="Open Sans" w:cs="Open Sans"/>
        </w:rPr>
        <w:t xml:space="preserve"> </w:t>
      </w:r>
      <w:r w:rsidR="001F1C5C">
        <w:rPr>
          <w:rFonts w:ascii="Open Sans" w:hAnsi="Open Sans" w:cs="Open Sans"/>
        </w:rPr>
        <w:t xml:space="preserve">potential </w:t>
      </w:r>
      <w:r w:rsidR="00EF2BB4">
        <w:rPr>
          <w:rFonts w:ascii="Open Sans" w:hAnsi="Open Sans" w:cs="Open Sans"/>
        </w:rPr>
        <w:t>for serious adverse health outcomes</w:t>
      </w:r>
      <w:r w:rsidR="002B4AE0">
        <w:rPr>
          <w:rFonts w:ascii="Open Sans" w:hAnsi="Open Sans" w:cs="Open Sans"/>
        </w:rPr>
        <w:t xml:space="preserve">. </w:t>
      </w:r>
      <w:r w:rsidR="00C8341F">
        <w:rPr>
          <w:rFonts w:ascii="Open Sans" w:hAnsi="Open Sans" w:cs="Open Sans"/>
        </w:rPr>
        <w:t>The serious incident response schem</w:t>
      </w:r>
      <w:r w:rsidR="00783F24">
        <w:rPr>
          <w:rFonts w:ascii="Open Sans" w:hAnsi="Open Sans" w:cs="Open Sans"/>
        </w:rPr>
        <w:t xml:space="preserve">e applies not only in circumstances where </w:t>
      </w:r>
      <w:r w:rsidR="009A080B">
        <w:rPr>
          <w:rFonts w:ascii="Open Sans" w:hAnsi="Open Sans" w:cs="Open Sans"/>
        </w:rPr>
        <w:t>actual</w:t>
      </w:r>
      <w:r w:rsidR="00783F24">
        <w:rPr>
          <w:rFonts w:ascii="Open Sans" w:hAnsi="Open Sans" w:cs="Open Sans"/>
        </w:rPr>
        <w:t xml:space="preserve"> </w:t>
      </w:r>
      <w:r w:rsidR="009A080B">
        <w:rPr>
          <w:rFonts w:ascii="Open Sans" w:hAnsi="Open Sans" w:cs="Open Sans"/>
        </w:rPr>
        <w:t>harm</w:t>
      </w:r>
      <w:r w:rsidR="00783F24">
        <w:rPr>
          <w:rFonts w:ascii="Open Sans" w:hAnsi="Open Sans" w:cs="Open Sans"/>
        </w:rPr>
        <w:t xml:space="preserve"> has occurred, but also where there is a potential for harm</w:t>
      </w:r>
      <w:r w:rsidR="004A17A9">
        <w:rPr>
          <w:rFonts w:ascii="Open Sans" w:hAnsi="Open Sans" w:cs="Open Sans"/>
        </w:rPr>
        <w:t xml:space="preserve"> to a consumer</w:t>
      </w:r>
      <w:r w:rsidR="00206734">
        <w:rPr>
          <w:rFonts w:ascii="Open Sans" w:hAnsi="Open Sans" w:cs="Open Sans"/>
        </w:rPr>
        <w:t xml:space="preserve">. The </w:t>
      </w:r>
      <w:r w:rsidR="00206734">
        <w:rPr>
          <w:rFonts w:ascii="Open Sans" w:hAnsi="Open Sans" w:cs="Open Sans"/>
        </w:rPr>
        <w:lastRenderedPageBreak/>
        <w:t xml:space="preserve">threshold for reportability is not confined to incidents resulting </w:t>
      </w:r>
      <w:r w:rsidR="00E31216">
        <w:rPr>
          <w:rFonts w:ascii="Open Sans" w:hAnsi="Open Sans" w:cs="Open Sans"/>
        </w:rPr>
        <w:t xml:space="preserve">in demonstrable harm, but extends to situations where the conduct, act or </w:t>
      </w:r>
      <w:r w:rsidR="006C1802">
        <w:rPr>
          <w:rFonts w:ascii="Open Sans" w:hAnsi="Open Sans" w:cs="Open Sans"/>
        </w:rPr>
        <w:t>omission gives rise to a foreseeable risk of harm</w:t>
      </w:r>
      <w:r w:rsidR="00D170B4">
        <w:rPr>
          <w:rFonts w:ascii="Open Sans" w:hAnsi="Open Sans" w:cs="Open Sans"/>
        </w:rPr>
        <w:t xml:space="preserve">. </w:t>
      </w:r>
      <w:r w:rsidR="002B4AE0">
        <w:rPr>
          <w:rFonts w:ascii="Open Sans" w:hAnsi="Open Sans" w:cs="Open Sans"/>
        </w:rPr>
        <w:t xml:space="preserve">My decision is </w:t>
      </w:r>
      <w:r w:rsidR="00D170B4">
        <w:rPr>
          <w:rFonts w:ascii="Open Sans" w:hAnsi="Open Sans" w:cs="Open Sans"/>
        </w:rPr>
        <w:t xml:space="preserve">therefore </w:t>
      </w:r>
      <w:r w:rsidR="002B4AE0">
        <w:rPr>
          <w:rFonts w:ascii="Open Sans" w:hAnsi="Open Sans" w:cs="Open Sans"/>
        </w:rPr>
        <w:t>informed by</w:t>
      </w:r>
      <w:r w:rsidR="002C1132">
        <w:rPr>
          <w:rFonts w:ascii="Open Sans" w:hAnsi="Open Sans" w:cs="Open Sans"/>
        </w:rPr>
        <w:t xml:space="preserve"> the provider’s</w:t>
      </w:r>
      <w:r w:rsidR="009C64D6">
        <w:rPr>
          <w:rFonts w:ascii="Open Sans" w:hAnsi="Open Sans" w:cs="Open Sans"/>
        </w:rPr>
        <w:t xml:space="preserve"> lack </w:t>
      </w:r>
      <w:r w:rsidR="001B3B1E">
        <w:rPr>
          <w:rFonts w:ascii="Open Sans" w:hAnsi="Open Sans" w:cs="Open Sans"/>
        </w:rPr>
        <w:t>of evidence-based rationale</w:t>
      </w:r>
      <w:r w:rsidR="00D170B4">
        <w:rPr>
          <w:rFonts w:ascii="Open Sans" w:hAnsi="Open Sans" w:cs="Open Sans"/>
        </w:rPr>
        <w:t xml:space="preserve"> and </w:t>
      </w:r>
      <w:r w:rsidR="002C1132">
        <w:rPr>
          <w:rFonts w:ascii="Open Sans" w:hAnsi="Open Sans" w:cs="Open Sans"/>
        </w:rPr>
        <w:t>understanding of the obligations under the serious incident response scheme</w:t>
      </w:r>
      <w:r w:rsidR="009A080B">
        <w:rPr>
          <w:rFonts w:ascii="Open Sans" w:hAnsi="Open Sans" w:cs="Open Sans"/>
        </w:rPr>
        <w:t xml:space="preserve"> to address both realised and potential </w:t>
      </w:r>
      <w:r w:rsidR="003204A1">
        <w:rPr>
          <w:rFonts w:ascii="Open Sans" w:hAnsi="Open Sans" w:cs="Open Sans"/>
        </w:rPr>
        <w:t xml:space="preserve">threats </w:t>
      </w:r>
      <w:r w:rsidR="009A080B">
        <w:rPr>
          <w:rFonts w:ascii="Open Sans" w:hAnsi="Open Sans" w:cs="Open Sans"/>
        </w:rPr>
        <w:t>to consumer welfare.</w:t>
      </w:r>
    </w:p>
    <w:p w14:paraId="4D105A50" w14:textId="06E600AD" w:rsidR="001D2CA4" w:rsidRDefault="000A077B" w:rsidP="00974E84">
      <w:pPr>
        <w:pStyle w:val="NormalArial"/>
        <w:spacing w:line="276" w:lineRule="auto"/>
        <w:rPr>
          <w:rFonts w:ascii="Open Sans" w:hAnsi="Open Sans" w:cs="Open Sans"/>
        </w:rPr>
      </w:pPr>
      <w:r>
        <w:rPr>
          <w:rFonts w:ascii="Open Sans" w:hAnsi="Open Sans" w:cs="Open Sans"/>
        </w:rPr>
        <w:t xml:space="preserve">Although </w:t>
      </w:r>
      <w:r w:rsidR="001A3082">
        <w:rPr>
          <w:rFonts w:ascii="Open Sans" w:hAnsi="Open Sans" w:cs="Open Sans"/>
        </w:rPr>
        <w:t>behaviour</w:t>
      </w:r>
      <w:r>
        <w:rPr>
          <w:rFonts w:ascii="Open Sans" w:hAnsi="Open Sans" w:cs="Open Sans"/>
        </w:rPr>
        <w:t xml:space="preserve"> charting </w:t>
      </w:r>
      <w:r w:rsidR="00C37974">
        <w:rPr>
          <w:rFonts w:ascii="Open Sans" w:hAnsi="Open Sans" w:cs="Open Sans"/>
        </w:rPr>
        <w:t>was</w:t>
      </w:r>
      <w:r w:rsidR="00524751">
        <w:rPr>
          <w:rFonts w:ascii="Open Sans" w:hAnsi="Open Sans" w:cs="Open Sans"/>
        </w:rPr>
        <w:t xml:space="preserve"> undertaken for most consumers, the documentation </w:t>
      </w:r>
      <w:r w:rsidR="00BD187F">
        <w:rPr>
          <w:rFonts w:ascii="Open Sans" w:hAnsi="Open Sans" w:cs="Open Sans"/>
        </w:rPr>
        <w:t xml:space="preserve">does not provide meaningful information </w:t>
      </w:r>
      <w:r w:rsidR="001D4FA2">
        <w:rPr>
          <w:rFonts w:ascii="Open Sans" w:hAnsi="Open Sans" w:cs="Open Sans"/>
        </w:rPr>
        <w:t xml:space="preserve">to enable </w:t>
      </w:r>
      <w:r w:rsidR="00BA4F80">
        <w:rPr>
          <w:rFonts w:ascii="Open Sans" w:hAnsi="Open Sans" w:cs="Open Sans"/>
        </w:rPr>
        <w:t>understanding</w:t>
      </w:r>
      <w:r w:rsidR="001D4FA2">
        <w:rPr>
          <w:rFonts w:ascii="Open Sans" w:hAnsi="Open Sans" w:cs="Open Sans"/>
        </w:rPr>
        <w:t xml:space="preserve"> of triggers, details of the behaviour and responses to the </w:t>
      </w:r>
      <w:r w:rsidR="009C220B">
        <w:rPr>
          <w:rFonts w:ascii="Open Sans" w:hAnsi="Open Sans" w:cs="Open Sans"/>
        </w:rPr>
        <w:t>behaviour</w:t>
      </w:r>
      <w:r w:rsidR="001D4FA2">
        <w:rPr>
          <w:rFonts w:ascii="Open Sans" w:hAnsi="Open Sans" w:cs="Open Sans"/>
        </w:rPr>
        <w:t xml:space="preserve"> or outcomes.</w:t>
      </w:r>
      <w:r w:rsidR="004C58B2">
        <w:rPr>
          <w:rFonts w:ascii="Open Sans" w:hAnsi="Open Sans" w:cs="Open Sans"/>
        </w:rPr>
        <w:t xml:space="preserve"> In the providers response</w:t>
      </w:r>
      <w:r w:rsidR="00FC5448">
        <w:rPr>
          <w:rFonts w:ascii="Open Sans" w:hAnsi="Open Sans" w:cs="Open Sans"/>
        </w:rPr>
        <w:t>, management acknowledge</w:t>
      </w:r>
      <w:r w:rsidR="008652D5">
        <w:rPr>
          <w:rFonts w:ascii="Open Sans" w:hAnsi="Open Sans" w:cs="Open Sans"/>
        </w:rPr>
        <w:t>d charts</w:t>
      </w:r>
      <w:r w:rsidR="008C63AC">
        <w:rPr>
          <w:rFonts w:ascii="Open Sans" w:hAnsi="Open Sans" w:cs="Open Sans"/>
        </w:rPr>
        <w:t xml:space="preserve"> do not </w:t>
      </w:r>
      <w:r w:rsidR="008652D5">
        <w:rPr>
          <w:rFonts w:ascii="Open Sans" w:hAnsi="Open Sans" w:cs="Open Sans"/>
        </w:rPr>
        <w:t>provide this level of detail, however</w:t>
      </w:r>
      <w:r w:rsidR="008C63AC">
        <w:rPr>
          <w:rFonts w:ascii="Open Sans" w:hAnsi="Open Sans" w:cs="Open Sans"/>
        </w:rPr>
        <w:t xml:space="preserve">, </w:t>
      </w:r>
      <w:r w:rsidR="00205E96">
        <w:rPr>
          <w:rFonts w:ascii="Open Sans" w:hAnsi="Open Sans" w:cs="Open Sans"/>
        </w:rPr>
        <w:t xml:space="preserve">there is evidence this is </w:t>
      </w:r>
      <w:r w:rsidR="004105D7">
        <w:rPr>
          <w:rFonts w:ascii="Open Sans" w:hAnsi="Open Sans" w:cs="Open Sans"/>
        </w:rPr>
        <w:t xml:space="preserve">documented in BSPs. </w:t>
      </w:r>
      <w:r w:rsidR="00D97968">
        <w:rPr>
          <w:rFonts w:ascii="Open Sans" w:hAnsi="Open Sans" w:cs="Open Sans"/>
        </w:rPr>
        <w:t xml:space="preserve">I have reviewed the </w:t>
      </w:r>
      <w:r w:rsidR="00802EC5">
        <w:rPr>
          <w:rFonts w:ascii="Open Sans" w:hAnsi="Open Sans" w:cs="Open Sans"/>
        </w:rPr>
        <w:t>BSP</w:t>
      </w:r>
      <w:r w:rsidR="00E63D37">
        <w:rPr>
          <w:rFonts w:ascii="Open Sans" w:hAnsi="Open Sans" w:cs="Open Sans"/>
        </w:rPr>
        <w:t xml:space="preserve"> provided as evidence and there is insufficient evidence </w:t>
      </w:r>
      <w:r w:rsidR="0003787F">
        <w:rPr>
          <w:rFonts w:ascii="Open Sans" w:hAnsi="Open Sans" w:cs="Open Sans"/>
        </w:rPr>
        <w:t xml:space="preserve">of individualised information </w:t>
      </w:r>
      <w:r w:rsidR="009829D0">
        <w:rPr>
          <w:rFonts w:ascii="Open Sans" w:hAnsi="Open Sans" w:cs="Open Sans"/>
        </w:rPr>
        <w:t xml:space="preserve">to guide staff. For example, </w:t>
      </w:r>
      <w:r w:rsidR="00BE7638">
        <w:rPr>
          <w:rFonts w:ascii="Open Sans" w:hAnsi="Open Sans" w:cs="Open Sans"/>
        </w:rPr>
        <w:t>tri</w:t>
      </w:r>
      <w:r w:rsidR="00B31E47">
        <w:rPr>
          <w:rFonts w:ascii="Open Sans" w:hAnsi="Open Sans" w:cs="Open Sans"/>
        </w:rPr>
        <w:t>ggers were ‘probable major depression’</w:t>
      </w:r>
      <w:r w:rsidR="005A77B2">
        <w:rPr>
          <w:rFonts w:ascii="Open Sans" w:hAnsi="Open Sans" w:cs="Open Sans"/>
        </w:rPr>
        <w:t xml:space="preserve"> and </w:t>
      </w:r>
      <w:r w:rsidR="00B31E47">
        <w:rPr>
          <w:rFonts w:ascii="Open Sans" w:hAnsi="Open Sans" w:cs="Open Sans"/>
        </w:rPr>
        <w:t>‘pain’</w:t>
      </w:r>
      <w:r w:rsidR="005A77B2">
        <w:rPr>
          <w:rFonts w:ascii="Open Sans" w:hAnsi="Open Sans" w:cs="Open Sans"/>
        </w:rPr>
        <w:t xml:space="preserve"> and </w:t>
      </w:r>
      <w:r w:rsidR="00B40004">
        <w:rPr>
          <w:rFonts w:ascii="Open Sans" w:hAnsi="Open Sans" w:cs="Open Sans"/>
        </w:rPr>
        <w:t>interventions are ‘reassurance from husband</w:t>
      </w:r>
      <w:r w:rsidR="00434C25">
        <w:rPr>
          <w:rFonts w:ascii="Open Sans" w:hAnsi="Open Sans" w:cs="Open Sans"/>
        </w:rPr>
        <w:t>.’</w:t>
      </w:r>
      <w:r w:rsidR="00B40004">
        <w:rPr>
          <w:rFonts w:ascii="Open Sans" w:hAnsi="Open Sans" w:cs="Open Sans"/>
        </w:rPr>
        <w:t xml:space="preserve"> </w:t>
      </w:r>
      <w:r w:rsidR="007E0A83">
        <w:rPr>
          <w:rFonts w:ascii="Open Sans" w:hAnsi="Open Sans" w:cs="Open Sans"/>
        </w:rPr>
        <w:t xml:space="preserve">I am not satisfied the BSP </w:t>
      </w:r>
      <w:r w:rsidR="0035573D">
        <w:rPr>
          <w:rFonts w:ascii="Open Sans" w:hAnsi="Open Sans" w:cs="Open Sans"/>
        </w:rPr>
        <w:t>provides tailored, person specific strategies</w:t>
      </w:r>
      <w:r w:rsidR="00661D8A">
        <w:rPr>
          <w:rFonts w:ascii="Open Sans" w:hAnsi="Open Sans" w:cs="Open Sans"/>
        </w:rPr>
        <w:t xml:space="preserve"> or contextualised interventions that would enable staff to respond to behavioural changes in a manner that is both clinically appropriate and </w:t>
      </w:r>
      <w:r w:rsidR="005161BA">
        <w:rPr>
          <w:rFonts w:ascii="Open Sans" w:hAnsi="Open Sans" w:cs="Open Sans"/>
        </w:rPr>
        <w:t>rights based</w:t>
      </w:r>
      <w:r w:rsidR="00661D8A">
        <w:rPr>
          <w:rFonts w:ascii="Open Sans" w:hAnsi="Open Sans" w:cs="Open Sans"/>
        </w:rPr>
        <w:t xml:space="preserve">. </w:t>
      </w:r>
      <w:r w:rsidR="00CE7C1F">
        <w:rPr>
          <w:rFonts w:ascii="Open Sans" w:hAnsi="Open Sans" w:cs="Open Sans"/>
        </w:rPr>
        <w:t xml:space="preserve">In coming to my decision, </w:t>
      </w:r>
      <w:r w:rsidR="00A764D5">
        <w:rPr>
          <w:rFonts w:ascii="Open Sans" w:hAnsi="Open Sans" w:cs="Open Sans"/>
        </w:rPr>
        <w:t xml:space="preserve">the absence of </w:t>
      </w:r>
      <w:r w:rsidR="00091D22">
        <w:rPr>
          <w:rFonts w:ascii="Open Sans" w:hAnsi="Open Sans" w:cs="Open Sans"/>
        </w:rPr>
        <w:t>individualisation</w:t>
      </w:r>
      <w:r w:rsidR="00A764D5">
        <w:rPr>
          <w:rFonts w:ascii="Open Sans" w:hAnsi="Open Sans" w:cs="Open Sans"/>
        </w:rPr>
        <w:t xml:space="preserve"> within the BSP materially diminishes its utility as a guidance document for staff and creates</w:t>
      </w:r>
      <w:r w:rsidR="00A46726">
        <w:rPr>
          <w:rFonts w:ascii="Open Sans" w:hAnsi="Open Sans" w:cs="Open Sans"/>
        </w:rPr>
        <w:t xml:space="preserve"> risk that staff may default to restrictive or inappro</w:t>
      </w:r>
      <w:r w:rsidR="00091D22">
        <w:rPr>
          <w:rFonts w:ascii="Open Sans" w:hAnsi="Open Sans" w:cs="Open Sans"/>
        </w:rPr>
        <w:t>priate</w:t>
      </w:r>
      <w:r w:rsidR="00A46726">
        <w:rPr>
          <w:rFonts w:ascii="Open Sans" w:hAnsi="Open Sans" w:cs="Open Sans"/>
        </w:rPr>
        <w:t xml:space="preserve"> responses. This does not align with best practice standards in behavioural support</w:t>
      </w:r>
      <w:r w:rsidR="00091D22">
        <w:rPr>
          <w:rFonts w:ascii="Open Sans" w:hAnsi="Open Sans" w:cs="Open Sans"/>
        </w:rPr>
        <w:t>.</w:t>
      </w:r>
    </w:p>
    <w:p w14:paraId="3AC155A5" w14:textId="20CFA87C" w:rsidR="008676B7" w:rsidRDefault="003C4340" w:rsidP="00974E84">
      <w:pPr>
        <w:pStyle w:val="NormalArial"/>
        <w:spacing w:line="276" w:lineRule="auto"/>
        <w:rPr>
          <w:rFonts w:ascii="Open Sans" w:hAnsi="Open Sans" w:cs="Open Sans"/>
        </w:rPr>
      </w:pPr>
      <w:r>
        <w:rPr>
          <w:rFonts w:ascii="Open Sans" w:hAnsi="Open Sans" w:cs="Open Sans"/>
        </w:rPr>
        <w:t xml:space="preserve">One consumer </w:t>
      </w:r>
      <w:r w:rsidR="00815B0C">
        <w:rPr>
          <w:rFonts w:ascii="Open Sans" w:hAnsi="Open Sans" w:cs="Open Sans"/>
        </w:rPr>
        <w:t xml:space="preserve">with a history of leaving the service unaccompanied </w:t>
      </w:r>
      <w:r w:rsidR="00A2759B">
        <w:rPr>
          <w:rFonts w:ascii="Open Sans" w:hAnsi="Open Sans" w:cs="Open Sans"/>
        </w:rPr>
        <w:t xml:space="preserve">was prescribed a tracking </w:t>
      </w:r>
      <w:r w:rsidR="00E81700">
        <w:rPr>
          <w:rFonts w:ascii="Open Sans" w:hAnsi="Open Sans" w:cs="Open Sans"/>
        </w:rPr>
        <w:t xml:space="preserve">device without </w:t>
      </w:r>
      <w:r w:rsidR="00FB1C4B">
        <w:rPr>
          <w:rFonts w:ascii="Open Sans" w:hAnsi="Open Sans" w:cs="Open Sans"/>
        </w:rPr>
        <w:t>an investigation to determine the root cause of the incidents</w:t>
      </w:r>
      <w:r w:rsidR="00D958A8">
        <w:rPr>
          <w:rFonts w:ascii="Open Sans" w:hAnsi="Open Sans" w:cs="Open Sans"/>
        </w:rPr>
        <w:t xml:space="preserve"> to prevent </w:t>
      </w:r>
      <w:r w:rsidR="00E91471">
        <w:rPr>
          <w:rFonts w:ascii="Open Sans" w:hAnsi="Open Sans" w:cs="Open Sans"/>
        </w:rPr>
        <w:t xml:space="preserve">incidents from reoccurring. </w:t>
      </w:r>
      <w:r w:rsidR="00351316">
        <w:rPr>
          <w:rFonts w:ascii="Open Sans" w:hAnsi="Open Sans" w:cs="Open Sans"/>
        </w:rPr>
        <w:t xml:space="preserve">In the providers response, </w:t>
      </w:r>
      <w:r w:rsidR="00DA4167">
        <w:rPr>
          <w:rFonts w:ascii="Open Sans" w:hAnsi="Open Sans" w:cs="Open Sans"/>
        </w:rPr>
        <w:t xml:space="preserve">management stated an observational protocol has been clarified </w:t>
      </w:r>
      <w:r w:rsidR="00386BC1">
        <w:rPr>
          <w:rFonts w:ascii="Open Sans" w:hAnsi="Open Sans" w:cs="Open Sans"/>
        </w:rPr>
        <w:t>and the BSP updated to address ‘absconding and location tracking</w:t>
      </w:r>
      <w:r w:rsidR="00434C25">
        <w:rPr>
          <w:rFonts w:ascii="Open Sans" w:hAnsi="Open Sans" w:cs="Open Sans"/>
        </w:rPr>
        <w:t>.’</w:t>
      </w:r>
      <w:r w:rsidR="00386BC1">
        <w:rPr>
          <w:rFonts w:ascii="Open Sans" w:hAnsi="Open Sans" w:cs="Open Sans"/>
        </w:rPr>
        <w:t xml:space="preserve"> </w:t>
      </w:r>
      <w:r w:rsidR="00C04495">
        <w:rPr>
          <w:rFonts w:ascii="Open Sans" w:hAnsi="Open Sans" w:cs="Open Sans"/>
        </w:rPr>
        <w:t>I have reviewed the BSP and risk assessment provided as evidence</w:t>
      </w:r>
      <w:r w:rsidR="00FE321D">
        <w:rPr>
          <w:rFonts w:ascii="Open Sans" w:hAnsi="Open Sans" w:cs="Open Sans"/>
        </w:rPr>
        <w:t xml:space="preserve"> to address the deficiencies</w:t>
      </w:r>
      <w:r w:rsidR="00B8533B">
        <w:rPr>
          <w:rFonts w:ascii="Open Sans" w:hAnsi="Open Sans" w:cs="Open Sans"/>
        </w:rPr>
        <w:t>. There is insufficient evidence of a risk assessment to address the risk</w:t>
      </w:r>
      <w:r w:rsidR="00552BD6">
        <w:rPr>
          <w:rFonts w:ascii="Open Sans" w:hAnsi="Open Sans" w:cs="Open Sans"/>
        </w:rPr>
        <w:t xml:space="preserve"> of absconding and </w:t>
      </w:r>
      <w:r w:rsidR="00125F71">
        <w:rPr>
          <w:rFonts w:ascii="Open Sans" w:hAnsi="Open Sans" w:cs="Open Sans"/>
        </w:rPr>
        <w:t xml:space="preserve">the BSP does not establish specific strategies to prevent </w:t>
      </w:r>
      <w:r w:rsidR="00197133">
        <w:rPr>
          <w:rFonts w:ascii="Open Sans" w:hAnsi="Open Sans" w:cs="Open Sans"/>
        </w:rPr>
        <w:t xml:space="preserve">the risk from reoccurring. For example, </w:t>
      </w:r>
      <w:r w:rsidR="00115A3C">
        <w:rPr>
          <w:rFonts w:ascii="Open Sans" w:hAnsi="Open Sans" w:cs="Open Sans"/>
        </w:rPr>
        <w:t xml:space="preserve">the </w:t>
      </w:r>
      <w:r w:rsidR="001B4199">
        <w:rPr>
          <w:rFonts w:ascii="Open Sans" w:hAnsi="Open Sans" w:cs="Open Sans"/>
        </w:rPr>
        <w:t>antecedent</w:t>
      </w:r>
      <w:r w:rsidR="00115A3C">
        <w:rPr>
          <w:rFonts w:ascii="Open Sans" w:hAnsi="Open Sans" w:cs="Open Sans"/>
        </w:rPr>
        <w:t xml:space="preserve"> </w:t>
      </w:r>
      <w:r w:rsidR="008B1480">
        <w:rPr>
          <w:rFonts w:ascii="Open Sans" w:hAnsi="Open Sans" w:cs="Open Sans"/>
        </w:rPr>
        <w:t>is ‘confusion’ and the behaviour objective is ‘</w:t>
      </w:r>
      <w:r w:rsidR="001B4199">
        <w:rPr>
          <w:rFonts w:ascii="Open Sans" w:hAnsi="Open Sans" w:cs="Open Sans"/>
        </w:rPr>
        <w:t>consumer to be settled in her environment</w:t>
      </w:r>
      <w:r w:rsidR="00434C25">
        <w:rPr>
          <w:rFonts w:ascii="Open Sans" w:hAnsi="Open Sans" w:cs="Open Sans"/>
        </w:rPr>
        <w:t>.’</w:t>
      </w:r>
      <w:r w:rsidR="001B4199">
        <w:rPr>
          <w:rFonts w:ascii="Open Sans" w:hAnsi="Open Sans" w:cs="Open Sans"/>
        </w:rPr>
        <w:t xml:space="preserve"> </w:t>
      </w:r>
      <w:r w:rsidR="009C6975">
        <w:rPr>
          <w:rFonts w:ascii="Open Sans" w:hAnsi="Open Sans" w:cs="Open Sans"/>
        </w:rPr>
        <w:t>The notes</w:t>
      </w:r>
      <w:r w:rsidR="008567C5">
        <w:rPr>
          <w:rFonts w:ascii="Open Sans" w:hAnsi="Open Sans" w:cs="Open Sans"/>
        </w:rPr>
        <w:t xml:space="preserve"> section</w:t>
      </w:r>
      <w:r w:rsidR="009C6975">
        <w:rPr>
          <w:rFonts w:ascii="Open Sans" w:hAnsi="Open Sans" w:cs="Open Sans"/>
        </w:rPr>
        <w:t xml:space="preserve"> state</w:t>
      </w:r>
      <w:r w:rsidR="008676B7">
        <w:rPr>
          <w:rFonts w:ascii="Open Sans" w:hAnsi="Open Sans" w:cs="Open Sans"/>
        </w:rPr>
        <w:t>s</w:t>
      </w:r>
      <w:r w:rsidR="009C6975">
        <w:rPr>
          <w:rFonts w:ascii="Open Sans" w:hAnsi="Open Sans" w:cs="Open Sans"/>
        </w:rPr>
        <w:t xml:space="preserve"> ‘follow BSP, currently commenced hourly monitoring </w:t>
      </w:r>
      <w:r w:rsidR="00632696">
        <w:rPr>
          <w:rFonts w:ascii="Open Sans" w:hAnsi="Open Sans" w:cs="Open Sans"/>
        </w:rPr>
        <w:t>and provide GPS tracker for close monitoring</w:t>
      </w:r>
      <w:r w:rsidR="00434C25">
        <w:rPr>
          <w:rFonts w:ascii="Open Sans" w:hAnsi="Open Sans" w:cs="Open Sans"/>
        </w:rPr>
        <w:t>.’</w:t>
      </w:r>
      <w:r w:rsidR="00632696">
        <w:rPr>
          <w:rFonts w:ascii="Open Sans" w:hAnsi="Open Sans" w:cs="Open Sans"/>
        </w:rPr>
        <w:t xml:space="preserve"> </w:t>
      </w:r>
      <w:r w:rsidR="001C4076">
        <w:rPr>
          <w:rFonts w:ascii="Open Sans" w:hAnsi="Open Sans" w:cs="Open Sans"/>
        </w:rPr>
        <w:t>The evidence i</w:t>
      </w:r>
      <w:r w:rsidR="00E85714">
        <w:rPr>
          <w:rFonts w:ascii="Open Sans" w:hAnsi="Open Sans" w:cs="Open Sans"/>
        </w:rPr>
        <w:t xml:space="preserve">s unclear as to why the consumer is absconding, </w:t>
      </w:r>
      <w:r w:rsidR="00D87003">
        <w:rPr>
          <w:rFonts w:ascii="Open Sans" w:hAnsi="Open Sans" w:cs="Open Sans"/>
        </w:rPr>
        <w:t>what strategies are in place to prevent absconding</w:t>
      </w:r>
      <w:r w:rsidR="00E70983">
        <w:rPr>
          <w:rFonts w:ascii="Open Sans" w:hAnsi="Open Sans" w:cs="Open Sans"/>
        </w:rPr>
        <w:t>,</w:t>
      </w:r>
      <w:r w:rsidR="00517D3B">
        <w:rPr>
          <w:rFonts w:ascii="Open Sans" w:hAnsi="Open Sans" w:cs="Open Sans"/>
        </w:rPr>
        <w:t xml:space="preserve"> </w:t>
      </w:r>
      <w:r w:rsidR="00604684">
        <w:rPr>
          <w:rFonts w:ascii="Open Sans" w:hAnsi="Open Sans" w:cs="Open Sans"/>
        </w:rPr>
        <w:t>how the service</w:t>
      </w:r>
      <w:r w:rsidR="00517D3B">
        <w:rPr>
          <w:rFonts w:ascii="Open Sans" w:hAnsi="Open Sans" w:cs="Open Sans"/>
        </w:rPr>
        <w:t xml:space="preserve"> minimise</w:t>
      </w:r>
      <w:r w:rsidR="0024486D">
        <w:rPr>
          <w:rFonts w:ascii="Open Sans" w:hAnsi="Open Sans" w:cs="Open Sans"/>
        </w:rPr>
        <w:t>s</w:t>
      </w:r>
      <w:r w:rsidR="00517D3B">
        <w:rPr>
          <w:rFonts w:ascii="Open Sans" w:hAnsi="Open Sans" w:cs="Open Sans"/>
        </w:rPr>
        <w:t xml:space="preserve"> the use of the tracking device, </w:t>
      </w:r>
      <w:r w:rsidR="00870A03">
        <w:rPr>
          <w:rFonts w:ascii="Open Sans" w:hAnsi="Open Sans" w:cs="Open Sans"/>
        </w:rPr>
        <w:t>how the hourly monitoring is used to inform care delivery</w:t>
      </w:r>
      <w:r w:rsidR="00DF6F85">
        <w:rPr>
          <w:rFonts w:ascii="Open Sans" w:hAnsi="Open Sans" w:cs="Open Sans"/>
        </w:rPr>
        <w:t>, who is responsible for</w:t>
      </w:r>
      <w:r w:rsidR="008D59E3">
        <w:rPr>
          <w:rFonts w:ascii="Open Sans" w:hAnsi="Open Sans" w:cs="Open Sans"/>
        </w:rPr>
        <w:t xml:space="preserve"> undertaking the hourly monitoring, </w:t>
      </w:r>
      <w:r w:rsidR="00E64099">
        <w:rPr>
          <w:rFonts w:ascii="Open Sans" w:hAnsi="Open Sans" w:cs="Open Sans"/>
        </w:rPr>
        <w:t xml:space="preserve">why is hourly </w:t>
      </w:r>
      <w:r w:rsidR="00E64099">
        <w:rPr>
          <w:rFonts w:ascii="Open Sans" w:hAnsi="Open Sans" w:cs="Open Sans"/>
        </w:rPr>
        <w:lastRenderedPageBreak/>
        <w:t>mo</w:t>
      </w:r>
      <w:r w:rsidR="001D2391">
        <w:rPr>
          <w:rFonts w:ascii="Open Sans" w:hAnsi="Open Sans" w:cs="Open Sans"/>
        </w:rPr>
        <w:t xml:space="preserve">nitoring being undertaken, </w:t>
      </w:r>
      <w:r w:rsidR="008D59E3">
        <w:rPr>
          <w:rFonts w:ascii="Open Sans" w:hAnsi="Open Sans" w:cs="Open Sans"/>
        </w:rPr>
        <w:t xml:space="preserve">who manages the tracking device, where is the tracking device </w:t>
      </w:r>
      <w:r w:rsidR="00717308">
        <w:rPr>
          <w:rFonts w:ascii="Open Sans" w:hAnsi="Open Sans" w:cs="Open Sans"/>
        </w:rPr>
        <w:t xml:space="preserve">located on the consumer, who has analysed the effectiveness </w:t>
      </w:r>
      <w:r w:rsidR="009E7FA7">
        <w:rPr>
          <w:rFonts w:ascii="Open Sans" w:hAnsi="Open Sans" w:cs="Open Sans"/>
        </w:rPr>
        <w:t xml:space="preserve">of the tracking device and who is reviewing </w:t>
      </w:r>
      <w:r w:rsidR="00224C08">
        <w:rPr>
          <w:rFonts w:ascii="Open Sans" w:hAnsi="Open Sans" w:cs="Open Sans"/>
        </w:rPr>
        <w:t xml:space="preserve">all </w:t>
      </w:r>
      <w:r w:rsidR="009E7FA7">
        <w:rPr>
          <w:rFonts w:ascii="Open Sans" w:hAnsi="Open Sans" w:cs="Open Sans"/>
        </w:rPr>
        <w:t>the strategies for effec</w:t>
      </w:r>
      <w:r w:rsidR="00E70983">
        <w:rPr>
          <w:rFonts w:ascii="Open Sans" w:hAnsi="Open Sans" w:cs="Open Sans"/>
        </w:rPr>
        <w:t>tiveness?</w:t>
      </w:r>
      <w:r w:rsidR="00BE633F">
        <w:rPr>
          <w:rFonts w:ascii="Open Sans" w:hAnsi="Open Sans" w:cs="Open Sans"/>
        </w:rPr>
        <w:t xml:space="preserve"> </w:t>
      </w:r>
    </w:p>
    <w:p w14:paraId="45CB80D0" w14:textId="77881602" w:rsidR="003C4340" w:rsidRDefault="00BE633F" w:rsidP="00974E84">
      <w:pPr>
        <w:pStyle w:val="NormalArial"/>
        <w:spacing w:line="276" w:lineRule="auto"/>
        <w:rPr>
          <w:rFonts w:ascii="Open Sans" w:hAnsi="Open Sans" w:cs="Open Sans"/>
        </w:rPr>
      </w:pPr>
      <w:r>
        <w:rPr>
          <w:rFonts w:ascii="Open Sans" w:hAnsi="Open Sans" w:cs="Open Sans"/>
        </w:rPr>
        <w:t xml:space="preserve">In coming to my decision, </w:t>
      </w:r>
      <w:r w:rsidR="008C5282">
        <w:rPr>
          <w:rFonts w:ascii="Open Sans" w:hAnsi="Open Sans" w:cs="Open Sans"/>
        </w:rPr>
        <w:t xml:space="preserve">I acknowledge the care plan and BSP have been </w:t>
      </w:r>
      <w:r w:rsidR="00F82F8F">
        <w:rPr>
          <w:rFonts w:ascii="Open Sans" w:hAnsi="Open Sans" w:cs="Open Sans"/>
        </w:rPr>
        <w:t xml:space="preserve">subsequently updated following the deficiencies </w:t>
      </w:r>
      <w:r w:rsidR="00D6485D">
        <w:rPr>
          <w:rFonts w:ascii="Open Sans" w:hAnsi="Open Sans" w:cs="Open Sans"/>
        </w:rPr>
        <w:t>identified</w:t>
      </w:r>
      <w:r w:rsidR="00F82F8F">
        <w:rPr>
          <w:rFonts w:ascii="Open Sans" w:hAnsi="Open Sans" w:cs="Open Sans"/>
        </w:rPr>
        <w:t xml:space="preserve"> by the </w:t>
      </w:r>
      <w:r w:rsidR="00D6485D">
        <w:rPr>
          <w:rFonts w:ascii="Open Sans" w:hAnsi="Open Sans" w:cs="Open Sans"/>
        </w:rPr>
        <w:t>Assessment</w:t>
      </w:r>
      <w:r w:rsidR="00F82F8F">
        <w:rPr>
          <w:rFonts w:ascii="Open Sans" w:hAnsi="Open Sans" w:cs="Open Sans"/>
        </w:rPr>
        <w:t xml:space="preserve"> Team report. However, </w:t>
      </w:r>
      <w:r w:rsidR="00831E48">
        <w:rPr>
          <w:rFonts w:ascii="Open Sans" w:hAnsi="Open Sans" w:cs="Open Sans"/>
        </w:rPr>
        <w:t>the evidence does</w:t>
      </w:r>
      <w:r w:rsidR="007C330C">
        <w:rPr>
          <w:rFonts w:ascii="Open Sans" w:hAnsi="Open Sans" w:cs="Open Sans"/>
        </w:rPr>
        <w:t xml:space="preserve"> not</w:t>
      </w:r>
      <w:r w:rsidR="00831E48">
        <w:rPr>
          <w:rFonts w:ascii="Open Sans" w:hAnsi="Open Sans" w:cs="Open Sans"/>
        </w:rPr>
        <w:t xml:space="preserve"> sufficiently demonstrate </w:t>
      </w:r>
      <w:r w:rsidR="007C330C">
        <w:rPr>
          <w:rFonts w:ascii="Open Sans" w:hAnsi="Open Sans" w:cs="Open Sans"/>
        </w:rPr>
        <w:t>the incidents have been thoroughly investigated</w:t>
      </w:r>
      <w:r w:rsidR="00E16D3B">
        <w:rPr>
          <w:rFonts w:ascii="Open Sans" w:hAnsi="Open Sans" w:cs="Open Sans"/>
        </w:rPr>
        <w:t>.</w:t>
      </w:r>
      <w:r w:rsidR="00F82F8F">
        <w:rPr>
          <w:rFonts w:ascii="Open Sans" w:hAnsi="Open Sans" w:cs="Open Sans"/>
        </w:rPr>
        <w:t xml:space="preserve"> </w:t>
      </w:r>
      <w:r w:rsidR="00652CBF">
        <w:rPr>
          <w:rFonts w:ascii="Open Sans" w:hAnsi="Open Sans" w:cs="Open Sans"/>
        </w:rPr>
        <w:t xml:space="preserve">For example, the incident report provided as evidence, does not establish </w:t>
      </w:r>
      <w:r w:rsidR="00702E3E">
        <w:rPr>
          <w:rFonts w:ascii="Open Sans" w:hAnsi="Open Sans" w:cs="Open Sans"/>
        </w:rPr>
        <w:t xml:space="preserve">if </w:t>
      </w:r>
      <w:r w:rsidR="00652CBF">
        <w:rPr>
          <w:rFonts w:ascii="Open Sans" w:hAnsi="Open Sans" w:cs="Open Sans"/>
        </w:rPr>
        <w:t>a root cause analysis was completed</w:t>
      </w:r>
      <w:r w:rsidR="00A12B4F">
        <w:rPr>
          <w:rFonts w:ascii="Open Sans" w:hAnsi="Open Sans" w:cs="Open Sans"/>
        </w:rPr>
        <w:t xml:space="preserve">. Although </w:t>
      </w:r>
      <w:r w:rsidR="0089481B">
        <w:rPr>
          <w:rFonts w:ascii="Open Sans" w:hAnsi="Open Sans" w:cs="Open Sans"/>
        </w:rPr>
        <w:t xml:space="preserve">the </w:t>
      </w:r>
      <w:r w:rsidR="00F55ED1">
        <w:rPr>
          <w:rFonts w:ascii="Open Sans" w:hAnsi="Open Sans" w:cs="Open Sans"/>
        </w:rPr>
        <w:t xml:space="preserve">document cited </w:t>
      </w:r>
      <w:r w:rsidR="00A12B4F">
        <w:rPr>
          <w:rFonts w:ascii="Open Sans" w:hAnsi="Open Sans" w:cs="Open Sans"/>
        </w:rPr>
        <w:t>‘pain’ and hygiene sta</w:t>
      </w:r>
      <w:r w:rsidR="006E39CB">
        <w:rPr>
          <w:rFonts w:ascii="Open Sans" w:hAnsi="Open Sans" w:cs="Open Sans"/>
        </w:rPr>
        <w:t>tus’</w:t>
      </w:r>
      <w:r w:rsidR="00F55ED1">
        <w:rPr>
          <w:rFonts w:ascii="Open Sans" w:hAnsi="Open Sans" w:cs="Open Sans"/>
        </w:rPr>
        <w:t xml:space="preserve"> </w:t>
      </w:r>
      <w:r w:rsidR="00C577BA">
        <w:rPr>
          <w:rFonts w:ascii="Open Sans" w:hAnsi="Open Sans" w:cs="Open Sans"/>
        </w:rPr>
        <w:t xml:space="preserve">may be contributory factors to </w:t>
      </w:r>
      <w:r w:rsidR="00D6485D">
        <w:rPr>
          <w:rFonts w:ascii="Open Sans" w:hAnsi="Open Sans" w:cs="Open Sans"/>
        </w:rPr>
        <w:t>behavioural</w:t>
      </w:r>
      <w:r w:rsidR="00C577BA">
        <w:rPr>
          <w:rFonts w:ascii="Open Sans" w:hAnsi="Open Sans" w:cs="Open Sans"/>
        </w:rPr>
        <w:t xml:space="preserve"> distress, these elements </w:t>
      </w:r>
      <w:r w:rsidR="00DB5CCA">
        <w:rPr>
          <w:rFonts w:ascii="Open Sans" w:hAnsi="Open Sans" w:cs="Open Sans"/>
        </w:rPr>
        <w:t xml:space="preserve">considered in </w:t>
      </w:r>
      <w:r w:rsidR="00D6485D">
        <w:rPr>
          <w:rFonts w:ascii="Open Sans" w:hAnsi="Open Sans" w:cs="Open Sans"/>
        </w:rPr>
        <w:t>isolation</w:t>
      </w:r>
      <w:r w:rsidR="00DB5CCA">
        <w:rPr>
          <w:rFonts w:ascii="Open Sans" w:hAnsi="Open Sans" w:cs="Open Sans"/>
        </w:rPr>
        <w:t xml:space="preserve"> do not constitute sufficient or comprehensive evidence to establish causality for absconding </w:t>
      </w:r>
      <w:r w:rsidR="00D6485D">
        <w:rPr>
          <w:rFonts w:ascii="Open Sans" w:hAnsi="Open Sans" w:cs="Open Sans"/>
        </w:rPr>
        <w:t>behaviours</w:t>
      </w:r>
      <w:r w:rsidR="00DB5CCA">
        <w:rPr>
          <w:rFonts w:ascii="Open Sans" w:hAnsi="Open Sans" w:cs="Open Sans"/>
        </w:rPr>
        <w:t xml:space="preserve">. </w:t>
      </w:r>
      <w:r w:rsidR="00E63A3E">
        <w:rPr>
          <w:rFonts w:ascii="Open Sans" w:hAnsi="Open Sans" w:cs="Open Sans"/>
        </w:rPr>
        <w:t xml:space="preserve">The </w:t>
      </w:r>
      <w:r w:rsidR="00A63A23">
        <w:rPr>
          <w:rFonts w:ascii="Open Sans" w:hAnsi="Open Sans" w:cs="Open Sans"/>
        </w:rPr>
        <w:t xml:space="preserve">evidence in the </w:t>
      </w:r>
      <w:r w:rsidR="00E63A3E">
        <w:rPr>
          <w:rFonts w:ascii="Open Sans" w:hAnsi="Open Sans" w:cs="Open Sans"/>
        </w:rPr>
        <w:t xml:space="preserve">incident report </w:t>
      </w:r>
      <w:r w:rsidR="00A13C81">
        <w:rPr>
          <w:rFonts w:ascii="Open Sans" w:hAnsi="Open Sans" w:cs="Open Sans"/>
        </w:rPr>
        <w:t>is unsupported by adequate behavioural assessment, functional analysis</w:t>
      </w:r>
      <w:r w:rsidR="00D6485D">
        <w:rPr>
          <w:rFonts w:ascii="Open Sans" w:hAnsi="Open Sans" w:cs="Open Sans"/>
        </w:rPr>
        <w:t xml:space="preserve"> or corroborative documentation. </w:t>
      </w:r>
      <w:r w:rsidR="00E16D3B">
        <w:rPr>
          <w:rFonts w:ascii="Open Sans" w:hAnsi="Open Sans" w:cs="Open Sans"/>
        </w:rPr>
        <w:t>Moreover,</w:t>
      </w:r>
      <w:r w:rsidR="007C330C">
        <w:rPr>
          <w:rFonts w:ascii="Open Sans" w:hAnsi="Open Sans" w:cs="Open Sans"/>
        </w:rPr>
        <w:t xml:space="preserve"> the</w:t>
      </w:r>
      <w:r>
        <w:rPr>
          <w:rFonts w:ascii="Open Sans" w:hAnsi="Open Sans" w:cs="Open Sans"/>
        </w:rPr>
        <w:t xml:space="preserve"> absence of individualisation within the BSP materially diminishes its utility as a guidance document for staff and creates risk that staff may default to restrictive or inappropriate responses. This does not align with best practice standards in behavioural support.</w:t>
      </w:r>
    </w:p>
    <w:p w14:paraId="0ABD329D" w14:textId="6E98A296" w:rsidR="00DD580E" w:rsidRDefault="000D0743" w:rsidP="00974E84">
      <w:pPr>
        <w:pStyle w:val="NormalArial"/>
        <w:spacing w:line="276" w:lineRule="auto"/>
        <w:rPr>
          <w:rFonts w:ascii="Open Sans" w:hAnsi="Open Sans" w:cs="Open Sans"/>
        </w:rPr>
      </w:pPr>
      <w:r>
        <w:rPr>
          <w:rFonts w:ascii="Open Sans" w:hAnsi="Open Sans" w:cs="Open Sans"/>
        </w:rPr>
        <w:t xml:space="preserve">In relation to wound care and pressure injury management, the service </w:t>
      </w:r>
      <w:r w:rsidR="00F32FF7">
        <w:rPr>
          <w:rFonts w:ascii="Open Sans" w:hAnsi="Open Sans" w:cs="Open Sans"/>
        </w:rPr>
        <w:t xml:space="preserve">was unable to demonstrate expected clinical best practice </w:t>
      </w:r>
      <w:r w:rsidR="0095177B">
        <w:rPr>
          <w:rFonts w:ascii="Open Sans" w:hAnsi="Open Sans" w:cs="Open Sans"/>
        </w:rPr>
        <w:t xml:space="preserve">interventions were implemented to </w:t>
      </w:r>
      <w:r w:rsidR="004D5CA7">
        <w:rPr>
          <w:rFonts w:ascii="Open Sans" w:hAnsi="Open Sans" w:cs="Open Sans"/>
        </w:rPr>
        <w:t>prevent</w:t>
      </w:r>
      <w:r w:rsidR="0095177B">
        <w:rPr>
          <w:rFonts w:ascii="Open Sans" w:hAnsi="Open Sans" w:cs="Open Sans"/>
        </w:rPr>
        <w:t xml:space="preserve"> the </w:t>
      </w:r>
      <w:r w:rsidR="004D5CA7">
        <w:rPr>
          <w:rFonts w:ascii="Open Sans" w:hAnsi="Open Sans" w:cs="Open Sans"/>
        </w:rPr>
        <w:t>development</w:t>
      </w:r>
      <w:r w:rsidR="0095177B">
        <w:rPr>
          <w:rFonts w:ascii="Open Sans" w:hAnsi="Open Sans" w:cs="Open Sans"/>
        </w:rPr>
        <w:t xml:space="preserve"> of pressure </w:t>
      </w:r>
      <w:r w:rsidR="004D5CA7">
        <w:rPr>
          <w:rFonts w:ascii="Open Sans" w:hAnsi="Open Sans" w:cs="Open Sans"/>
        </w:rPr>
        <w:t>injuries</w:t>
      </w:r>
      <w:r w:rsidR="0095177B">
        <w:rPr>
          <w:rFonts w:ascii="Open Sans" w:hAnsi="Open Sans" w:cs="Open Sans"/>
        </w:rPr>
        <w:t xml:space="preserve"> </w:t>
      </w:r>
      <w:r w:rsidR="00D03527">
        <w:rPr>
          <w:rFonts w:ascii="Open Sans" w:hAnsi="Open Sans" w:cs="Open Sans"/>
        </w:rPr>
        <w:t>to ensure early</w:t>
      </w:r>
      <w:r w:rsidR="004D5CA7">
        <w:rPr>
          <w:rFonts w:ascii="Open Sans" w:hAnsi="Open Sans" w:cs="Open Sans"/>
        </w:rPr>
        <w:t xml:space="preserve"> identification and timely management. </w:t>
      </w:r>
      <w:r w:rsidR="00FB2D5D">
        <w:rPr>
          <w:rFonts w:ascii="Open Sans" w:hAnsi="Open Sans" w:cs="Open Sans"/>
        </w:rPr>
        <w:t xml:space="preserve">The </w:t>
      </w:r>
      <w:r w:rsidR="002C609F">
        <w:rPr>
          <w:rFonts w:ascii="Open Sans" w:hAnsi="Open Sans" w:cs="Open Sans"/>
        </w:rPr>
        <w:t xml:space="preserve">evidence brought forward in the Assessment Team report evidenced </w:t>
      </w:r>
      <w:r w:rsidR="00B54BD2">
        <w:rPr>
          <w:rFonts w:ascii="Open Sans" w:hAnsi="Open Sans" w:cs="Open Sans"/>
        </w:rPr>
        <w:t>four</w:t>
      </w:r>
      <w:r w:rsidR="002C609F">
        <w:rPr>
          <w:rFonts w:ascii="Open Sans" w:hAnsi="Open Sans" w:cs="Open Sans"/>
        </w:rPr>
        <w:t xml:space="preserve"> consumers had developed </w:t>
      </w:r>
      <w:r w:rsidR="00DB45A7">
        <w:rPr>
          <w:rFonts w:ascii="Open Sans" w:hAnsi="Open Sans" w:cs="Open Sans"/>
        </w:rPr>
        <w:t xml:space="preserve">pressure injuries and all had not been </w:t>
      </w:r>
      <w:r w:rsidR="00C0363D">
        <w:rPr>
          <w:rFonts w:ascii="Open Sans" w:hAnsi="Open Sans" w:cs="Open Sans"/>
        </w:rPr>
        <w:t>identified until they were a stage II. In the provider</w:t>
      </w:r>
      <w:r w:rsidR="00D348A4">
        <w:rPr>
          <w:rFonts w:ascii="Open Sans" w:hAnsi="Open Sans" w:cs="Open Sans"/>
        </w:rPr>
        <w:t>’</w:t>
      </w:r>
      <w:r w:rsidR="00C0363D">
        <w:rPr>
          <w:rFonts w:ascii="Open Sans" w:hAnsi="Open Sans" w:cs="Open Sans"/>
        </w:rPr>
        <w:t xml:space="preserve">s response, </w:t>
      </w:r>
      <w:r w:rsidR="00B431A3">
        <w:rPr>
          <w:rFonts w:ascii="Open Sans" w:hAnsi="Open Sans" w:cs="Open Sans"/>
        </w:rPr>
        <w:t xml:space="preserve">management </w:t>
      </w:r>
      <w:r w:rsidR="005144D5">
        <w:rPr>
          <w:rFonts w:ascii="Open Sans" w:hAnsi="Open Sans" w:cs="Open Sans"/>
        </w:rPr>
        <w:t>stated a review of the ‘audit’ of pressure injuries found no consumers</w:t>
      </w:r>
      <w:r w:rsidR="0084427D">
        <w:rPr>
          <w:rFonts w:ascii="Open Sans" w:hAnsi="Open Sans" w:cs="Open Sans"/>
        </w:rPr>
        <w:t xml:space="preserve"> at the time of the audit were identified as stage II pressure injuries. I acknow</w:t>
      </w:r>
      <w:r w:rsidR="00A84DA7">
        <w:rPr>
          <w:rFonts w:ascii="Open Sans" w:hAnsi="Open Sans" w:cs="Open Sans"/>
        </w:rPr>
        <w:t>ledge the provider</w:t>
      </w:r>
      <w:r w:rsidR="00410C2A">
        <w:rPr>
          <w:rFonts w:ascii="Open Sans" w:hAnsi="Open Sans" w:cs="Open Sans"/>
        </w:rPr>
        <w:t>’</w:t>
      </w:r>
      <w:r w:rsidR="00A84DA7">
        <w:rPr>
          <w:rFonts w:ascii="Open Sans" w:hAnsi="Open Sans" w:cs="Open Sans"/>
        </w:rPr>
        <w:t xml:space="preserve">s </w:t>
      </w:r>
      <w:r w:rsidR="003B393A">
        <w:rPr>
          <w:rFonts w:ascii="Open Sans" w:hAnsi="Open Sans" w:cs="Open Sans"/>
        </w:rPr>
        <w:t>statement;</w:t>
      </w:r>
      <w:r w:rsidR="00A84DA7">
        <w:rPr>
          <w:rFonts w:ascii="Open Sans" w:hAnsi="Open Sans" w:cs="Open Sans"/>
        </w:rPr>
        <w:t xml:space="preserve"> however, the</w:t>
      </w:r>
      <w:r w:rsidR="00C437F0">
        <w:rPr>
          <w:rFonts w:ascii="Open Sans" w:hAnsi="Open Sans" w:cs="Open Sans"/>
        </w:rPr>
        <w:t xml:space="preserve"> provider did not</w:t>
      </w:r>
      <w:r w:rsidR="00A84DA7">
        <w:rPr>
          <w:rFonts w:ascii="Open Sans" w:hAnsi="Open Sans" w:cs="Open Sans"/>
        </w:rPr>
        <w:t xml:space="preserve"> substantiate the</w:t>
      </w:r>
      <w:r w:rsidR="0043060A">
        <w:rPr>
          <w:rFonts w:ascii="Open Sans" w:hAnsi="Open Sans" w:cs="Open Sans"/>
        </w:rPr>
        <w:t>ir response</w:t>
      </w:r>
      <w:r w:rsidR="00C437F0">
        <w:rPr>
          <w:rFonts w:ascii="Open Sans" w:hAnsi="Open Sans" w:cs="Open Sans"/>
        </w:rPr>
        <w:t xml:space="preserve"> with </w:t>
      </w:r>
      <w:r w:rsidR="009E1110">
        <w:rPr>
          <w:rFonts w:ascii="Open Sans" w:hAnsi="Open Sans" w:cs="Open Sans"/>
        </w:rPr>
        <w:t xml:space="preserve">documented </w:t>
      </w:r>
      <w:r w:rsidR="00C437F0">
        <w:rPr>
          <w:rFonts w:ascii="Open Sans" w:hAnsi="Open Sans" w:cs="Open Sans"/>
        </w:rPr>
        <w:t>evidence.</w:t>
      </w:r>
      <w:r w:rsidR="009E1110">
        <w:rPr>
          <w:rFonts w:ascii="Open Sans" w:hAnsi="Open Sans" w:cs="Open Sans"/>
        </w:rPr>
        <w:t xml:space="preserve"> </w:t>
      </w:r>
    </w:p>
    <w:p w14:paraId="1AE5B59A" w14:textId="782D4A2A" w:rsidR="00BE633F" w:rsidRPr="00856C1E" w:rsidRDefault="00DD580E" w:rsidP="00974E84">
      <w:pPr>
        <w:pStyle w:val="NormalArial"/>
        <w:spacing w:line="276" w:lineRule="auto"/>
        <w:rPr>
          <w:rFonts w:ascii="Open Sans" w:hAnsi="Open Sans" w:cs="Open Sans"/>
        </w:rPr>
      </w:pPr>
      <w:r>
        <w:rPr>
          <w:rFonts w:ascii="Open Sans" w:hAnsi="Open Sans" w:cs="Open Sans"/>
        </w:rPr>
        <w:t>In addition, the provider</w:t>
      </w:r>
      <w:r w:rsidR="00E32EDF">
        <w:rPr>
          <w:rFonts w:ascii="Open Sans" w:hAnsi="Open Sans" w:cs="Open Sans"/>
        </w:rPr>
        <w:t>’</w:t>
      </w:r>
      <w:r>
        <w:rPr>
          <w:rFonts w:ascii="Open Sans" w:hAnsi="Open Sans" w:cs="Open Sans"/>
        </w:rPr>
        <w:t xml:space="preserve">s response </w:t>
      </w:r>
      <w:r w:rsidR="004D6646">
        <w:rPr>
          <w:rFonts w:ascii="Open Sans" w:hAnsi="Open Sans" w:cs="Open Sans"/>
        </w:rPr>
        <w:t xml:space="preserve">acknowledged one consumer was identified with a stage </w:t>
      </w:r>
      <w:r w:rsidR="00260680">
        <w:rPr>
          <w:rFonts w:ascii="Open Sans" w:hAnsi="Open Sans" w:cs="Open Sans"/>
        </w:rPr>
        <w:t xml:space="preserve">II </w:t>
      </w:r>
      <w:r w:rsidR="004D6646">
        <w:rPr>
          <w:rFonts w:ascii="Open Sans" w:hAnsi="Open Sans" w:cs="Open Sans"/>
        </w:rPr>
        <w:t>pressure injury</w:t>
      </w:r>
      <w:r w:rsidR="00260680">
        <w:rPr>
          <w:rFonts w:ascii="Open Sans" w:hAnsi="Open Sans" w:cs="Open Sans"/>
        </w:rPr>
        <w:t xml:space="preserve"> and the care plan was subsequently updated </w:t>
      </w:r>
      <w:r w:rsidR="004F43AB">
        <w:rPr>
          <w:rFonts w:ascii="Open Sans" w:hAnsi="Open Sans" w:cs="Open Sans"/>
        </w:rPr>
        <w:t xml:space="preserve">with smart </w:t>
      </w:r>
      <w:r w:rsidR="00E32EDF">
        <w:rPr>
          <w:rFonts w:ascii="Open Sans" w:hAnsi="Open Sans" w:cs="Open Sans"/>
        </w:rPr>
        <w:t>goals</w:t>
      </w:r>
      <w:r w:rsidR="004F43AB">
        <w:rPr>
          <w:rFonts w:ascii="Open Sans" w:hAnsi="Open Sans" w:cs="Open Sans"/>
        </w:rPr>
        <w:t xml:space="preserve"> for </w:t>
      </w:r>
      <w:r w:rsidR="00E32EDF">
        <w:rPr>
          <w:rFonts w:ascii="Open Sans" w:hAnsi="Open Sans" w:cs="Open Sans"/>
        </w:rPr>
        <w:t>improvement</w:t>
      </w:r>
      <w:r w:rsidR="009B518C">
        <w:rPr>
          <w:rFonts w:ascii="Open Sans" w:hAnsi="Open Sans" w:cs="Open Sans"/>
        </w:rPr>
        <w:t xml:space="preserve">. The provider’s response stated </w:t>
      </w:r>
      <w:r w:rsidR="004F43AB">
        <w:rPr>
          <w:rFonts w:ascii="Open Sans" w:hAnsi="Open Sans" w:cs="Open Sans"/>
        </w:rPr>
        <w:t>an investigation will be completed</w:t>
      </w:r>
      <w:r w:rsidR="00434C25">
        <w:rPr>
          <w:rFonts w:ascii="Open Sans" w:hAnsi="Open Sans" w:cs="Open Sans"/>
        </w:rPr>
        <w:t xml:space="preserve">. </w:t>
      </w:r>
      <w:r w:rsidR="00FF29EE">
        <w:rPr>
          <w:rFonts w:ascii="Open Sans" w:hAnsi="Open Sans" w:cs="Open Sans"/>
        </w:rPr>
        <w:t xml:space="preserve">I acknowledge the </w:t>
      </w:r>
      <w:r w:rsidR="00431A91">
        <w:rPr>
          <w:rFonts w:ascii="Open Sans" w:hAnsi="Open Sans" w:cs="Open Sans"/>
        </w:rPr>
        <w:t xml:space="preserve">updated </w:t>
      </w:r>
      <w:r w:rsidR="0044578E">
        <w:rPr>
          <w:rFonts w:ascii="Open Sans" w:hAnsi="Open Sans" w:cs="Open Sans"/>
        </w:rPr>
        <w:t xml:space="preserve">wound management plan and </w:t>
      </w:r>
      <w:r w:rsidR="00431A91">
        <w:rPr>
          <w:rFonts w:ascii="Open Sans" w:hAnsi="Open Sans" w:cs="Open Sans"/>
        </w:rPr>
        <w:t xml:space="preserve">care plan </w:t>
      </w:r>
      <w:r w:rsidR="0044578E">
        <w:rPr>
          <w:rFonts w:ascii="Open Sans" w:hAnsi="Open Sans" w:cs="Open Sans"/>
        </w:rPr>
        <w:t>with</w:t>
      </w:r>
      <w:r w:rsidR="00431A91">
        <w:rPr>
          <w:rFonts w:ascii="Open Sans" w:hAnsi="Open Sans" w:cs="Open Sans"/>
        </w:rPr>
        <w:t xml:space="preserve"> goals for wound healing. </w:t>
      </w:r>
      <w:r w:rsidR="008B081F">
        <w:rPr>
          <w:rFonts w:ascii="Open Sans" w:hAnsi="Open Sans" w:cs="Open Sans"/>
        </w:rPr>
        <w:t xml:space="preserve">However, I am not satisfied there </w:t>
      </w:r>
      <w:r w:rsidR="0044578E">
        <w:rPr>
          <w:rFonts w:ascii="Open Sans" w:hAnsi="Open Sans" w:cs="Open Sans"/>
        </w:rPr>
        <w:t>was</w:t>
      </w:r>
      <w:r w:rsidR="008B081F">
        <w:rPr>
          <w:rFonts w:ascii="Open Sans" w:hAnsi="Open Sans" w:cs="Open Sans"/>
        </w:rPr>
        <w:t xml:space="preserve"> sufficient evidence</w:t>
      </w:r>
      <w:r w:rsidR="004569CA">
        <w:rPr>
          <w:rFonts w:ascii="Open Sans" w:hAnsi="Open Sans" w:cs="Open Sans"/>
        </w:rPr>
        <w:t xml:space="preserve"> </w:t>
      </w:r>
      <w:r w:rsidR="008B081F">
        <w:rPr>
          <w:rFonts w:ascii="Open Sans" w:hAnsi="Open Sans" w:cs="Open Sans"/>
        </w:rPr>
        <w:t xml:space="preserve">skin integrity assessments </w:t>
      </w:r>
      <w:r w:rsidR="004569CA">
        <w:rPr>
          <w:rFonts w:ascii="Open Sans" w:hAnsi="Open Sans" w:cs="Open Sans"/>
        </w:rPr>
        <w:t xml:space="preserve">were undertaken to </w:t>
      </w:r>
      <w:r w:rsidR="00F04757">
        <w:rPr>
          <w:rFonts w:ascii="Open Sans" w:hAnsi="Open Sans" w:cs="Open Sans"/>
        </w:rPr>
        <w:t xml:space="preserve">determine the risk trajectory </w:t>
      </w:r>
      <w:r w:rsidR="00F83F23">
        <w:rPr>
          <w:rFonts w:ascii="Open Sans" w:hAnsi="Open Sans" w:cs="Open Sans"/>
        </w:rPr>
        <w:t>to</w:t>
      </w:r>
      <w:r w:rsidR="00F04757">
        <w:rPr>
          <w:rFonts w:ascii="Open Sans" w:hAnsi="Open Sans" w:cs="Open Sans"/>
        </w:rPr>
        <w:t xml:space="preserve"> pressure injury.</w:t>
      </w:r>
      <w:r w:rsidR="0044578E">
        <w:rPr>
          <w:rFonts w:ascii="Open Sans" w:hAnsi="Open Sans" w:cs="Open Sans"/>
        </w:rPr>
        <w:t xml:space="preserve"> I</w:t>
      </w:r>
      <w:r w:rsidR="005E1549">
        <w:rPr>
          <w:rFonts w:ascii="Open Sans" w:hAnsi="Open Sans" w:cs="Open Sans"/>
        </w:rPr>
        <w:t>t is unclear in the provider’s response if the</w:t>
      </w:r>
      <w:r w:rsidR="00C717EE">
        <w:rPr>
          <w:rFonts w:ascii="Open Sans" w:hAnsi="Open Sans" w:cs="Open Sans"/>
        </w:rPr>
        <w:t>re</w:t>
      </w:r>
      <w:r w:rsidR="005E1549">
        <w:rPr>
          <w:rFonts w:ascii="Open Sans" w:hAnsi="Open Sans" w:cs="Open Sans"/>
        </w:rPr>
        <w:t xml:space="preserve"> is clinical oversight of </w:t>
      </w:r>
      <w:r w:rsidR="00C717EE">
        <w:rPr>
          <w:rFonts w:ascii="Open Sans" w:hAnsi="Open Sans" w:cs="Open Sans"/>
        </w:rPr>
        <w:t>skin assessment</w:t>
      </w:r>
      <w:r w:rsidR="00DD48D2">
        <w:rPr>
          <w:rFonts w:ascii="Open Sans" w:hAnsi="Open Sans" w:cs="Open Sans"/>
        </w:rPr>
        <w:t>s</w:t>
      </w:r>
      <w:r w:rsidR="00C717EE">
        <w:rPr>
          <w:rFonts w:ascii="Open Sans" w:hAnsi="Open Sans" w:cs="Open Sans"/>
        </w:rPr>
        <w:t xml:space="preserve"> </w:t>
      </w:r>
      <w:r w:rsidR="0027550D">
        <w:rPr>
          <w:rFonts w:ascii="Open Sans" w:hAnsi="Open Sans" w:cs="Open Sans"/>
        </w:rPr>
        <w:t xml:space="preserve">to identify and prevent pressure injuries. </w:t>
      </w:r>
      <w:r w:rsidR="00C52892">
        <w:rPr>
          <w:rFonts w:ascii="Open Sans" w:hAnsi="Open Sans" w:cs="Open Sans"/>
        </w:rPr>
        <w:t xml:space="preserve">I acknowledge the </w:t>
      </w:r>
      <w:r w:rsidR="00DD48D2">
        <w:rPr>
          <w:rFonts w:ascii="Open Sans" w:hAnsi="Open Sans" w:cs="Open Sans"/>
        </w:rPr>
        <w:t xml:space="preserve">provider’s </w:t>
      </w:r>
      <w:r w:rsidR="001C5710">
        <w:rPr>
          <w:rFonts w:ascii="Open Sans" w:hAnsi="Open Sans" w:cs="Open Sans"/>
        </w:rPr>
        <w:t>procurement of pressure are</w:t>
      </w:r>
      <w:r w:rsidR="003C3491">
        <w:rPr>
          <w:rFonts w:ascii="Open Sans" w:hAnsi="Open Sans" w:cs="Open Sans"/>
        </w:rPr>
        <w:t>a</w:t>
      </w:r>
      <w:r w:rsidR="001C5710">
        <w:rPr>
          <w:rFonts w:ascii="Open Sans" w:hAnsi="Open Sans" w:cs="Open Sans"/>
        </w:rPr>
        <w:t xml:space="preserve"> care equipment and </w:t>
      </w:r>
      <w:r w:rsidR="00B42491">
        <w:rPr>
          <w:rFonts w:ascii="Open Sans" w:hAnsi="Open Sans" w:cs="Open Sans"/>
        </w:rPr>
        <w:lastRenderedPageBreak/>
        <w:t xml:space="preserve">ongoing mentoring of care workers to improve techniques and </w:t>
      </w:r>
      <w:r w:rsidR="00A85FAE">
        <w:rPr>
          <w:rFonts w:ascii="Open Sans" w:hAnsi="Open Sans" w:cs="Open Sans"/>
        </w:rPr>
        <w:t xml:space="preserve">schedules. I acknowledge pressure injuries have been added to the high impact high </w:t>
      </w:r>
      <w:r w:rsidR="003C3491">
        <w:rPr>
          <w:rFonts w:ascii="Open Sans" w:hAnsi="Open Sans" w:cs="Open Sans"/>
        </w:rPr>
        <w:t>prevalence</w:t>
      </w:r>
      <w:r w:rsidR="00A85FAE">
        <w:rPr>
          <w:rFonts w:ascii="Open Sans" w:hAnsi="Open Sans" w:cs="Open Sans"/>
        </w:rPr>
        <w:t xml:space="preserve"> </w:t>
      </w:r>
      <w:r w:rsidR="00242D35">
        <w:rPr>
          <w:rFonts w:ascii="Open Sans" w:hAnsi="Open Sans" w:cs="Open Sans"/>
        </w:rPr>
        <w:t xml:space="preserve">register to improve </w:t>
      </w:r>
      <w:r w:rsidR="003C3491">
        <w:rPr>
          <w:rFonts w:ascii="Open Sans" w:hAnsi="Open Sans" w:cs="Open Sans"/>
        </w:rPr>
        <w:t>monitoring</w:t>
      </w:r>
      <w:r w:rsidR="001A462F">
        <w:rPr>
          <w:rFonts w:ascii="Open Sans" w:hAnsi="Open Sans" w:cs="Open Sans"/>
        </w:rPr>
        <w:t xml:space="preserve">. </w:t>
      </w:r>
      <w:r w:rsidR="001C2E95">
        <w:rPr>
          <w:rFonts w:ascii="Open Sans" w:hAnsi="Open Sans" w:cs="Open Sans"/>
        </w:rPr>
        <w:t xml:space="preserve">I acknowledge the claim </w:t>
      </w:r>
      <w:r w:rsidR="000B0313">
        <w:rPr>
          <w:rFonts w:ascii="Open Sans" w:hAnsi="Open Sans" w:cs="Open Sans"/>
        </w:rPr>
        <w:t>‘</w:t>
      </w:r>
      <w:r w:rsidR="001C2E95">
        <w:rPr>
          <w:rFonts w:ascii="Open Sans" w:hAnsi="Open Sans" w:cs="Open Sans"/>
        </w:rPr>
        <w:t xml:space="preserve">trending of PI’s have been </w:t>
      </w:r>
      <w:r w:rsidR="00D15275">
        <w:rPr>
          <w:rFonts w:ascii="Open Sans" w:hAnsi="Open Sans" w:cs="Open Sans"/>
        </w:rPr>
        <w:t>documented in fortnightly reports and are now below the industry benchmark</w:t>
      </w:r>
      <w:r w:rsidR="001A462F">
        <w:rPr>
          <w:rFonts w:ascii="Open Sans" w:hAnsi="Open Sans" w:cs="Open Sans"/>
        </w:rPr>
        <w:t>.’</w:t>
      </w:r>
      <w:r w:rsidR="007568E5">
        <w:rPr>
          <w:rFonts w:ascii="Open Sans" w:hAnsi="Open Sans" w:cs="Open Sans"/>
        </w:rPr>
        <w:t xml:space="preserve"> In coming to my decision, I have </w:t>
      </w:r>
      <w:r w:rsidR="00C6374C">
        <w:rPr>
          <w:rFonts w:ascii="Open Sans" w:hAnsi="Open Sans" w:cs="Open Sans"/>
        </w:rPr>
        <w:t>placed weight on the provider’s statements</w:t>
      </w:r>
      <w:r w:rsidR="00060078">
        <w:rPr>
          <w:rFonts w:ascii="Open Sans" w:hAnsi="Open Sans" w:cs="Open Sans"/>
        </w:rPr>
        <w:t xml:space="preserve"> and the evidence brought forward in the Assessment Team report.</w:t>
      </w:r>
      <w:r w:rsidR="007568E5">
        <w:rPr>
          <w:rFonts w:ascii="Open Sans" w:hAnsi="Open Sans" w:cs="Open Sans"/>
        </w:rPr>
        <w:t xml:space="preserve"> I am not sat</w:t>
      </w:r>
      <w:r w:rsidR="00C90574">
        <w:rPr>
          <w:rFonts w:ascii="Open Sans" w:hAnsi="Open Sans" w:cs="Open Sans"/>
        </w:rPr>
        <w:t>isfied the</w:t>
      </w:r>
      <w:r w:rsidR="001D0EE4">
        <w:rPr>
          <w:rFonts w:ascii="Open Sans" w:hAnsi="Open Sans" w:cs="Open Sans"/>
        </w:rPr>
        <w:t xml:space="preserve"> provider has provided </w:t>
      </w:r>
      <w:r w:rsidR="00C90574">
        <w:rPr>
          <w:rFonts w:ascii="Open Sans" w:hAnsi="Open Sans" w:cs="Open Sans"/>
        </w:rPr>
        <w:t xml:space="preserve">sufficient evidence to </w:t>
      </w:r>
      <w:r w:rsidR="00B86868">
        <w:rPr>
          <w:rFonts w:ascii="Open Sans" w:hAnsi="Open Sans" w:cs="Open Sans"/>
        </w:rPr>
        <w:t xml:space="preserve">substantiate </w:t>
      </w:r>
      <w:r w:rsidR="00C0425B">
        <w:rPr>
          <w:rFonts w:ascii="Open Sans" w:hAnsi="Open Sans" w:cs="Open Sans"/>
        </w:rPr>
        <w:t xml:space="preserve">pressure injuries are included on the HIHP register, mentoring of care workers is </w:t>
      </w:r>
      <w:r w:rsidR="001D0EE4">
        <w:rPr>
          <w:rFonts w:ascii="Open Sans" w:hAnsi="Open Sans" w:cs="Open Sans"/>
        </w:rPr>
        <w:t>occurring</w:t>
      </w:r>
      <w:r w:rsidR="0089572C">
        <w:rPr>
          <w:rFonts w:ascii="Open Sans" w:hAnsi="Open Sans" w:cs="Open Sans"/>
        </w:rPr>
        <w:t xml:space="preserve"> and how this is evaluated, </w:t>
      </w:r>
      <w:r w:rsidR="007A1257">
        <w:rPr>
          <w:rFonts w:ascii="Open Sans" w:hAnsi="Open Sans" w:cs="Open Sans"/>
        </w:rPr>
        <w:t xml:space="preserve">pressure injuries are </w:t>
      </w:r>
      <w:r w:rsidR="00E129C0">
        <w:rPr>
          <w:rFonts w:ascii="Open Sans" w:hAnsi="Open Sans" w:cs="Open Sans"/>
        </w:rPr>
        <w:t>included in a fortnightly report</w:t>
      </w:r>
      <w:r w:rsidR="00482B97">
        <w:rPr>
          <w:rFonts w:ascii="Open Sans" w:hAnsi="Open Sans" w:cs="Open Sans"/>
        </w:rPr>
        <w:t>, how the report informs clinical oversight</w:t>
      </w:r>
      <w:r w:rsidR="00BF54A3">
        <w:rPr>
          <w:rFonts w:ascii="Open Sans" w:hAnsi="Open Sans" w:cs="Open Sans"/>
        </w:rPr>
        <w:t xml:space="preserve"> and </w:t>
      </w:r>
      <w:r w:rsidR="008B3786">
        <w:rPr>
          <w:rFonts w:ascii="Open Sans" w:hAnsi="Open Sans" w:cs="Open Sans"/>
        </w:rPr>
        <w:t xml:space="preserve">evidence </w:t>
      </w:r>
      <w:r w:rsidR="00653E6F">
        <w:rPr>
          <w:rFonts w:ascii="Open Sans" w:hAnsi="Open Sans" w:cs="Open Sans"/>
        </w:rPr>
        <w:t>the number of PI’s are below the industry benchmark.</w:t>
      </w:r>
      <w:r w:rsidR="00263E6F">
        <w:rPr>
          <w:rFonts w:ascii="Open Sans" w:hAnsi="Open Sans" w:cs="Open Sans"/>
        </w:rPr>
        <w:t xml:space="preserve"> </w:t>
      </w:r>
      <w:r w:rsidR="00653E6F">
        <w:rPr>
          <w:rFonts w:ascii="Open Sans" w:hAnsi="Open Sans" w:cs="Open Sans"/>
        </w:rPr>
        <w:t xml:space="preserve"> </w:t>
      </w:r>
    </w:p>
    <w:p w14:paraId="4C0BA1BD" w14:textId="77777777" w:rsidR="002970DF" w:rsidRDefault="00381D08" w:rsidP="00974E84">
      <w:pPr>
        <w:pStyle w:val="NormalArial"/>
        <w:spacing w:line="276" w:lineRule="auto"/>
        <w:rPr>
          <w:rFonts w:ascii="Open Sans" w:hAnsi="Open Sans" w:cs="Open Sans"/>
        </w:rPr>
      </w:pPr>
      <w:r>
        <w:rPr>
          <w:rFonts w:ascii="Open Sans" w:hAnsi="Open Sans" w:cs="Open Sans"/>
        </w:rPr>
        <w:t>In relation to complex clinical care</w:t>
      </w:r>
      <w:r w:rsidR="00DB27E9">
        <w:rPr>
          <w:rFonts w:ascii="Open Sans" w:hAnsi="Open Sans" w:cs="Open Sans"/>
        </w:rPr>
        <w:t xml:space="preserve">, </w:t>
      </w:r>
      <w:r w:rsidR="00A02A81">
        <w:rPr>
          <w:rFonts w:ascii="Open Sans" w:hAnsi="Open Sans" w:cs="Open Sans"/>
        </w:rPr>
        <w:t xml:space="preserve">the provider was unable to demonstrate </w:t>
      </w:r>
      <w:r w:rsidR="00DB27E9">
        <w:rPr>
          <w:rFonts w:ascii="Open Sans" w:hAnsi="Open Sans" w:cs="Open Sans"/>
        </w:rPr>
        <w:t>fluid intake, hemodynamic monitoring (blood pressure)</w:t>
      </w:r>
      <w:r w:rsidR="00925776">
        <w:rPr>
          <w:rFonts w:ascii="Open Sans" w:hAnsi="Open Sans" w:cs="Open Sans"/>
        </w:rPr>
        <w:t xml:space="preserve"> and medication management (warfarin</w:t>
      </w:r>
      <w:r w:rsidR="00A02A81">
        <w:rPr>
          <w:rFonts w:ascii="Open Sans" w:hAnsi="Open Sans" w:cs="Open Sans"/>
        </w:rPr>
        <w:t xml:space="preserve">) was </w:t>
      </w:r>
      <w:r w:rsidR="00DA7B6B">
        <w:rPr>
          <w:rFonts w:ascii="Open Sans" w:hAnsi="Open Sans" w:cs="Open Sans"/>
        </w:rPr>
        <w:t xml:space="preserve">managed according to expected clinical best practice </w:t>
      </w:r>
      <w:r w:rsidR="009B3AA0">
        <w:rPr>
          <w:rFonts w:ascii="Open Sans" w:hAnsi="Open Sans" w:cs="Open Sans"/>
        </w:rPr>
        <w:t xml:space="preserve">principles. Fluid intake charting was </w:t>
      </w:r>
      <w:r w:rsidR="006B29E7">
        <w:rPr>
          <w:rFonts w:ascii="Open Sans" w:hAnsi="Open Sans" w:cs="Open Sans"/>
        </w:rPr>
        <w:t>inconsistently</w:t>
      </w:r>
      <w:r w:rsidR="009B3AA0">
        <w:rPr>
          <w:rFonts w:ascii="Open Sans" w:hAnsi="Open Sans" w:cs="Open Sans"/>
        </w:rPr>
        <w:t xml:space="preserve"> completed</w:t>
      </w:r>
      <w:r w:rsidR="006B29E7">
        <w:rPr>
          <w:rFonts w:ascii="Open Sans" w:hAnsi="Open Sans" w:cs="Open Sans"/>
        </w:rPr>
        <w:t xml:space="preserve"> and prescribed medical fluid restrictions were not followed or understood by staff.</w:t>
      </w:r>
      <w:r w:rsidR="006949D5">
        <w:rPr>
          <w:rFonts w:ascii="Open Sans" w:hAnsi="Open Sans" w:cs="Open Sans"/>
        </w:rPr>
        <w:t xml:space="preserve"> The provider acknowledges </w:t>
      </w:r>
      <w:r w:rsidR="001073A4">
        <w:rPr>
          <w:rFonts w:ascii="Open Sans" w:hAnsi="Open Sans" w:cs="Open Sans"/>
        </w:rPr>
        <w:t>these defici</w:t>
      </w:r>
      <w:r w:rsidR="00F066F7">
        <w:rPr>
          <w:rFonts w:ascii="Open Sans" w:hAnsi="Open Sans" w:cs="Open Sans"/>
        </w:rPr>
        <w:t>encies</w:t>
      </w:r>
      <w:r w:rsidR="001073A4">
        <w:rPr>
          <w:rFonts w:ascii="Open Sans" w:hAnsi="Open Sans" w:cs="Open Sans"/>
        </w:rPr>
        <w:t xml:space="preserve"> </w:t>
      </w:r>
      <w:r w:rsidR="006949D5">
        <w:rPr>
          <w:rFonts w:ascii="Open Sans" w:hAnsi="Open Sans" w:cs="Open Sans"/>
        </w:rPr>
        <w:t>in their respons</w:t>
      </w:r>
      <w:r w:rsidR="001073A4">
        <w:rPr>
          <w:rFonts w:ascii="Open Sans" w:hAnsi="Open Sans" w:cs="Open Sans"/>
        </w:rPr>
        <w:t xml:space="preserve">e. </w:t>
      </w:r>
    </w:p>
    <w:p w14:paraId="7F8256CA" w14:textId="377C5EE2" w:rsidR="004E4A97" w:rsidRDefault="002D5D32" w:rsidP="00974E84">
      <w:pPr>
        <w:pStyle w:val="NormalArial"/>
        <w:spacing w:line="276" w:lineRule="auto"/>
        <w:rPr>
          <w:rFonts w:ascii="Open Sans" w:hAnsi="Open Sans" w:cs="Open Sans"/>
        </w:rPr>
      </w:pPr>
      <w:r>
        <w:rPr>
          <w:rFonts w:ascii="Open Sans" w:hAnsi="Open Sans" w:cs="Open Sans"/>
        </w:rPr>
        <w:t xml:space="preserve">In relation to </w:t>
      </w:r>
      <w:r w:rsidR="009C7C93">
        <w:rPr>
          <w:rFonts w:ascii="Open Sans" w:hAnsi="Open Sans" w:cs="Open Sans"/>
        </w:rPr>
        <w:t xml:space="preserve">withholding of a loop </w:t>
      </w:r>
      <w:r w:rsidR="00722314">
        <w:rPr>
          <w:rFonts w:ascii="Open Sans" w:hAnsi="Open Sans" w:cs="Open Sans"/>
        </w:rPr>
        <w:t>diuretic</w:t>
      </w:r>
      <w:r w:rsidR="009C7290">
        <w:rPr>
          <w:rFonts w:ascii="Open Sans" w:hAnsi="Open Sans" w:cs="Open Sans"/>
        </w:rPr>
        <w:t xml:space="preserve"> for one consumer</w:t>
      </w:r>
      <w:r w:rsidR="009C7C93">
        <w:rPr>
          <w:rFonts w:ascii="Open Sans" w:hAnsi="Open Sans" w:cs="Open Sans"/>
        </w:rPr>
        <w:t xml:space="preserve">, I am satisfied by the evidence in the provider’s response this was </w:t>
      </w:r>
      <w:r w:rsidR="0006217A">
        <w:rPr>
          <w:rFonts w:ascii="Open Sans" w:hAnsi="Open Sans" w:cs="Open Sans"/>
        </w:rPr>
        <w:t xml:space="preserve">managed </w:t>
      </w:r>
      <w:r w:rsidR="005A5D07">
        <w:rPr>
          <w:rFonts w:ascii="Open Sans" w:hAnsi="Open Sans" w:cs="Open Sans"/>
        </w:rPr>
        <w:t>according to expected clinical best practice</w:t>
      </w:r>
      <w:r w:rsidR="009C7290">
        <w:rPr>
          <w:rFonts w:ascii="Open Sans" w:hAnsi="Open Sans" w:cs="Open Sans"/>
        </w:rPr>
        <w:t xml:space="preserve">. </w:t>
      </w:r>
    </w:p>
    <w:p w14:paraId="4E5B5B4C" w14:textId="542BC748" w:rsidR="00C74695" w:rsidRDefault="00F60A91" w:rsidP="00974E84">
      <w:pPr>
        <w:pStyle w:val="NormalArial"/>
        <w:spacing w:line="276" w:lineRule="auto"/>
        <w:rPr>
          <w:rFonts w:ascii="Open Sans" w:hAnsi="Open Sans" w:cs="Open Sans"/>
        </w:rPr>
      </w:pPr>
      <w:r>
        <w:rPr>
          <w:rFonts w:ascii="Open Sans" w:hAnsi="Open Sans" w:cs="Open Sans"/>
        </w:rPr>
        <w:t>In relation to blood pressure monitoring</w:t>
      </w:r>
      <w:r w:rsidR="00A24505">
        <w:rPr>
          <w:rFonts w:ascii="Open Sans" w:hAnsi="Open Sans" w:cs="Open Sans"/>
        </w:rPr>
        <w:t xml:space="preserve"> for one consumer</w:t>
      </w:r>
      <w:r>
        <w:rPr>
          <w:rFonts w:ascii="Open Sans" w:hAnsi="Open Sans" w:cs="Open Sans"/>
        </w:rPr>
        <w:t xml:space="preserve">, the evidence brought forward in the Assessment Team report evidenced </w:t>
      </w:r>
      <w:r w:rsidR="00057798">
        <w:rPr>
          <w:rFonts w:ascii="Open Sans" w:hAnsi="Open Sans" w:cs="Open Sans"/>
        </w:rPr>
        <w:t>blood pressure monitoring did not align with medical officer</w:t>
      </w:r>
      <w:r w:rsidR="00900D43">
        <w:rPr>
          <w:rFonts w:ascii="Open Sans" w:hAnsi="Open Sans" w:cs="Open Sans"/>
        </w:rPr>
        <w:t>’s</w:t>
      </w:r>
      <w:r w:rsidR="00057798">
        <w:rPr>
          <w:rFonts w:ascii="Open Sans" w:hAnsi="Open Sans" w:cs="Open Sans"/>
        </w:rPr>
        <w:t xml:space="preserve"> order</w:t>
      </w:r>
      <w:r w:rsidR="004E4A97">
        <w:rPr>
          <w:rFonts w:ascii="Open Sans" w:hAnsi="Open Sans" w:cs="Open Sans"/>
        </w:rPr>
        <w:t>s</w:t>
      </w:r>
      <w:r w:rsidR="00D8050E">
        <w:rPr>
          <w:rFonts w:ascii="Open Sans" w:hAnsi="Open Sans" w:cs="Open Sans"/>
        </w:rPr>
        <w:t xml:space="preserve"> for </w:t>
      </w:r>
      <w:r w:rsidR="00DB4885">
        <w:rPr>
          <w:rFonts w:ascii="Open Sans" w:hAnsi="Open Sans" w:cs="Open Sans"/>
        </w:rPr>
        <w:t>one week</w:t>
      </w:r>
      <w:r w:rsidR="00D8050E">
        <w:rPr>
          <w:rFonts w:ascii="Open Sans" w:hAnsi="Open Sans" w:cs="Open Sans"/>
        </w:rPr>
        <w:t xml:space="preserve"> of </w:t>
      </w:r>
      <w:r w:rsidR="00900D43">
        <w:rPr>
          <w:rFonts w:ascii="Open Sans" w:hAnsi="Open Sans" w:cs="Open Sans"/>
        </w:rPr>
        <w:t xml:space="preserve">blood pressure </w:t>
      </w:r>
      <w:r w:rsidR="00D8050E">
        <w:rPr>
          <w:rFonts w:ascii="Open Sans" w:hAnsi="Open Sans" w:cs="Open Sans"/>
        </w:rPr>
        <w:t>monitoring</w:t>
      </w:r>
      <w:r w:rsidR="00057798">
        <w:rPr>
          <w:rFonts w:ascii="Open Sans" w:hAnsi="Open Sans" w:cs="Open Sans"/>
        </w:rPr>
        <w:t xml:space="preserve">. </w:t>
      </w:r>
      <w:r w:rsidR="00A24505">
        <w:rPr>
          <w:rFonts w:ascii="Open Sans" w:hAnsi="Open Sans" w:cs="Open Sans"/>
        </w:rPr>
        <w:t xml:space="preserve">In the providers response, </w:t>
      </w:r>
      <w:r w:rsidR="00733CE3">
        <w:rPr>
          <w:rFonts w:ascii="Open Sans" w:hAnsi="Open Sans" w:cs="Open Sans"/>
        </w:rPr>
        <w:t>evidence of the medical officer’s order</w:t>
      </w:r>
      <w:r w:rsidR="00781C84">
        <w:rPr>
          <w:rFonts w:ascii="Open Sans" w:hAnsi="Open Sans" w:cs="Open Sans"/>
        </w:rPr>
        <w:t>s</w:t>
      </w:r>
      <w:r w:rsidR="00C069D6">
        <w:rPr>
          <w:rFonts w:ascii="Open Sans" w:hAnsi="Open Sans" w:cs="Open Sans"/>
        </w:rPr>
        <w:t xml:space="preserve"> was brought forward. </w:t>
      </w:r>
      <w:r w:rsidR="00D8050E">
        <w:rPr>
          <w:rFonts w:ascii="Open Sans" w:hAnsi="Open Sans" w:cs="Open Sans"/>
        </w:rPr>
        <w:t xml:space="preserve">I acknowledge the </w:t>
      </w:r>
      <w:r w:rsidR="00833A32">
        <w:rPr>
          <w:rFonts w:ascii="Open Sans" w:hAnsi="Open Sans" w:cs="Open Sans"/>
        </w:rPr>
        <w:t xml:space="preserve">evidence </w:t>
      </w:r>
      <w:r w:rsidR="00920700">
        <w:rPr>
          <w:rFonts w:ascii="Open Sans" w:hAnsi="Open Sans" w:cs="Open Sans"/>
        </w:rPr>
        <w:t xml:space="preserve">the medical officer ordered </w:t>
      </w:r>
      <w:r w:rsidR="009819EB">
        <w:rPr>
          <w:rFonts w:ascii="Open Sans" w:hAnsi="Open Sans" w:cs="Open Sans"/>
        </w:rPr>
        <w:t>one week</w:t>
      </w:r>
      <w:r w:rsidR="00920700">
        <w:rPr>
          <w:rFonts w:ascii="Open Sans" w:hAnsi="Open Sans" w:cs="Open Sans"/>
        </w:rPr>
        <w:t xml:space="preserve"> of blood pressure monitoring with 3 days of </w:t>
      </w:r>
      <w:r w:rsidR="001A3F99">
        <w:rPr>
          <w:rFonts w:ascii="Open Sans" w:hAnsi="Open Sans" w:cs="Open Sans"/>
        </w:rPr>
        <w:t xml:space="preserve">lying and standing blood pressure monitoring. </w:t>
      </w:r>
      <w:r w:rsidR="009819EB">
        <w:rPr>
          <w:rFonts w:ascii="Open Sans" w:hAnsi="Open Sans" w:cs="Open Sans"/>
        </w:rPr>
        <w:t xml:space="preserve">However, I have reviewed the </w:t>
      </w:r>
      <w:r w:rsidR="005610EA">
        <w:rPr>
          <w:rFonts w:ascii="Open Sans" w:hAnsi="Open Sans" w:cs="Open Sans"/>
        </w:rPr>
        <w:t>blood pressure monitoring progress notes</w:t>
      </w:r>
      <w:r w:rsidR="002736A1">
        <w:rPr>
          <w:rFonts w:ascii="Open Sans" w:hAnsi="Open Sans" w:cs="Open Sans"/>
        </w:rPr>
        <w:t xml:space="preserve"> submitted </w:t>
      </w:r>
      <w:r w:rsidR="00A94974">
        <w:rPr>
          <w:rFonts w:ascii="Open Sans" w:hAnsi="Open Sans" w:cs="Open Sans"/>
        </w:rPr>
        <w:t>as evidence</w:t>
      </w:r>
      <w:r w:rsidR="002736A1">
        <w:rPr>
          <w:rFonts w:ascii="Open Sans" w:hAnsi="Open Sans" w:cs="Open Sans"/>
        </w:rPr>
        <w:t>,</w:t>
      </w:r>
      <w:r w:rsidR="00A94974">
        <w:rPr>
          <w:rFonts w:ascii="Open Sans" w:hAnsi="Open Sans" w:cs="Open Sans"/>
        </w:rPr>
        <w:t xml:space="preserve"> and I am</w:t>
      </w:r>
      <w:r w:rsidR="00774E83">
        <w:rPr>
          <w:rFonts w:ascii="Open Sans" w:hAnsi="Open Sans" w:cs="Open Sans"/>
        </w:rPr>
        <w:t xml:space="preserve"> not satisfied the provider completed one week </w:t>
      </w:r>
      <w:r w:rsidR="00114EC7">
        <w:rPr>
          <w:rFonts w:ascii="Open Sans" w:hAnsi="Open Sans" w:cs="Open Sans"/>
        </w:rPr>
        <w:t xml:space="preserve">of blood pressure monitoring with 3 days of sitting and standing blood pressure. </w:t>
      </w:r>
      <w:r w:rsidR="00CC399C">
        <w:rPr>
          <w:rFonts w:ascii="Open Sans" w:hAnsi="Open Sans" w:cs="Open Sans"/>
        </w:rPr>
        <w:t>The evidence demonstrates</w:t>
      </w:r>
      <w:r w:rsidR="00A94974">
        <w:rPr>
          <w:rFonts w:ascii="Open Sans" w:hAnsi="Open Sans" w:cs="Open Sans"/>
        </w:rPr>
        <w:t xml:space="preserve"> 4 </w:t>
      </w:r>
      <w:r w:rsidR="005A1364">
        <w:rPr>
          <w:rFonts w:ascii="Open Sans" w:hAnsi="Open Sans" w:cs="Open Sans"/>
        </w:rPr>
        <w:t xml:space="preserve">days of blood pressure monitoring </w:t>
      </w:r>
      <w:r w:rsidR="0070546C">
        <w:rPr>
          <w:rFonts w:ascii="Open Sans" w:hAnsi="Open Sans" w:cs="Open Sans"/>
        </w:rPr>
        <w:t xml:space="preserve">was completed </w:t>
      </w:r>
      <w:r w:rsidR="00FC1448">
        <w:rPr>
          <w:rFonts w:ascii="Open Sans" w:hAnsi="Open Sans" w:cs="Open Sans"/>
        </w:rPr>
        <w:t>with 1 day of sitting and standing blood pressure monito</w:t>
      </w:r>
      <w:r w:rsidR="00A220F0">
        <w:rPr>
          <w:rFonts w:ascii="Open Sans" w:hAnsi="Open Sans" w:cs="Open Sans"/>
        </w:rPr>
        <w:t xml:space="preserve">ring. There is insufficient evidence in the provider’s response to </w:t>
      </w:r>
      <w:r w:rsidR="0080337B">
        <w:rPr>
          <w:rFonts w:ascii="Open Sans" w:hAnsi="Open Sans" w:cs="Open Sans"/>
        </w:rPr>
        <w:t>substantiate blood pressure monitoring was aligned with expected clinical practice guidelines</w:t>
      </w:r>
      <w:r w:rsidR="00722314">
        <w:rPr>
          <w:rFonts w:ascii="Open Sans" w:hAnsi="Open Sans" w:cs="Open Sans"/>
        </w:rPr>
        <w:t xml:space="preserve"> or in line with medical officer orders. </w:t>
      </w:r>
      <w:r w:rsidR="0096616F">
        <w:rPr>
          <w:rFonts w:ascii="Open Sans" w:hAnsi="Open Sans" w:cs="Open Sans"/>
        </w:rPr>
        <w:t>Notably, in the provider’s response, I was directed to review an email</w:t>
      </w:r>
      <w:r w:rsidR="002F5C34">
        <w:rPr>
          <w:rFonts w:ascii="Open Sans" w:hAnsi="Open Sans" w:cs="Open Sans"/>
        </w:rPr>
        <w:t xml:space="preserve"> regarding the </w:t>
      </w:r>
      <w:r w:rsidR="00601143">
        <w:rPr>
          <w:rFonts w:ascii="Open Sans" w:hAnsi="Open Sans" w:cs="Open Sans"/>
        </w:rPr>
        <w:t>monitoring</w:t>
      </w:r>
      <w:r w:rsidR="002F5C34">
        <w:rPr>
          <w:rFonts w:ascii="Open Sans" w:hAnsi="Open Sans" w:cs="Open Sans"/>
        </w:rPr>
        <w:t xml:space="preserve"> of the consumer’s blood pressure. However, </w:t>
      </w:r>
      <w:r w:rsidR="00B32D61">
        <w:rPr>
          <w:rFonts w:ascii="Open Sans" w:hAnsi="Open Sans" w:cs="Open Sans"/>
        </w:rPr>
        <w:t xml:space="preserve">the document with the email </w:t>
      </w:r>
      <w:r w:rsidR="002F5C34">
        <w:rPr>
          <w:rFonts w:ascii="Open Sans" w:hAnsi="Open Sans" w:cs="Open Sans"/>
        </w:rPr>
        <w:t>i</w:t>
      </w:r>
      <w:r w:rsidR="008B0A48">
        <w:rPr>
          <w:rFonts w:ascii="Open Sans" w:hAnsi="Open Sans" w:cs="Open Sans"/>
        </w:rPr>
        <w:t xml:space="preserve">s not </w:t>
      </w:r>
      <w:r w:rsidR="008B0A48">
        <w:rPr>
          <w:rFonts w:ascii="Open Sans" w:hAnsi="Open Sans" w:cs="Open Sans"/>
        </w:rPr>
        <w:lastRenderedPageBreak/>
        <w:t xml:space="preserve">obvious </w:t>
      </w:r>
      <w:r w:rsidR="004812D3">
        <w:rPr>
          <w:rFonts w:ascii="Open Sans" w:hAnsi="Open Sans" w:cs="Open Sans"/>
        </w:rPr>
        <w:t>in the attached fi</w:t>
      </w:r>
      <w:r w:rsidR="00601143">
        <w:rPr>
          <w:rFonts w:ascii="Open Sans" w:hAnsi="Open Sans" w:cs="Open Sans"/>
        </w:rPr>
        <w:t>les</w:t>
      </w:r>
      <w:r w:rsidR="00E029E6">
        <w:rPr>
          <w:rFonts w:ascii="Open Sans" w:hAnsi="Open Sans" w:cs="Open Sans"/>
        </w:rPr>
        <w:t xml:space="preserve">. The file was unable to be </w:t>
      </w:r>
      <w:r w:rsidR="00865209">
        <w:rPr>
          <w:rFonts w:ascii="Open Sans" w:hAnsi="Open Sans" w:cs="Open Sans"/>
        </w:rPr>
        <w:t xml:space="preserve">identified and located to be considered </w:t>
      </w:r>
      <w:r w:rsidR="00C34F6E">
        <w:rPr>
          <w:rFonts w:ascii="Open Sans" w:hAnsi="Open Sans" w:cs="Open Sans"/>
        </w:rPr>
        <w:t xml:space="preserve">as </w:t>
      </w:r>
      <w:r w:rsidR="008B0A48">
        <w:rPr>
          <w:rFonts w:ascii="Open Sans" w:hAnsi="Open Sans" w:cs="Open Sans"/>
        </w:rPr>
        <w:t xml:space="preserve">evidence </w:t>
      </w:r>
      <w:r w:rsidR="004812D3">
        <w:rPr>
          <w:rFonts w:ascii="Open Sans" w:hAnsi="Open Sans" w:cs="Open Sans"/>
        </w:rPr>
        <w:t xml:space="preserve">for </w:t>
      </w:r>
      <w:r w:rsidR="00C34F6E">
        <w:rPr>
          <w:rFonts w:ascii="Open Sans" w:hAnsi="Open Sans" w:cs="Open Sans"/>
        </w:rPr>
        <w:t>analysis</w:t>
      </w:r>
      <w:r w:rsidR="004812D3">
        <w:rPr>
          <w:rFonts w:ascii="Open Sans" w:hAnsi="Open Sans" w:cs="Open Sans"/>
        </w:rPr>
        <w:t xml:space="preserve">. </w:t>
      </w:r>
    </w:p>
    <w:p w14:paraId="34B83D66" w14:textId="1548FFF7" w:rsidR="00497E9F" w:rsidRPr="00067968" w:rsidRDefault="00497E9F" w:rsidP="00974E84">
      <w:pPr>
        <w:pStyle w:val="NormalArial"/>
        <w:spacing w:line="276" w:lineRule="auto"/>
        <w:rPr>
          <w:rFonts w:ascii="Open Sans" w:hAnsi="Open Sans" w:cs="Open Sans"/>
        </w:rPr>
      </w:pPr>
      <w:r>
        <w:rPr>
          <w:rFonts w:ascii="Open Sans" w:hAnsi="Open Sans" w:cs="Open Sans"/>
        </w:rPr>
        <w:t xml:space="preserve">In relation to warfarin management for one consumer, </w:t>
      </w:r>
      <w:r w:rsidR="008C28D4">
        <w:rPr>
          <w:rFonts w:ascii="Open Sans" w:hAnsi="Open Sans" w:cs="Open Sans"/>
        </w:rPr>
        <w:t xml:space="preserve">the service did not demonstrate </w:t>
      </w:r>
      <w:r w:rsidR="00367CF2">
        <w:rPr>
          <w:rFonts w:ascii="Open Sans" w:hAnsi="Open Sans" w:cs="Open Sans"/>
        </w:rPr>
        <w:t>expected</w:t>
      </w:r>
      <w:r w:rsidR="008C28D4">
        <w:rPr>
          <w:rFonts w:ascii="Open Sans" w:hAnsi="Open Sans" w:cs="Open Sans"/>
        </w:rPr>
        <w:t xml:space="preserve"> clinical best practice management of warfarin therapy. </w:t>
      </w:r>
      <w:r w:rsidR="00575F96">
        <w:rPr>
          <w:rFonts w:ascii="Open Sans" w:hAnsi="Open Sans" w:cs="Open Sans"/>
        </w:rPr>
        <w:t>The service was unable to demonstrate completed risk assessments for self-</w:t>
      </w:r>
      <w:r w:rsidR="00367CF2">
        <w:rPr>
          <w:rFonts w:ascii="Open Sans" w:hAnsi="Open Sans" w:cs="Open Sans"/>
        </w:rPr>
        <w:t>administration</w:t>
      </w:r>
      <w:r w:rsidR="00575F96">
        <w:rPr>
          <w:rFonts w:ascii="Open Sans" w:hAnsi="Open Sans" w:cs="Open Sans"/>
        </w:rPr>
        <w:t xml:space="preserve"> of warfarin and INR moni</w:t>
      </w:r>
      <w:r w:rsidR="001D65D4">
        <w:rPr>
          <w:rFonts w:ascii="Open Sans" w:hAnsi="Open Sans" w:cs="Open Sans"/>
        </w:rPr>
        <w:t xml:space="preserve">toring. Staff were unable to demonstrate </w:t>
      </w:r>
      <w:r w:rsidR="0048756E">
        <w:rPr>
          <w:rFonts w:ascii="Open Sans" w:hAnsi="Open Sans" w:cs="Open Sans"/>
        </w:rPr>
        <w:t xml:space="preserve">clinical oversight of warfarin dosing and INR pathology results. </w:t>
      </w:r>
      <w:r w:rsidR="00CF7573">
        <w:rPr>
          <w:rFonts w:ascii="Open Sans" w:hAnsi="Open Sans" w:cs="Open Sans"/>
        </w:rPr>
        <w:t>In the provider’s response, management have completed a validated risk assessment</w:t>
      </w:r>
      <w:r w:rsidR="00E31282">
        <w:rPr>
          <w:rFonts w:ascii="Open Sans" w:hAnsi="Open Sans" w:cs="Open Sans"/>
        </w:rPr>
        <w:t xml:space="preserve"> for </w:t>
      </w:r>
      <w:r w:rsidR="00367CF2">
        <w:rPr>
          <w:rFonts w:ascii="Open Sans" w:hAnsi="Open Sans" w:cs="Open Sans"/>
        </w:rPr>
        <w:t>self-administration</w:t>
      </w:r>
      <w:r w:rsidR="00E31282">
        <w:rPr>
          <w:rFonts w:ascii="Open Sans" w:hAnsi="Open Sans" w:cs="Open Sans"/>
        </w:rPr>
        <w:t xml:space="preserve">. </w:t>
      </w:r>
      <w:r w:rsidR="00517ECE">
        <w:rPr>
          <w:rFonts w:ascii="Open Sans" w:hAnsi="Open Sans" w:cs="Open Sans"/>
        </w:rPr>
        <w:t>In the provider’s response, I have</w:t>
      </w:r>
      <w:r w:rsidR="00C20A49">
        <w:rPr>
          <w:rFonts w:ascii="Open Sans" w:hAnsi="Open Sans" w:cs="Open Sans"/>
        </w:rPr>
        <w:t xml:space="preserve"> review</w:t>
      </w:r>
      <w:r w:rsidR="00517ECE">
        <w:rPr>
          <w:rFonts w:ascii="Open Sans" w:hAnsi="Open Sans" w:cs="Open Sans"/>
        </w:rPr>
        <w:t>ed</w:t>
      </w:r>
      <w:r w:rsidR="00C20A49">
        <w:rPr>
          <w:rFonts w:ascii="Open Sans" w:hAnsi="Open Sans" w:cs="Open Sans"/>
        </w:rPr>
        <w:t xml:space="preserve"> the </w:t>
      </w:r>
      <w:r w:rsidR="0083469A">
        <w:rPr>
          <w:rFonts w:ascii="Open Sans" w:hAnsi="Open Sans" w:cs="Open Sans"/>
        </w:rPr>
        <w:t xml:space="preserve">‘supporting medication risk assessment’ </w:t>
      </w:r>
      <w:r w:rsidR="007E7615">
        <w:rPr>
          <w:rFonts w:ascii="Open Sans" w:hAnsi="Open Sans" w:cs="Open Sans"/>
        </w:rPr>
        <w:t xml:space="preserve">document as </w:t>
      </w:r>
      <w:r w:rsidR="0083469A">
        <w:rPr>
          <w:rFonts w:ascii="Open Sans" w:hAnsi="Open Sans" w:cs="Open Sans"/>
        </w:rPr>
        <w:t>evidence</w:t>
      </w:r>
      <w:r w:rsidR="007E7615">
        <w:rPr>
          <w:rFonts w:ascii="Open Sans" w:hAnsi="Open Sans" w:cs="Open Sans"/>
        </w:rPr>
        <w:t xml:space="preserve"> of</w:t>
      </w:r>
      <w:r w:rsidR="0083469A">
        <w:rPr>
          <w:rFonts w:ascii="Open Sans" w:hAnsi="Open Sans" w:cs="Open Sans"/>
        </w:rPr>
        <w:t xml:space="preserve"> a completed </w:t>
      </w:r>
      <w:r w:rsidR="00376733">
        <w:rPr>
          <w:rFonts w:ascii="Open Sans" w:hAnsi="Open Sans" w:cs="Open Sans"/>
        </w:rPr>
        <w:t xml:space="preserve">self-administration </w:t>
      </w:r>
      <w:r w:rsidR="0083469A">
        <w:rPr>
          <w:rFonts w:ascii="Open Sans" w:hAnsi="Open Sans" w:cs="Open Sans"/>
        </w:rPr>
        <w:t xml:space="preserve">risk assessment in consultation with the </w:t>
      </w:r>
      <w:r w:rsidR="00AE7F45">
        <w:rPr>
          <w:rFonts w:ascii="Open Sans" w:hAnsi="Open Sans" w:cs="Open Sans"/>
        </w:rPr>
        <w:t xml:space="preserve">consumer, </w:t>
      </w:r>
      <w:r w:rsidR="0083469A">
        <w:rPr>
          <w:rFonts w:ascii="Open Sans" w:hAnsi="Open Sans" w:cs="Open Sans"/>
        </w:rPr>
        <w:t xml:space="preserve">medical officer and </w:t>
      </w:r>
      <w:r w:rsidR="00AE7F45">
        <w:rPr>
          <w:rFonts w:ascii="Open Sans" w:hAnsi="Open Sans" w:cs="Open Sans"/>
        </w:rPr>
        <w:t xml:space="preserve">daughter. </w:t>
      </w:r>
      <w:r w:rsidR="00020838">
        <w:rPr>
          <w:rFonts w:ascii="Open Sans" w:hAnsi="Open Sans" w:cs="Open Sans"/>
        </w:rPr>
        <w:t xml:space="preserve">There is </w:t>
      </w:r>
      <w:r w:rsidR="007E7615">
        <w:rPr>
          <w:rFonts w:ascii="Open Sans" w:hAnsi="Open Sans" w:cs="Open Sans"/>
        </w:rPr>
        <w:t xml:space="preserve">also </w:t>
      </w:r>
      <w:r w:rsidR="00020838">
        <w:rPr>
          <w:rFonts w:ascii="Open Sans" w:hAnsi="Open Sans" w:cs="Open Sans"/>
        </w:rPr>
        <w:t>evidence of</w:t>
      </w:r>
      <w:r w:rsidR="007E7615">
        <w:rPr>
          <w:rFonts w:ascii="Open Sans" w:hAnsi="Open Sans" w:cs="Open Sans"/>
        </w:rPr>
        <w:t xml:space="preserve"> an</w:t>
      </w:r>
      <w:r w:rsidR="00020838">
        <w:rPr>
          <w:rFonts w:ascii="Open Sans" w:hAnsi="Open Sans" w:cs="Open Sans"/>
        </w:rPr>
        <w:t xml:space="preserve"> </w:t>
      </w:r>
      <w:r w:rsidR="001E5369">
        <w:rPr>
          <w:rFonts w:ascii="Open Sans" w:hAnsi="Open Sans" w:cs="Open Sans"/>
        </w:rPr>
        <w:t>‘</w:t>
      </w:r>
      <w:r w:rsidR="00020838">
        <w:rPr>
          <w:rFonts w:ascii="Open Sans" w:hAnsi="Open Sans" w:cs="Open Sans"/>
        </w:rPr>
        <w:t xml:space="preserve">INR good </w:t>
      </w:r>
      <w:r w:rsidR="0040115F">
        <w:rPr>
          <w:rFonts w:ascii="Open Sans" w:hAnsi="Open Sans" w:cs="Open Sans"/>
        </w:rPr>
        <w:t>monitoring</w:t>
      </w:r>
      <w:r w:rsidR="00020838">
        <w:rPr>
          <w:rFonts w:ascii="Open Sans" w:hAnsi="Open Sans" w:cs="Open Sans"/>
        </w:rPr>
        <w:t xml:space="preserve"> practices</w:t>
      </w:r>
      <w:r w:rsidR="001E5369">
        <w:rPr>
          <w:rFonts w:ascii="Open Sans" w:hAnsi="Open Sans" w:cs="Open Sans"/>
        </w:rPr>
        <w:t>’</w:t>
      </w:r>
      <w:r w:rsidR="006E4CFE">
        <w:rPr>
          <w:rFonts w:ascii="Open Sans" w:hAnsi="Open Sans" w:cs="Open Sans"/>
        </w:rPr>
        <w:t xml:space="preserve"> document in the risk assessment</w:t>
      </w:r>
      <w:r w:rsidR="00020838">
        <w:rPr>
          <w:rFonts w:ascii="Open Sans" w:hAnsi="Open Sans" w:cs="Open Sans"/>
        </w:rPr>
        <w:t xml:space="preserve">, however, the provider stops short </w:t>
      </w:r>
      <w:r w:rsidR="00640ED9">
        <w:rPr>
          <w:rFonts w:ascii="Open Sans" w:hAnsi="Open Sans" w:cs="Open Sans"/>
        </w:rPr>
        <w:t xml:space="preserve">in providing evidence of how, when and who will be </w:t>
      </w:r>
      <w:r w:rsidR="00F74673">
        <w:rPr>
          <w:rFonts w:ascii="Open Sans" w:hAnsi="Open Sans" w:cs="Open Sans"/>
        </w:rPr>
        <w:t>monitoring the consumer’s INR</w:t>
      </w:r>
      <w:r w:rsidR="00245A05">
        <w:rPr>
          <w:rFonts w:ascii="Open Sans" w:hAnsi="Open Sans" w:cs="Open Sans"/>
        </w:rPr>
        <w:t xml:space="preserve"> moving forward</w:t>
      </w:r>
      <w:r w:rsidR="00F74673">
        <w:rPr>
          <w:rFonts w:ascii="Open Sans" w:hAnsi="Open Sans" w:cs="Open Sans"/>
        </w:rPr>
        <w:t xml:space="preserve">. </w:t>
      </w:r>
      <w:r w:rsidR="006E4CFE">
        <w:rPr>
          <w:rFonts w:ascii="Open Sans" w:hAnsi="Open Sans" w:cs="Open Sans"/>
        </w:rPr>
        <w:t xml:space="preserve">There is insufficient evidence </w:t>
      </w:r>
      <w:r w:rsidR="00E865E4">
        <w:rPr>
          <w:rFonts w:ascii="Open Sans" w:hAnsi="Open Sans" w:cs="Open Sans"/>
        </w:rPr>
        <w:t xml:space="preserve">brought forward by the provider </w:t>
      </w:r>
      <w:r w:rsidR="006E4CFE">
        <w:rPr>
          <w:rFonts w:ascii="Open Sans" w:hAnsi="Open Sans" w:cs="Open Sans"/>
        </w:rPr>
        <w:t xml:space="preserve">to </w:t>
      </w:r>
      <w:r w:rsidR="0040115F">
        <w:rPr>
          <w:rFonts w:ascii="Open Sans" w:hAnsi="Open Sans" w:cs="Open Sans"/>
        </w:rPr>
        <w:t>support this is being managed in line with expected clinical best practice.</w:t>
      </w:r>
    </w:p>
    <w:p w14:paraId="26EE4BE9" w14:textId="70A24C26" w:rsidR="00891C06" w:rsidRDefault="008A5F25" w:rsidP="00974E84">
      <w:pPr>
        <w:pStyle w:val="NormalArial"/>
        <w:spacing w:line="276" w:lineRule="auto"/>
        <w:rPr>
          <w:rFonts w:ascii="Open Sans" w:hAnsi="Open Sans" w:cs="Open Sans"/>
        </w:rPr>
      </w:pPr>
      <w:r>
        <w:rPr>
          <w:rFonts w:ascii="Open Sans" w:hAnsi="Open Sans" w:cs="Open Sans"/>
        </w:rPr>
        <w:t>In reaching this decision, I have undertaken a comprehensive evaluation of all evidence presented for consideration. I have applied a weight-of-evidence approach, giving due regard to the probative value, reliability and relevance of each source of material. This evaluative process has informed and substantiated the regulatory decision herein.</w:t>
      </w:r>
      <w:r w:rsidR="000B3007">
        <w:rPr>
          <w:rFonts w:ascii="Open Sans" w:hAnsi="Open Sans" w:cs="Open Sans"/>
        </w:rPr>
        <w:t xml:space="preserve"> I</w:t>
      </w:r>
      <w:r w:rsidR="000B3007" w:rsidRPr="00CF3B64">
        <w:rPr>
          <w:rFonts w:ascii="Open Sans" w:hAnsi="Open Sans" w:cs="Open Sans"/>
        </w:rPr>
        <w:t xml:space="preserve"> acknowledge actions taken by the provider to address deficits identified for consumers highlighted in the Assessment Team’s report. However, the issues have not been identified by the organisation’s own processes</w:t>
      </w:r>
      <w:r w:rsidR="000B3007">
        <w:rPr>
          <w:rFonts w:ascii="Open Sans" w:hAnsi="Open Sans" w:cs="Open Sans"/>
        </w:rPr>
        <w:t xml:space="preserve">. </w:t>
      </w:r>
      <w:r w:rsidR="00804FBC">
        <w:rPr>
          <w:rFonts w:ascii="Open Sans" w:hAnsi="Open Sans" w:cs="Open Sans"/>
        </w:rPr>
        <w:t xml:space="preserve">I am not satisfied the provider </w:t>
      </w:r>
      <w:r w:rsidR="00C94C1D">
        <w:rPr>
          <w:rFonts w:ascii="Open Sans" w:hAnsi="Open Sans" w:cs="Open Sans"/>
        </w:rPr>
        <w:t>understands</w:t>
      </w:r>
      <w:r w:rsidR="00F32FA0">
        <w:rPr>
          <w:rFonts w:ascii="Open Sans" w:hAnsi="Open Sans" w:cs="Open Sans"/>
        </w:rPr>
        <w:t xml:space="preserve"> their obligations under the Quality of Care Principles and Aged Care Quality Standards</w:t>
      </w:r>
      <w:r w:rsidR="00C94C1D">
        <w:rPr>
          <w:rFonts w:ascii="Open Sans" w:hAnsi="Open Sans" w:cs="Open Sans"/>
        </w:rPr>
        <w:t xml:space="preserve"> in relation to expected clinical </w:t>
      </w:r>
      <w:r w:rsidR="00F66467">
        <w:rPr>
          <w:rFonts w:ascii="Open Sans" w:hAnsi="Open Sans" w:cs="Open Sans"/>
        </w:rPr>
        <w:t xml:space="preserve">best </w:t>
      </w:r>
      <w:r w:rsidR="00C94C1D">
        <w:rPr>
          <w:rFonts w:ascii="Open Sans" w:hAnsi="Open Sans" w:cs="Open Sans"/>
        </w:rPr>
        <w:t xml:space="preserve">practice management of </w:t>
      </w:r>
      <w:r w:rsidR="00497E9F">
        <w:rPr>
          <w:rFonts w:ascii="Open Sans" w:hAnsi="Open Sans" w:cs="Open Sans"/>
        </w:rPr>
        <w:t>restrictive practice</w:t>
      </w:r>
      <w:r w:rsidR="00F66467">
        <w:rPr>
          <w:rFonts w:ascii="Open Sans" w:hAnsi="Open Sans" w:cs="Open Sans"/>
        </w:rPr>
        <w:t>s</w:t>
      </w:r>
      <w:r w:rsidR="00497E9F">
        <w:rPr>
          <w:rFonts w:ascii="Open Sans" w:hAnsi="Open Sans" w:cs="Open Sans"/>
        </w:rPr>
        <w:t>,</w:t>
      </w:r>
      <w:r w:rsidR="00F66467">
        <w:rPr>
          <w:rFonts w:ascii="Open Sans" w:hAnsi="Open Sans" w:cs="Open Sans"/>
        </w:rPr>
        <w:t xml:space="preserve"> </w:t>
      </w:r>
      <w:r w:rsidR="007D441F">
        <w:rPr>
          <w:rFonts w:ascii="Open Sans" w:hAnsi="Open Sans" w:cs="Open Sans"/>
        </w:rPr>
        <w:t xml:space="preserve">behaviour support, </w:t>
      </w:r>
      <w:r w:rsidR="00B64D03">
        <w:rPr>
          <w:rFonts w:ascii="Open Sans" w:hAnsi="Open Sans" w:cs="Open Sans"/>
        </w:rPr>
        <w:t xml:space="preserve">unplanned weight loss, dysphagia, </w:t>
      </w:r>
      <w:r w:rsidR="007048F2">
        <w:rPr>
          <w:rFonts w:ascii="Open Sans" w:hAnsi="Open Sans" w:cs="Open Sans"/>
        </w:rPr>
        <w:t>wound</w:t>
      </w:r>
      <w:r w:rsidR="007370A2">
        <w:rPr>
          <w:rFonts w:ascii="Open Sans" w:hAnsi="Open Sans" w:cs="Open Sans"/>
        </w:rPr>
        <w:t>s</w:t>
      </w:r>
      <w:r w:rsidR="007048F2">
        <w:rPr>
          <w:rFonts w:ascii="Open Sans" w:hAnsi="Open Sans" w:cs="Open Sans"/>
        </w:rPr>
        <w:t xml:space="preserve">/pressure injuries, </w:t>
      </w:r>
      <w:r w:rsidR="0037435C">
        <w:rPr>
          <w:rFonts w:ascii="Open Sans" w:hAnsi="Open Sans" w:cs="Open Sans"/>
        </w:rPr>
        <w:t xml:space="preserve">fluid </w:t>
      </w:r>
      <w:r w:rsidR="007D441F">
        <w:rPr>
          <w:rFonts w:ascii="Open Sans" w:hAnsi="Open Sans" w:cs="Open Sans"/>
        </w:rPr>
        <w:t>intake, hemodynamic monitoring and</w:t>
      </w:r>
      <w:r w:rsidR="0037435C">
        <w:rPr>
          <w:rFonts w:ascii="Open Sans" w:hAnsi="Open Sans" w:cs="Open Sans"/>
        </w:rPr>
        <w:t xml:space="preserve"> </w:t>
      </w:r>
      <w:r w:rsidR="00765097">
        <w:rPr>
          <w:rFonts w:ascii="Open Sans" w:hAnsi="Open Sans" w:cs="Open Sans"/>
        </w:rPr>
        <w:t>medicati</w:t>
      </w:r>
      <w:r w:rsidR="007370A2">
        <w:rPr>
          <w:rFonts w:ascii="Open Sans" w:hAnsi="Open Sans" w:cs="Open Sans"/>
        </w:rPr>
        <w:t>on self-administration</w:t>
      </w:r>
      <w:r w:rsidR="00F32FA0">
        <w:rPr>
          <w:rFonts w:ascii="Open Sans" w:hAnsi="Open Sans" w:cs="Open Sans"/>
        </w:rPr>
        <w:t xml:space="preserve">. </w:t>
      </w:r>
    </w:p>
    <w:p w14:paraId="2E98D7DE" w14:textId="7AADAD23" w:rsidR="000B3007" w:rsidRPr="00CF3B64" w:rsidRDefault="000B3007" w:rsidP="00974E84">
      <w:pPr>
        <w:pStyle w:val="NormalArial"/>
        <w:spacing w:line="276" w:lineRule="auto"/>
        <w:rPr>
          <w:rFonts w:ascii="Open Sans" w:hAnsi="Open Sans" w:cs="Open Sans"/>
        </w:rPr>
      </w:pPr>
      <w:r>
        <w:rPr>
          <w:rFonts w:ascii="Open Sans" w:hAnsi="Open Sans" w:cs="Open Sans"/>
        </w:rPr>
        <w:t>Although the pl</w:t>
      </w:r>
      <w:r w:rsidRPr="00CF3B64">
        <w:rPr>
          <w:rFonts w:ascii="Open Sans" w:hAnsi="Open Sans" w:cs="Open Sans"/>
        </w:rPr>
        <w:t xml:space="preserve">an for continuous improvement (PCI) </w:t>
      </w:r>
      <w:r>
        <w:rPr>
          <w:rFonts w:ascii="Open Sans" w:hAnsi="Open Sans" w:cs="Open Sans"/>
        </w:rPr>
        <w:t>contains tangible planned actions specific to this requirement,</w:t>
      </w:r>
      <w:r w:rsidR="009D6C01">
        <w:rPr>
          <w:rFonts w:ascii="Open Sans" w:hAnsi="Open Sans" w:cs="Open Sans"/>
        </w:rPr>
        <w:t xml:space="preserve"> I have placed weight on the evidence the provider has been non-compliant </w:t>
      </w:r>
      <w:r w:rsidR="000F3FA2">
        <w:rPr>
          <w:rFonts w:ascii="Open Sans" w:hAnsi="Open Sans" w:cs="Open Sans"/>
        </w:rPr>
        <w:t xml:space="preserve">with Requirement 3(3)(a) </w:t>
      </w:r>
      <w:r w:rsidR="009D6C01">
        <w:rPr>
          <w:rFonts w:ascii="Open Sans" w:hAnsi="Open Sans" w:cs="Open Sans"/>
        </w:rPr>
        <w:t>since January 2025</w:t>
      </w:r>
      <w:r w:rsidR="001A462F">
        <w:rPr>
          <w:rFonts w:ascii="Open Sans" w:hAnsi="Open Sans" w:cs="Open Sans"/>
        </w:rPr>
        <w:t xml:space="preserve">. </w:t>
      </w:r>
      <w:r w:rsidR="00842848">
        <w:rPr>
          <w:rFonts w:ascii="Open Sans" w:hAnsi="Open Sans" w:cs="Open Sans"/>
        </w:rPr>
        <w:t xml:space="preserve">I have considered </w:t>
      </w:r>
      <w:r>
        <w:rPr>
          <w:rFonts w:ascii="Open Sans" w:hAnsi="Open Sans" w:cs="Open Sans"/>
        </w:rPr>
        <w:t>the service</w:t>
      </w:r>
      <w:r w:rsidR="00EE2DB5">
        <w:rPr>
          <w:rFonts w:ascii="Open Sans" w:hAnsi="Open Sans" w:cs="Open Sans"/>
        </w:rPr>
        <w:t>’s approach to ameliorating the</w:t>
      </w:r>
      <w:r w:rsidR="00F11806">
        <w:rPr>
          <w:rFonts w:ascii="Open Sans" w:hAnsi="Open Sans" w:cs="Open Sans"/>
        </w:rPr>
        <w:t xml:space="preserve"> deficits and I consider the service</w:t>
      </w:r>
      <w:r>
        <w:rPr>
          <w:rFonts w:ascii="Open Sans" w:hAnsi="Open Sans" w:cs="Open Sans"/>
        </w:rPr>
        <w:t xml:space="preserve"> </w:t>
      </w:r>
      <w:r w:rsidR="00F11806">
        <w:rPr>
          <w:rFonts w:ascii="Open Sans" w:hAnsi="Open Sans" w:cs="Open Sans"/>
        </w:rPr>
        <w:t xml:space="preserve">to have </w:t>
      </w:r>
      <w:r>
        <w:rPr>
          <w:rFonts w:ascii="Open Sans" w:hAnsi="Open Sans" w:cs="Open Sans"/>
        </w:rPr>
        <w:t>taken a reactionary approach</w:t>
      </w:r>
      <w:r w:rsidR="0067406F">
        <w:rPr>
          <w:rFonts w:ascii="Open Sans" w:hAnsi="Open Sans" w:cs="Open Sans"/>
        </w:rPr>
        <w:t>. I am not satisfied the provider</w:t>
      </w:r>
      <w:r w:rsidR="00891336">
        <w:rPr>
          <w:rFonts w:ascii="Open Sans" w:hAnsi="Open Sans" w:cs="Open Sans"/>
        </w:rPr>
        <w:t xml:space="preserve">’s </w:t>
      </w:r>
      <w:r w:rsidR="00F11806">
        <w:rPr>
          <w:rFonts w:ascii="Open Sans" w:hAnsi="Open Sans" w:cs="Open Sans"/>
        </w:rPr>
        <w:t>evidence sufficiently satisf</w:t>
      </w:r>
      <w:r w:rsidR="00723D6A">
        <w:rPr>
          <w:rFonts w:ascii="Open Sans" w:hAnsi="Open Sans" w:cs="Open Sans"/>
        </w:rPr>
        <w:t>ies</w:t>
      </w:r>
      <w:r w:rsidR="00F11806">
        <w:rPr>
          <w:rFonts w:ascii="Open Sans" w:hAnsi="Open Sans" w:cs="Open Sans"/>
        </w:rPr>
        <w:t xml:space="preserve"> the </w:t>
      </w:r>
      <w:r w:rsidR="00904C90">
        <w:rPr>
          <w:rFonts w:ascii="Open Sans" w:hAnsi="Open Sans" w:cs="Open Sans"/>
        </w:rPr>
        <w:t>Commission</w:t>
      </w:r>
      <w:r w:rsidR="00003D9B">
        <w:rPr>
          <w:rFonts w:ascii="Open Sans" w:hAnsi="Open Sans" w:cs="Open Sans"/>
        </w:rPr>
        <w:t xml:space="preserve"> that </w:t>
      </w:r>
      <w:r w:rsidR="00EA2986">
        <w:rPr>
          <w:rFonts w:ascii="Open Sans" w:hAnsi="Open Sans" w:cs="Open Sans"/>
        </w:rPr>
        <w:t>the provider</w:t>
      </w:r>
      <w:r w:rsidR="000E7A9B">
        <w:rPr>
          <w:rFonts w:ascii="Open Sans" w:hAnsi="Open Sans" w:cs="Open Sans"/>
        </w:rPr>
        <w:t xml:space="preserve"> </w:t>
      </w:r>
      <w:r w:rsidR="00005A41">
        <w:rPr>
          <w:rFonts w:ascii="Open Sans" w:hAnsi="Open Sans" w:cs="Open Sans"/>
        </w:rPr>
        <w:t xml:space="preserve">has had time to </w:t>
      </w:r>
      <w:r w:rsidR="000E7A9B">
        <w:rPr>
          <w:rFonts w:ascii="Open Sans" w:hAnsi="Open Sans" w:cs="Open Sans"/>
        </w:rPr>
        <w:t xml:space="preserve">embed </w:t>
      </w:r>
      <w:r w:rsidR="000A1FAC">
        <w:rPr>
          <w:rFonts w:ascii="Open Sans" w:hAnsi="Open Sans" w:cs="Open Sans"/>
        </w:rPr>
        <w:t xml:space="preserve">improved clinical oversight principles, </w:t>
      </w:r>
      <w:r>
        <w:rPr>
          <w:rFonts w:ascii="Open Sans" w:hAnsi="Open Sans" w:cs="Open Sans"/>
        </w:rPr>
        <w:t xml:space="preserve">systems and </w:t>
      </w:r>
      <w:r>
        <w:rPr>
          <w:rFonts w:ascii="Open Sans" w:hAnsi="Open Sans" w:cs="Open Sans"/>
        </w:rPr>
        <w:lastRenderedPageBreak/>
        <w:t xml:space="preserve">processes. </w:t>
      </w:r>
      <w:r w:rsidR="00AB1F97">
        <w:rPr>
          <w:rFonts w:ascii="Open Sans" w:hAnsi="Open Sans" w:cs="Open Sans"/>
        </w:rPr>
        <w:t xml:space="preserve">I have considered whether it is more probable than not, based on the totality of evidence available, that the provider has not demonstrated compliance with Requirement </w:t>
      </w:r>
      <w:r w:rsidR="00FA70F5">
        <w:rPr>
          <w:rFonts w:ascii="Open Sans" w:hAnsi="Open Sans" w:cs="Open Sans"/>
        </w:rPr>
        <w:t>3</w:t>
      </w:r>
      <w:r w:rsidR="00AB1F97">
        <w:rPr>
          <w:rFonts w:ascii="Open Sans" w:hAnsi="Open Sans" w:cs="Open Sans"/>
        </w:rPr>
        <w:t>(3)(a). I have placed weight on the reliability, cogency and probative value of all evidence before me</w:t>
      </w:r>
      <w:r w:rsidR="005D1F0D">
        <w:rPr>
          <w:rFonts w:ascii="Open Sans" w:hAnsi="Open Sans" w:cs="Open Sans"/>
        </w:rPr>
        <w:t xml:space="preserve"> and</w:t>
      </w:r>
      <w:r w:rsidR="00AB1F97">
        <w:rPr>
          <w:rFonts w:ascii="Open Sans" w:hAnsi="Open Sans" w:cs="Open Sans"/>
        </w:rPr>
        <w:t xml:space="preserve"> I am satisfied that the threshold has been met to support a finding on non-compliance.</w:t>
      </w:r>
    </w:p>
    <w:p w14:paraId="1C88A109" w14:textId="4815786A" w:rsidR="00C74695" w:rsidRDefault="000B3007" w:rsidP="00974E84">
      <w:pPr>
        <w:pStyle w:val="NormalArial"/>
        <w:spacing w:line="276" w:lineRule="auto"/>
        <w:rPr>
          <w:rFonts w:ascii="Open Sans" w:hAnsi="Open Sans" w:cs="Open Sans"/>
        </w:rPr>
      </w:pPr>
      <w:r w:rsidRPr="00CF3B64">
        <w:rPr>
          <w:rFonts w:ascii="Open Sans" w:hAnsi="Open Sans" w:cs="Open Sans"/>
        </w:rPr>
        <w:t xml:space="preserve">For the reasons detailed above, I find requirement </w:t>
      </w:r>
      <w:r w:rsidR="00A31CD8">
        <w:rPr>
          <w:rFonts w:ascii="Open Sans" w:hAnsi="Open Sans" w:cs="Open Sans"/>
        </w:rPr>
        <w:t>3</w:t>
      </w:r>
      <w:r w:rsidRPr="00CF3B64">
        <w:rPr>
          <w:rFonts w:ascii="Open Sans" w:hAnsi="Open Sans" w:cs="Open Sans"/>
        </w:rPr>
        <w:t>(3)(a) non-compliant</w:t>
      </w:r>
      <w:r w:rsidR="001A462F" w:rsidRPr="00CF3B64">
        <w:rPr>
          <w:rFonts w:ascii="Open Sans" w:hAnsi="Open Sans" w:cs="Open Sans"/>
        </w:rPr>
        <w:t xml:space="preserve">. </w:t>
      </w:r>
    </w:p>
    <w:p w14:paraId="1CFCC76B" w14:textId="4D1BBB2F" w:rsidR="00B00AE1" w:rsidRDefault="00612794" w:rsidP="00974E84">
      <w:pPr>
        <w:pStyle w:val="NormalArial"/>
        <w:spacing w:line="276" w:lineRule="auto"/>
        <w:rPr>
          <w:rFonts w:ascii="Open Sans" w:hAnsi="Open Sans" w:cs="Open Sans"/>
        </w:rPr>
      </w:pPr>
      <w:r w:rsidRPr="00B6104C">
        <w:rPr>
          <w:rFonts w:ascii="Open Sans" w:hAnsi="Open Sans" w:cs="Open Sans"/>
          <w:b/>
          <w:bCs/>
        </w:rPr>
        <w:t xml:space="preserve">Requirement </w:t>
      </w:r>
      <w:r>
        <w:rPr>
          <w:rFonts w:ascii="Open Sans" w:hAnsi="Open Sans" w:cs="Open Sans"/>
          <w:b/>
          <w:bCs/>
        </w:rPr>
        <w:t>3</w:t>
      </w:r>
      <w:r w:rsidRPr="00B6104C">
        <w:rPr>
          <w:rFonts w:ascii="Open Sans" w:hAnsi="Open Sans" w:cs="Open Sans"/>
          <w:b/>
          <w:bCs/>
        </w:rPr>
        <w:t>(3)(</w:t>
      </w:r>
      <w:r w:rsidR="00CE039A">
        <w:rPr>
          <w:rFonts w:ascii="Open Sans" w:hAnsi="Open Sans" w:cs="Open Sans"/>
          <w:b/>
          <w:bCs/>
        </w:rPr>
        <w:t>e</w:t>
      </w:r>
      <w:r w:rsidRPr="00B6104C">
        <w:rPr>
          <w:rFonts w:ascii="Open Sans" w:hAnsi="Open Sans" w:cs="Open Sans"/>
          <w:b/>
          <w:bCs/>
        </w:rPr>
        <w:t>)</w:t>
      </w:r>
      <w:r>
        <w:rPr>
          <w:rFonts w:ascii="Open Sans" w:hAnsi="Open Sans" w:cs="Open Sans"/>
          <w:b/>
          <w:bCs/>
        </w:rPr>
        <w:t xml:space="preserve"> </w:t>
      </w:r>
      <w:r w:rsidR="00BF3450">
        <w:rPr>
          <w:rFonts w:ascii="Open Sans" w:hAnsi="Open Sans" w:cs="Open Sans"/>
        </w:rPr>
        <w:t xml:space="preserve">– the service has been non-compliant </w:t>
      </w:r>
      <w:r w:rsidR="00D355E7">
        <w:rPr>
          <w:rFonts w:ascii="Open Sans" w:hAnsi="Open Sans" w:cs="Open Sans"/>
        </w:rPr>
        <w:t xml:space="preserve">with this Requirement following an Assessment Contact 30 </w:t>
      </w:r>
      <w:r w:rsidR="00317760">
        <w:rPr>
          <w:rFonts w:ascii="Open Sans" w:hAnsi="Open Sans" w:cs="Open Sans"/>
        </w:rPr>
        <w:t>January</w:t>
      </w:r>
      <w:r w:rsidR="00D355E7">
        <w:rPr>
          <w:rFonts w:ascii="Open Sans" w:hAnsi="Open Sans" w:cs="Open Sans"/>
        </w:rPr>
        <w:t xml:space="preserve"> 2025</w:t>
      </w:r>
      <w:r w:rsidR="00321C3B">
        <w:rPr>
          <w:rFonts w:ascii="Open Sans" w:hAnsi="Open Sans" w:cs="Open Sans"/>
        </w:rPr>
        <w:t xml:space="preserve">. Deficiencies were identified in relation to ineffective </w:t>
      </w:r>
      <w:r w:rsidR="00820404">
        <w:rPr>
          <w:rFonts w:ascii="Open Sans" w:hAnsi="Open Sans" w:cs="Open Sans"/>
        </w:rPr>
        <w:t xml:space="preserve">processes to ensure information about consumer’s </w:t>
      </w:r>
      <w:r w:rsidR="0029202A">
        <w:rPr>
          <w:rFonts w:ascii="Open Sans" w:hAnsi="Open Sans" w:cs="Open Sans"/>
        </w:rPr>
        <w:t xml:space="preserve">needs and preferences was documented and communicated </w:t>
      </w:r>
      <w:r w:rsidR="00495085">
        <w:rPr>
          <w:rFonts w:ascii="Open Sans" w:hAnsi="Open Sans" w:cs="Open Sans"/>
        </w:rPr>
        <w:t xml:space="preserve">within the organisation, and with others responsible for care delivery. </w:t>
      </w:r>
      <w:r w:rsidR="001C0A25">
        <w:rPr>
          <w:rFonts w:ascii="Open Sans" w:hAnsi="Open Sans" w:cs="Open Sans"/>
        </w:rPr>
        <w:t xml:space="preserve">Subsequently, a Monitoring Assessment contact </w:t>
      </w:r>
      <w:r w:rsidR="003573D4">
        <w:rPr>
          <w:rFonts w:ascii="Open Sans" w:hAnsi="Open Sans" w:cs="Open Sans"/>
        </w:rPr>
        <w:t xml:space="preserve">20 May 2025 identified ongoing deficiencies </w:t>
      </w:r>
      <w:r w:rsidR="00B73481">
        <w:rPr>
          <w:rFonts w:ascii="Open Sans" w:hAnsi="Open Sans" w:cs="Open Sans"/>
        </w:rPr>
        <w:t xml:space="preserve">in </w:t>
      </w:r>
      <w:r w:rsidR="00434EE4">
        <w:rPr>
          <w:rFonts w:ascii="Open Sans" w:hAnsi="Open Sans" w:cs="Open Sans"/>
        </w:rPr>
        <w:t xml:space="preserve">documented </w:t>
      </w:r>
      <w:r w:rsidR="00B73481">
        <w:rPr>
          <w:rFonts w:ascii="Open Sans" w:hAnsi="Open Sans" w:cs="Open Sans"/>
        </w:rPr>
        <w:t xml:space="preserve">care planning </w:t>
      </w:r>
      <w:r w:rsidR="00434EE4">
        <w:rPr>
          <w:rFonts w:ascii="Open Sans" w:hAnsi="Open Sans" w:cs="Open Sans"/>
        </w:rPr>
        <w:t xml:space="preserve">and communication </w:t>
      </w:r>
      <w:r w:rsidR="0049123F">
        <w:rPr>
          <w:rFonts w:ascii="Open Sans" w:hAnsi="Open Sans" w:cs="Open Sans"/>
        </w:rPr>
        <w:t>following</w:t>
      </w:r>
      <w:r w:rsidR="00B73481">
        <w:rPr>
          <w:rFonts w:ascii="Open Sans" w:hAnsi="Open Sans" w:cs="Open Sans"/>
        </w:rPr>
        <w:t xml:space="preserve"> clinical deter</w:t>
      </w:r>
      <w:r w:rsidR="0049123F">
        <w:rPr>
          <w:rFonts w:ascii="Open Sans" w:hAnsi="Open Sans" w:cs="Open Sans"/>
        </w:rPr>
        <w:t>ior</w:t>
      </w:r>
      <w:r w:rsidR="00B73481">
        <w:rPr>
          <w:rFonts w:ascii="Open Sans" w:hAnsi="Open Sans" w:cs="Open Sans"/>
        </w:rPr>
        <w:t>ation</w:t>
      </w:r>
      <w:r w:rsidR="0049123F">
        <w:rPr>
          <w:rFonts w:ascii="Open Sans" w:hAnsi="Open Sans" w:cs="Open Sans"/>
        </w:rPr>
        <w:t xml:space="preserve">, hospitalisation and allied health reviews. </w:t>
      </w:r>
      <w:r w:rsidR="004A4B82">
        <w:rPr>
          <w:rFonts w:ascii="Open Sans" w:hAnsi="Open Sans" w:cs="Open Sans"/>
        </w:rPr>
        <w:t xml:space="preserve">I acknowledge </w:t>
      </w:r>
      <w:r w:rsidR="005F3F50">
        <w:rPr>
          <w:rFonts w:ascii="Open Sans" w:hAnsi="Open Sans" w:cs="Open Sans"/>
        </w:rPr>
        <w:t xml:space="preserve">the service provided evidence some actions in their PCI have been implemented </w:t>
      </w:r>
      <w:r w:rsidR="006748F5">
        <w:rPr>
          <w:rFonts w:ascii="Open Sans" w:hAnsi="Open Sans" w:cs="Open Sans"/>
        </w:rPr>
        <w:t>following the Assessment Contact, such as hospital discharge summary sheets</w:t>
      </w:r>
      <w:r w:rsidR="0022140D">
        <w:rPr>
          <w:rFonts w:ascii="Open Sans" w:hAnsi="Open Sans" w:cs="Open Sans"/>
        </w:rPr>
        <w:t xml:space="preserve">. </w:t>
      </w:r>
      <w:r w:rsidR="00020422" w:rsidRPr="00856C1E">
        <w:rPr>
          <w:rFonts w:ascii="Open Sans" w:hAnsi="Open Sans" w:cs="Open Sans"/>
        </w:rPr>
        <w:t>The Assessment Team recommended requirement 3(3)(</w:t>
      </w:r>
      <w:r w:rsidR="00020422">
        <w:rPr>
          <w:rFonts w:ascii="Open Sans" w:hAnsi="Open Sans" w:cs="Open Sans"/>
        </w:rPr>
        <w:t>e</w:t>
      </w:r>
      <w:r w:rsidR="00020422" w:rsidRPr="00856C1E">
        <w:rPr>
          <w:rFonts w:ascii="Open Sans" w:hAnsi="Open Sans" w:cs="Open Sans"/>
        </w:rPr>
        <w:t xml:space="preserve">) not met and provided the following information gathered through interviews and document review. </w:t>
      </w:r>
    </w:p>
    <w:p w14:paraId="32830B0B" w14:textId="4160BA8B" w:rsidR="00612794" w:rsidRDefault="007802C8" w:rsidP="00974E84">
      <w:pPr>
        <w:pStyle w:val="NormalArial"/>
        <w:spacing w:line="276" w:lineRule="auto"/>
        <w:rPr>
          <w:rFonts w:ascii="Open Sans" w:hAnsi="Open Sans" w:cs="Open Sans"/>
        </w:rPr>
      </w:pPr>
      <w:r>
        <w:rPr>
          <w:rFonts w:ascii="Open Sans" w:hAnsi="Open Sans" w:cs="Open Sans"/>
        </w:rPr>
        <w:t>T</w:t>
      </w:r>
      <w:r w:rsidR="003F391F">
        <w:rPr>
          <w:rFonts w:ascii="Open Sans" w:hAnsi="Open Sans" w:cs="Open Sans"/>
        </w:rPr>
        <w:t xml:space="preserve">he Assessment Team report </w:t>
      </w:r>
      <w:r w:rsidR="002C56B8">
        <w:rPr>
          <w:rFonts w:ascii="Open Sans" w:hAnsi="Open Sans" w:cs="Open Sans"/>
        </w:rPr>
        <w:t xml:space="preserve">brought forward the challenge of </w:t>
      </w:r>
      <w:r w:rsidR="00506002">
        <w:rPr>
          <w:rFonts w:ascii="Open Sans" w:hAnsi="Open Sans" w:cs="Open Sans"/>
        </w:rPr>
        <w:t xml:space="preserve">accessing and reviewing </w:t>
      </w:r>
      <w:r w:rsidR="00AC06E5">
        <w:rPr>
          <w:rFonts w:ascii="Open Sans" w:hAnsi="Open Sans" w:cs="Open Sans"/>
        </w:rPr>
        <w:t xml:space="preserve">information about the consumers </w:t>
      </w:r>
      <w:r w:rsidR="00506002">
        <w:rPr>
          <w:rFonts w:ascii="Open Sans" w:hAnsi="Open Sans" w:cs="Open Sans"/>
        </w:rPr>
        <w:t>during th</w:t>
      </w:r>
      <w:r w:rsidR="000934D5">
        <w:rPr>
          <w:rFonts w:ascii="Open Sans" w:hAnsi="Open Sans" w:cs="Open Sans"/>
        </w:rPr>
        <w:t>e most recent</w:t>
      </w:r>
      <w:r w:rsidR="00BB28F3">
        <w:rPr>
          <w:rFonts w:ascii="Open Sans" w:hAnsi="Open Sans" w:cs="Open Sans"/>
        </w:rPr>
        <w:t xml:space="preserve"> </w:t>
      </w:r>
      <w:r w:rsidR="009F54C5">
        <w:rPr>
          <w:rFonts w:ascii="Open Sans" w:hAnsi="Open Sans" w:cs="Open Sans"/>
        </w:rPr>
        <w:t>Assessment</w:t>
      </w:r>
      <w:r w:rsidR="00C17720">
        <w:rPr>
          <w:rFonts w:ascii="Open Sans" w:hAnsi="Open Sans" w:cs="Open Sans"/>
        </w:rPr>
        <w:t xml:space="preserve"> Contact</w:t>
      </w:r>
      <w:r w:rsidR="009F54C5">
        <w:rPr>
          <w:rFonts w:ascii="Open Sans" w:hAnsi="Open Sans" w:cs="Open Sans"/>
        </w:rPr>
        <w:t xml:space="preserve">. In the provider’s response, </w:t>
      </w:r>
      <w:r w:rsidR="00240405">
        <w:rPr>
          <w:rFonts w:ascii="Open Sans" w:hAnsi="Open Sans" w:cs="Open Sans"/>
        </w:rPr>
        <w:t xml:space="preserve">management provided the Assessment Team with </w:t>
      </w:r>
      <w:r w:rsidR="00ED2D84">
        <w:rPr>
          <w:rFonts w:ascii="Open Sans" w:hAnsi="Open Sans" w:cs="Open Sans"/>
        </w:rPr>
        <w:t xml:space="preserve">access to all </w:t>
      </w:r>
      <w:r w:rsidR="004C4102">
        <w:rPr>
          <w:rFonts w:ascii="Open Sans" w:hAnsi="Open Sans" w:cs="Open Sans"/>
        </w:rPr>
        <w:t xml:space="preserve">documents across </w:t>
      </w:r>
      <w:r w:rsidR="00B06170">
        <w:rPr>
          <w:rFonts w:ascii="Open Sans" w:hAnsi="Open Sans" w:cs="Open Sans"/>
        </w:rPr>
        <w:t>multiple</w:t>
      </w:r>
      <w:r w:rsidR="004C4102">
        <w:rPr>
          <w:rFonts w:ascii="Open Sans" w:hAnsi="Open Sans" w:cs="Open Sans"/>
        </w:rPr>
        <w:t xml:space="preserve"> platforms. </w:t>
      </w:r>
      <w:r w:rsidR="008A62FF">
        <w:rPr>
          <w:rFonts w:ascii="Open Sans" w:hAnsi="Open Sans" w:cs="Open Sans"/>
        </w:rPr>
        <w:t xml:space="preserve">The provider </w:t>
      </w:r>
      <w:r w:rsidR="003005EB">
        <w:rPr>
          <w:rFonts w:ascii="Open Sans" w:hAnsi="Open Sans" w:cs="Open Sans"/>
        </w:rPr>
        <w:t>explained</w:t>
      </w:r>
      <w:r w:rsidR="00D76E3B">
        <w:rPr>
          <w:rFonts w:ascii="Open Sans" w:hAnsi="Open Sans" w:cs="Open Sans"/>
        </w:rPr>
        <w:t xml:space="preserve"> </w:t>
      </w:r>
      <w:r w:rsidR="00870FDC">
        <w:rPr>
          <w:rFonts w:ascii="Open Sans" w:hAnsi="Open Sans" w:cs="Open Sans"/>
        </w:rPr>
        <w:t xml:space="preserve">the </w:t>
      </w:r>
      <w:r w:rsidR="00A247E0">
        <w:rPr>
          <w:rFonts w:ascii="Open Sans" w:hAnsi="Open Sans" w:cs="Open Sans"/>
        </w:rPr>
        <w:t>‘</w:t>
      </w:r>
      <w:r w:rsidR="00314275">
        <w:rPr>
          <w:rFonts w:ascii="Open Sans" w:hAnsi="Open Sans" w:cs="Open Sans"/>
        </w:rPr>
        <w:t>representatives</w:t>
      </w:r>
      <w:r w:rsidR="008C729C">
        <w:rPr>
          <w:rFonts w:ascii="Open Sans" w:hAnsi="Open Sans" w:cs="Open Sans"/>
        </w:rPr>
        <w:t xml:space="preserve"> </w:t>
      </w:r>
      <w:r w:rsidR="00B17F7A">
        <w:rPr>
          <w:rFonts w:ascii="Open Sans" w:hAnsi="Open Sans" w:cs="Open Sans"/>
        </w:rPr>
        <w:t xml:space="preserve">from the Commission </w:t>
      </w:r>
      <w:r w:rsidR="008C729C">
        <w:rPr>
          <w:rFonts w:ascii="Open Sans" w:hAnsi="Open Sans" w:cs="Open Sans"/>
        </w:rPr>
        <w:t>were not sufficiently</w:t>
      </w:r>
      <w:r w:rsidR="00314275">
        <w:rPr>
          <w:rFonts w:ascii="Open Sans" w:hAnsi="Open Sans" w:cs="Open Sans"/>
        </w:rPr>
        <w:t xml:space="preserve"> </w:t>
      </w:r>
      <w:r w:rsidR="00870FDC">
        <w:rPr>
          <w:rFonts w:ascii="Open Sans" w:hAnsi="Open Sans" w:cs="Open Sans"/>
        </w:rPr>
        <w:t>familiar with their system</w:t>
      </w:r>
      <w:r w:rsidR="00A247E0">
        <w:rPr>
          <w:rFonts w:ascii="Open Sans" w:hAnsi="Open Sans" w:cs="Open Sans"/>
        </w:rPr>
        <w:t xml:space="preserve"> to draw out relevant information and download </w:t>
      </w:r>
      <w:r w:rsidR="00E01556">
        <w:rPr>
          <w:rFonts w:ascii="Open Sans" w:hAnsi="Open Sans" w:cs="Open Sans"/>
        </w:rPr>
        <w:t>information</w:t>
      </w:r>
      <w:r w:rsidR="001A462F">
        <w:rPr>
          <w:rFonts w:ascii="Open Sans" w:hAnsi="Open Sans" w:cs="Open Sans"/>
        </w:rPr>
        <w:t>.’</w:t>
      </w:r>
      <w:r w:rsidR="00342BAA">
        <w:rPr>
          <w:rFonts w:ascii="Open Sans" w:hAnsi="Open Sans" w:cs="Open Sans"/>
        </w:rPr>
        <w:t xml:space="preserve"> </w:t>
      </w:r>
      <w:r w:rsidR="00F847A9">
        <w:rPr>
          <w:rFonts w:ascii="Open Sans" w:hAnsi="Open Sans" w:cs="Open Sans"/>
        </w:rPr>
        <w:t>I</w:t>
      </w:r>
      <w:r w:rsidR="00D76E3B">
        <w:rPr>
          <w:rFonts w:ascii="Open Sans" w:hAnsi="Open Sans" w:cs="Open Sans"/>
        </w:rPr>
        <w:t xml:space="preserve"> </w:t>
      </w:r>
      <w:r w:rsidR="0023154C">
        <w:rPr>
          <w:rFonts w:ascii="Open Sans" w:hAnsi="Open Sans" w:cs="Open Sans"/>
        </w:rPr>
        <w:t xml:space="preserve">acknowledge the </w:t>
      </w:r>
      <w:r w:rsidR="004C4102">
        <w:rPr>
          <w:rFonts w:ascii="Open Sans" w:hAnsi="Open Sans" w:cs="Open Sans"/>
        </w:rPr>
        <w:t>provider</w:t>
      </w:r>
      <w:r w:rsidR="0023154C">
        <w:rPr>
          <w:rFonts w:ascii="Open Sans" w:hAnsi="Open Sans" w:cs="Open Sans"/>
        </w:rPr>
        <w:t>’s</w:t>
      </w:r>
      <w:r w:rsidR="00465B47">
        <w:rPr>
          <w:rFonts w:ascii="Open Sans" w:hAnsi="Open Sans" w:cs="Open Sans"/>
        </w:rPr>
        <w:t xml:space="preserve"> </w:t>
      </w:r>
      <w:r w:rsidR="00F810A6">
        <w:rPr>
          <w:rFonts w:ascii="Open Sans" w:hAnsi="Open Sans" w:cs="Open Sans"/>
        </w:rPr>
        <w:t>opinion</w:t>
      </w:r>
      <w:r w:rsidR="00465B47">
        <w:rPr>
          <w:rFonts w:ascii="Open Sans" w:hAnsi="Open Sans" w:cs="Open Sans"/>
        </w:rPr>
        <w:t xml:space="preserve"> the Assessment Team were not familiar w</w:t>
      </w:r>
      <w:r w:rsidR="00D30AD9">
        <w:rPr>
          <w:rFonts w:ascii="Open Sans" w:hAnsi="Open Sans" w:cs="Open Sans"/>
        </w:rPr>
        <w:t>ith their system</w:t>
      </w:r>
      <w:r w:rsidR="00A31835">
        <w:rPr>
          <w:rFonts w:ascii="Open Sans" w:hAnsi="Open Sans" w:cs="Open Sans"/>
        </w:rPr>
        <w:t xml:space="preserve">. </w:t>
      </w:r>
      <w:r w:rsidR="007152DC">
        <w:rPr>
          <w:rFonts w:ascii="Open Sans" w:hAnsi="Open Sans" w:cs="Open Sans"/>
        </w:rPr>
        <w:t>However, t</w:t>
      </w:r>
      <w:r w:rsidR="00154A34">
        <w:rPr>
          <w:rFonts w:ascii="Open Sans" w:hAnsi="Open Sans" w:cs="Open Sans"/>
        </w:rPr>
        <w:t xml:space="preserve">he provider is </w:t>
      </w:r>
      <w:r w:rsidR="00D65758">
        <w:rPr>
          <w:rFonts w:ascii="Open Sans" w:hAnsi="Open Sans" w:cs="Open Sans"/>
        </w:rPr>
        <w:t xml:space="preserve">responsible for providing </w:t>
      </w:r>
      <w:r w:rsidR="008668E9">
        <w:rPr>
          <w:rFonts w:ascii="Open Sans" w:hAnsi="Open Sans" w:cs="Open Sans"/>
        </w:rPr>
        <w:t xml:space="preserve">evidence to demonstrate </w:t>
      </w:r>
      <w:r w:rsidR="00FD7D11">
        <w:rPr>
          <w:rFonts w:ascii="Open Sans" w:hAnsi="Open Sans" w:cs="Open Sans"/>
        </w:rPr>
        <w:t>they are compliant with the Requirement</w:t>
      </w:r>
      <w:r w:rsidR="00E464AE">
        <w:rPr>
          <w:rFonts w:ascii="Open Sans" w:hAnsi="Open Sans" w:cs="Open Sans"/>
        </w:rPr>
        <w:t xml:space="preserve">. I am not satisfied it is the </w:t>
      </w:r>
      <w:r w:rsidR="00AB4148">
        <w:rPr>
          <w:rFonts w:ascii="Open Sans" w:hAnsi="Open Sans" w:cs="Open Sans"/>
        </w:rPr>
        <w:t>A</w:t>
      </w:r>
      <w:r w:rsidR="006D021D">
        <w:rPr>
          <w:rFonts w:ascii="Open Sans" w:hAnsi="Open Sans" w:cs="Open Sans"/>
        </w:rPr>
        <w:t>ssessment</w:t>
      </w:r>
      <w:r w:rsidR="0092730F">
        <w:rPr>
          <w:rFonts w:ascii="Open Sans" w:hAnsi="Open Sans" w:cs="Open Sans"/>
        </w:rPr>
        <w:t xml:space="preserve"> Team’s responsibility to find the evidence</w:t>
      </w:r>
      <w:r w:rsidR="005F1C15">
        <w:rPr>
          <w:rFonts w:ascii="Open Sans" w:hAnsi="Open Sans" w:cs="Open Sans"/>
        </w:rPr>
        <w:t xml:space="preserve"> under the relevant legislative and regulatory framework. The onus of demonstrating compliance rests with the approved provider</w:t>
      </w:r>
      <w:r w:rsidR="00302782">
        <w:rPr>
          <w:rFonts w:ascii="Open Sans" w:hAnsi="Open Sans" w:cs="Open Sans"/>
        </w:rPr>
        <w:t xml:space="preserve"> and it is not incumbent upon the assessment team to actively </w:t>
      </w:r>
      <w:r w:rsidR="00DD4E64">
        <w:rPr>
          <w:rFonts w:ascii="Open Sans" w:hAnsi="Open Sans" w:cs="Open Sans"/>
        </w:rPr>
        <w:t>draw out</w:t>
      </w:r>
      <w:r w:rsidR="00573E76">
        <w:rPr>
          <w:rFonts w:ascii="Open Sans" w:hAnsi="Open Sans" w:cs="Open Sans"/>
        </w:rPr>
        <w:t xml:space="preserve">, </w:t>
      </w:r>
      <w:r w:rsidR="00302782">
        <w:rPr>
          <w:rFonts w:ascii="Open Sans" w:hAnsi="Open Sans" w:cs="Open Sans"/>
        </w:rPr>
        <w:t>seek out or infer evidence of compliance.</w:t>
      </w:r>
      <w:r w:rsidR="007825B1">
        <w:rPr>
          <w:rFonts w:ascii="Open Sans" w:hAnsi="Open Sans" w:cs="Open Sans"/>
        </w:rPr>
        <w:t xml:space="preserve"> Rather, the provider bears the responsibility to source, collate and present evidence in a manner that is both accessible and comprehensible. </w:t>
      </w:r>
    </w:p>
    <w:p w14:paraId="751EFBE2" w14:textId="5FDD1B3F" w:rsidR="00BF7A0C" w:rsidRDefault="003F5868" w:rsidP="00974E84">
      <w:pPr>
        <w:pStyle w:val="NormalArial"/>
        <w:spacing w:line="276" w:lineRule="auto"/>
        <w:rPr>
          <w:rFonts w:ascii="Open Sans" w:hAnsi="Open Sans" w:cs="Open Sans"/>
        </w:rPr>
      </w:pPr>
      <w:r>
        <w:rPr>
          <w:rFonts w:ascii="Open Sans" w:hAnsi="Open Sans" w:cs="Open Sans"/>
        </w:rPr>
        <w:t>The Assessment Team report brought forward evidence</w:t>
      </w:r>
      <w:r w:rsidR="00936CD5">
        <w:rPr>
          <w:rFonts w:ascii="Open Sans" w:hAnsi="Open Sans" w:cs="Open Sans"/>
        </w:rPr>
        <w:t xml:space="preserve"> of</w:t>
      </w:r>
      <w:r>
        <w:rPr>
          <w:rFonts w:ascii="Open Sans" w:hAnsi="Open Sans" w:cs="Open Sans"/>
        </w:rPr>
        <w:t xml:space="preserve"> </w:t>
      </w:r>
      <w:r w:rsidR="007E3EC0">
        <w:rPr>
          <w:rFonts w:ascii="Open Sans" w:hAnsi="Open Sans" w:cs="Open Sans"/>
        </w:rPr>
        <w:t>management</w:t>
      </w:r>
      <w:r w:rsidR="00936CD5">
        <w:rPr>
          <w:rFonts w:ascii="Open Sans" w:hAnsi="Open Sans" w:cs="Open Sans"/>
        </w:rPr>
        <w:t>’s</w:t>
      </w:r>
      <w:r w:rsidR="007E3EC0">
        <w:rPr>
          <w:rFonts w:ascii="Open Sans" w:hAnsi="Open Sans" w:cs="Open Sans"/>
        </w:rPr>
        <w:t xml:space="preserve"> </w:t>
      </w:r>
      <w:r w:rsidR="0067284F">
        <w:rPr>
          <w:rFonts w:ascii="Open Sans" w:hAnsi="Open Sans" w:cs="Open Sans"/>
        </w:rPr>
        <w:t>acknowledge</w:t>
      </w:r>
      <w:r w:rsidR="00936CD5">
        <w:rPr>
          <w:rFonts w:ascii="Open Sans" w:hAnsi="Open Sans" w:cs="Open Sans"/>
        </w:rPr>
        <w:t xml:space="preserve">ment </w:t>
      </w:r>
      <w:r w:rsidR="006E15F5">
        <w:rPr>
          <w:rFonts w:ascii="Open Sans" w:hAnsi="Open Sans" w:cs="Open Sans"/>
        </w:rPr>
        <w:t>of</w:t>
      </w:r>
      <w:r w:rsidR="007E3EC0">
        <w:rPr>
          <w:rFonts w:ascii="Open Sans" w:hAnsi="Open Sans" w:cs="Open Sans"/>
        </w:rPr>
        <w:t xml:space="preserve"> challenges with their clinical </w:t>
      </w:r>
      <w:r w:rsidR="0067284F">
        <w:rPr>
          <w:rFonts w:ascii="Open Sans" w:hAnsi="Open Sans" w:cs="Open Sans"/>
        </w:rPr>
        <w:t>documentation</w:t>
      </w:r>
      <w:r w:rsidR="007E3EC0">
        <w:rPr>
          <w:rFonts w:ascii="Open Sans" w:hAnsi="Open Sans" w:cs="Open Sans"/>
        </w:rPr>
        <w:t xml:space="preserve"> system</w:t>
      </w:r>
      <w:r w:rsidR="006E15F5">
        <w:rPr>
          <w:rFonts w:ascii="Open Sans" w:hAnsi="Open Sans" w:cs="Open Sans"/>
        </w:rPr>
        <w:t>;</w:t>
      </w:r>
      <w:r w:rsidR="007E3EC0">
        <w:rPr>
          <w:rFonts w:ascii="Open Sans" w:hAnsi="Open Sans" w:cs="Open Sans"/>
        </w:rPr>
        <w:t xml:space="preserve"> and</w:t>
      </w:r>
      <w:r w:rsidR="004E4A18">
        <w:rPr>
          <w:rFonts w:ascii="Open Sans" w:hAnsi="Open Sans" w:cs="Open Sans"/>
        </w:rPr>
        <w:t xml:space="preserve"> high volume</w:t>
      </w:r>
      <w:r w:rsidR="007E3EC0">
        <w:rPr>
          <w:rFonts w:ascii="Open Sans" w:hAnsi="Open Sans" w:cs="Open Sans"/>
        </w:rPr>
        <w:t xml:space="preserve"> </w:t>
      </w:r>
      <w:r w:rsidR="00A37531">
        <w:rPr>
          <w:rFonts w:ascii="Open Sans" w:hAnsi="Open Sans" w:cs="Open Sans"/>
        </w:rPr>
        <w:t xml:space="preserve">activities in progress notes </w:t>
      </w:r>
      <w:r w:rsidR="00A60ED5">
        <w:rPr>
          <w:rFonts w:ascii="Open Sans" w:hAnsi="Open Sans" w:cs="Open Sans"/>
        </w:rPr>
        <w:t xml:space="preserve">impedes meaningful information being </w:t>
      </w:r>
      <w:r w:rsidR="00A60ED5">
        <w:rPr>
          <w:rFonts w:ascii="Open Sans" w:hAnsi="Open Sans" w:cs="Open Sans"/>
        </w:rPr>
        <w:lastRenderedPageBreak/>
        <w:t>recorded, recognised and monitored</w:t>
      </w:r>
      <w:r w:rsidR="009E72F0">
        <w:rPr>
          <w:rFonts w:ascii="Open Sans" w:hAnsi="Open Sans" w:cs="Open Sans"/>
        </w:rPr>
        <w:t>. In the provider’s response</w:t>
      </w:r>
      <w:r w:rsidR="00D8153B">
        <w:rPr>
          <w:rFonts w:ascii="Open Sans" w:hAnsi="Open Sans" w:cs="Open Sans"/>
        </w:rPr>
        <w:t>, management acknowledge</w:t>
      </w:r>
      <w:r w:rsidR="006E15F5">
        <w:rPr>
          <w:rFonts w:ascii="Open Sans" w:hAnsi="Open Sans" w:cs="Open Sans"/>
        </w:rPr>
        <w:t>d</w:t>
      </w:r>
      <w:r w:rsidR="00D8153B">
        <w:rPr>
          <w:rFonts w:ascii="Open Sans" w:hAnsi="Open Sans" w:cs="Open Sans"/>
        </w:rPr>
        <w:t xml:space="preserve"> they are working through tasks </w:t>
      </w:r>
      <w:r w:rsidR="007255F9">
        <w:rPr>
          <w:rFonts w:ascii="Open Sans" w:hAnsi="Open Sans" w:cs="Open Sans"/>
        </w:rPr>
        <w:t xml:space="preserve">and have completed a </w:t>
      </w:r>
      <w:r w:rsidR="00FF0799">
        <w:rPr>
          <w:rFonts w:ascii="Open Sans" w:hAnsi="Open Sans" w:cs="Open Sans"/>
        </w:rPr>
        <w:t>‘</w:t>
      </w:r>
      <w:r w:rsidR="007255F9">
        <w:rPr>
          <w:rFonts w:ascii="Open Sans" w:hAnsi="Open Sans" w:cs="Open Sans"/>
        </w:rPr>
        <w:t xml:space="preserve">trial </w:t>
      </w:r>
      <w:r w:rsidR="000D411F">
        <w:rPr>
          <w:rFonts w:ascii="Open Sans" w:hAnsi="Open Sans" w:cs="Open Sans"/>
        </w:rPr>
        <w:t xml:space="preserve">in the </w:t>
      </w:r>
      <w:r w:rsidR="0067284F">
        <w:rPr>
          <w:rFonts w:ascii="Open Sans" w:hAnsi="Open Sans" w:cs="Open Sans"/>
        </w:rPr>
        <w:t xml:space="preserve">Jenny Mulley wing </w:t>
      </w:r>
      <w:r w:rsidR="007255F9">
        <w:rPr>
          <w:rFonts w:ascii="Open Sans" w:hAnsi="Open Sans" w:cs="Open Sans"/>
        </w:rPr>
        <w:t xml:space="preserve">and </w:t>
      </w:r>
      <w:r w:rsidR="000D411F">
        <w:rPr>
          <w:rFonts w:ascii="Open Sans" w:hAnsi="Open Sans" w:cs="Open Sans"/>
        </w:rPr>
        <w:t>start</w:t>
      </w:r>
      <w:r w:rsidR="00FF0799">
        <w:rPr>
          <w:rFonts w:ascii="Open Sans" w:hAnsi="Open Sans" w:cs="Open Sans"/>
        </w:rPr>
        <w:t>ing</w:t>
      </w:r>
      <w:r w:rsidR="000D411F">
        <w:rPr>
          <w:rFonts w:ascii="Open Sans" w:hAnsi="Open Sans" w:cs="Open Sans"/>
        </w:rPr>
        <w:t xml:space="preserve"> on other departments</w:t>
      </w:r>
      <w:r w:rsidR="001A462F">
        <w:rPr>
          <w:rFonts w:ascii="Open Sans" w:hAnsi="Open Sans" w:cs="Open Sans"/>
        </w:rPr>
        <w:t>.’</w:t>
      </w:r>
      <w:r w:rsidR="000D411F">
        <w:rPr>
          <w:rFonts w:ascii="Open Sans" w:hAnsi="Open Sans" w:cs="Open Sans"/>
        </w:rPr>
        <w:t xml:space="preserve"> </w:t>
      </w:r>
      <w:r w:rsidR="00A9714A">
        <w:rPr>
          <w:rFonts w:ascii="Open Sans" w:hAnsi="Open Sans" w:cs="Open Sans"/>
        </w:rPr>
        <w:t>I acknowledge the provider</w:t>
      </w:r>
      <w:r w:rsidR="00DF7423">
        <w:rPr>
          <w:rFonts w:ascii="Open Sans" w:hAnsi="Open Sans" w:cs="Open Sans"/>
        </w:rPr>
        <w:t xml:space="preserve"> has accepted the </w:t>
      </w:r>
      <w:r w:rsidR="004E4A18">
        <w:rPr>
          <w:rFonts w:ascii="Open Sans" w:hAnsi="Open Sans" w:cs="Open Sans"/>
        </w:rPr>
        <w:t>deficiencies;</w:t>
      </w:r>
      <w:r w:rsidR="00DF7423">
        <w:rPr>
          <w:rFonts w:ascii="Open Sans" w:hAnsi="Open Sans" w:cs="Open Sans"/>
        </w:rPr>
        <w:t xml:space="preserve"> however, the provider did not provide</w:t>
      </w:r>
      <w:r w:rsidR="00AC5B69">
        <w:rPr>
          <w:rFonts w:ascii="Open Sans" w:hAnsi="Open Sans" w:cs="Open Sans"/>
        </w:rPr>
        <w:t xml:space="preserve"> evidence </w:t>
      </w:r>
      <w:r w:rsidR="001B1633">
        <w:rPr>
          <w:rFonts w:ascii="Open Sans" w:hAnsi="Open Sans" w:cs="Open Sans"/>
        </w:rPr>
        <w:t>for</w:t>
      </w:r>
      <w:r w:rsidR="00AC5B69">
        <w:rPr>
          <w:rFonts w:ascii="Open Sans" w:hAnsi="Open Sans" w:cs="Open Sans"/>
        </w:rPr>
        <w:t xml:space="preserve"> consideration</w:t>
      </w:r>
      <w:r w:rsidR="001B1633">
        <w:rPr>
          <w:rFonts w:ascii="Open Sans" w:hAnsi="Open Sans" w:cs="Open Sans"/>
        </w:rPr>
        <w:t>,</w:t>
      </w:r>
      <w:r w:rsidR="00AC5B69">
        <w:rPr>
          <w:rFonts w:ascii="Open Sans" w:hAnsi="Open Sans" w:cs="Open Sans"/>
        </w:rPr>
        <w:t xml:space="preserve"> to demonstrate how the trial is mitigating</w:t>
      </w:r>
      <w:r w:rsidR="00522609">
        <w:rPr>
          <w:rFonts w:ascii="Open Sans" w:hAnsi="Open Sans" w:cs="Open Sans"/>
        </w:rPr>
        <w:t xml:space="preserve"> risk and how </w:t>
      </w:r>
      <w:r w:rsidR="00654281">
        <w:rPr>
          <w:rFonts w:ascii="Open Sans" w:hAnsi="Open Sans" w:cs="Open Sans"/>
        </w:rPr>
        <w:t xml:space="preserve">the outcomes of the trial have improved communication </w:t>
      </w:r>
      <w:r w:rsidR="00E26DF7">
        <w:rPr>
          <w:rFonts w:ascii="Open Sans" w:hAnsi="Open Sans" w:cs="Open Sans"/>
        </w:rPr>
        <w:t>about the consumer’s condition, needs and preferences.</w:t>
      </w:r>
    </w:p>
    <w:p w14:paraId="3367479B" w14:textId="018D97F3" w:rsidR="00E26DF7" w:rsidRDefault="006C7623" w:rsidP="00974E84">
      <w:pPr>
        <w:pStyle w:val="NormalArial"/>
        <w:spacing w:line="276" w:lineRule="auto"/>
        <w:rPr>
          <w:rFonts w:ascii="Open Sans" w:hAnsi="Open Sans" w:cs="Open Sans"/>
        </w:rPr>
      </w:pPr>
      <w:r>
        <w:rPr>
          <w:rFonts w:ascii="Open Sans" w:hAnsi="Open Sans" w:cs="Open Sans"/>
        </w:rPr>
        <w:t>Interviewed s</w:t>
      </w:r>
      <w:r w:rsidR="00705D73">
        <w:rPr>
          <w:rFonts w:ascii="Open Sans" w:hAnsi="Open Sans" w:cs="Open Sans"/>
        </w:rPr>
        <w:t xml:space="preserve">taff </w:t>
      </w:r>
      <w:r>
        <w:rPr>
          <w:rFonts w:ascii="Open Sans" w:hAnsi="Open Sans" w:cs="Open Sans"/>
        </w:rPr>
        <w:t xml:space="preserve">said they </w:t>
      </w:r>
      <w:r w:rsidR="00705D73">
        <w:rPr>
          <w:rFonts w:ascii="Open Sans" w:hAnsi="Open Sans" w:cs="Open Sans"/>
        </w:rPr>
        <w:t xml:space="preserve">were unable to easily </w:t>
      </w:r>
      <w:r>
        <w:rPr>
          <w:rFonts w:ascii="Open Sans" w:hAnsi="Open Sans" w:cs="Open Sans"/>
        </w:rPr>
        <w:t xml:space="preserve">access information about the procedures to be followed for </w:t>
      </w:r>
      <w:r w:rsidR="00532547">
        <w:rPr>
          <w:rFonts w:ascii="Open Sans" w:hAnsi="Open Sans" w:cs="Open Sans"/>
        </w:rPr>
        <w:t>neurological observations</w:t>
      </w:r>
      <w:r w:rsidR="00694F3B">
        <w:rPr>
          <w:rFonts w:ascii="Open Sans" w:hAnsi="Open Sans" w:cs="Open Sans"/>
        </w:rPr>
        <w:t xml:space="preserve"> following falls</w:t>
      </w:r>
      <w:r w:rsidR="003E7C3D">
        <w:rPr>
          <w:rFonts w:ascii="Open Sans" w:hAnsi="Open Sans" w:cs="Open Sans"/>
        </w:rPr>
        <w:t xml:space="preserve">. Clinical staff </w:t>
      </w:r>
      <w:r w:rsidR="00532547">
        <w:rPr>
          <w:rFonts w:ascii="Open Sans" w:hAnsi="Open Sans" w:cs="Open Sans"/>
        </w:rPr>
        <w:t xml:space="preserve">were unable to describe the service’s policy regarding neurological observations following a witnessed/unwitnessed fall. In the provider’s response, </w:t>
      </w:r>
      <w:r w:rsidR="008A5F4C">
        <w:rPr>
          <w:rFonts w:ascii="Open Sans" w:hAnsi="Open Sans" w:cs="Open Sans"/>
        </w:rPr>
        <w:t>all staff have access to</w:t>
      </w:r>
      <w:r w:rsidR="003A0B96">
        <w:rPr>
          <w:rFonts w:ascii="Open Sans" w:hAnsi="Open Sans" w:cs="Open Sans"/>
        </w:rPr>
        <w:t xml:space="preserve"> a policy platform where falls policies are</w:t>
      </w:r>
      <w:r w:rsidR="00275B61">
        <w:rPr>
          <w:rFonts w:ascii="Open Sans" w:hAnsi="Open Sans" w:cs="Open Sans"/>
        </w:rPr>
        <w:t xml:space="preserve"> published. I acknowledge the </w:t>
      </w:r>
      <w:r w:rsidR="00AF0CD3">
        <w:rPr>
          <w:rFonts w:ascii="Open Sans" w:hAnsi="Open Sans" w:cs="Open Sans"/>
        </w:rPr>
        <w:t xml:space="preserve">provider </w:t>
      </w:r>
      <w:r w:rsidR="003423BB">
        <w:rPr>
          <w:rFonts w:ascii="Open Sans" w:hAnsi="Open Sans" w:cs="Open Sans"/>
        </w:rPr>
        <w:t>‘</w:t>
      </w:r>
      <w:r w:rsidR="00AF0CD3">
        <w:rPr>
          <w:rFonts w:ascii="Open Sans" w:hAnsi="Open Sans" w:cs="Open Sans"/>
        </w:rPr>
        <w:t>asks all staff</w:t>
      </w:r>
      <w:r w:rsidR="003423BB">
        <w:rPr>
          <w:rFonts w:ascii="Open Sans" w:hAnsi="Open Sans" w:cs="Open Sans"/>
        </w:rPr>
        <w:t>’</w:t>
      </w:r>
      <w:r w:rsidR="00AF0CD3">
        <w:rPr>
          <w:rFonts w:ascii="Open Sans" w:hAnsi="Open Sans" w:cs="Open Sans"/>
        </w:rPr>
        <w:t xml:space="preserve"> during onboarding to read the policies and acknowledge </w:t>
      </w:r>
      <w:r w:rsidR="006B3857">
        <w:rPr>
          <w:rFonts w:ascii="Open Sans" w:hAnsi="Open Sans" w:cs="Open Sans"/>
        </w:rPr>
        <w:t xml:space="preserve">they have been read. I have reviewed the evidence in the response. </w:t>
      </w:r>
      <w:r w:rsidR="001702F9">
        <w:rPr>
          <w:rFonts w:ascii="Open Sans" w:hAnsi="Open Sans" w:cs="Open Sans"/>
        </w:rPr>
        <w:t xml:space="preserve">The </w:t>
      </w:r>
      <w:r w:rsidR="005F5BC6">
        <w:rPr>
          <w:rFonts w:ascii="Open Sans" w:hAnsi="Open Sans" w:cs="Open Sans"/>
        </w:rPr>
        <w:t xml:space="preserve">policy and procedure acknowledgement form is a screenshot of </w:t>
      </w:r>
      <w:r w:rsidR="00D52CC1">
        <w:rPr>
          <w:rFonts w:ascii="Open Sans" w:hAnsi="Open Sans" w:cs="Open Sans"/>
        </w:rPr>
        <w:t xml:space="preserve">an acknowledgement statement. </w:t>
      </w:r>
      <w:r w:rsidR="00922F82">
        <w:rPr>
          <w:rFonts w:ascii="Open Sans" w:hAnsi="Open Sans" w:cs="Open Sans"/>
        </w:rPr>
        <w:t>However, the</w:t>
      </w:r>
      <w:r w:rsidR="002467C0">
        <w:rPr>
          <w:rFonts w:ascii="Open Sans" w:hAnsi="Open Sans" w:cs="Open Sans"/>
        </w:rPr>
        <w:t xml:space="preserve"> form is unable to demonstrate </w:t>
      </w:r>
      <w:r w:rsidR="00B007B8">
        <w:rPr>
          <w:rFonts w:ascii="Open Sans" w:hAnsi="Open Sans" w:cs="Open Sans"/>
        </w:rPr>
        <w:t>if this</w:t>
      </w:r>
      <w:r w:rsidR="002467C0">
        <w:rPr>
          <w:rFonts w:ascii="Open Sans" w:hAnsi="Open Sans" w:cs="Open Sans"/>
        </w:rPr>
        <w:t xml:space="preserve"> is a falls policy that has been acknowledged by clinical staff. There is </w:t>
      </w:r>
      <w:r w:rsidR="00B007B8">
        <w:rPr>
          <w:rFonts w:ascii="Open Sans" w:hAnsi="Open Sans" w:cs="Open Sans"/>
        </w:rPr>
        <w:t>insufficient</w:t>
      </w:r>
      <w:r w:rsidR="002467C0">
        <w:rPr>
          <w:rFonts w:ascii="Open Sans" w:hAnsi="Open Sans" w:cs="Open Sans"/>
        </w:rPr>
        <w:t xml:space="preserve"> evidence brought forward in the provider’s response </w:t>
      </w:r>
      <w:r w:rsidR="0064755C">
        <w:rPr>
          <w:rFonts w:ascii="Open Sans" w:hAnsi="Open Sans" w:cs="Open Sans"/>
        </w:rPr>
        <w:t xml:space="preserve">to demonstrate clinical staff are complying with the </w:t>
      </w:r>
      <w:r w:rsidR="005B3DBB">
        <w:rPr>
          <w:rFonts w:ascii="Open Sans" w:hAnsi="Open Sans" w:cs="Open Sans"/>
        </w:rPr>
        <w:t>policy acknowledgment form, how many staff have a</w:t>
      </w:r>
      <w:r w:rsidR="009C395D">
        <w:rPr>
          <w:rFonts w:ascii="Open Sans" w:hAnsi="Open Sans" w:cs="Open Sans"/>
        </w:rPr>
        <w:t xml:space="preserve">ccepted the </w:t>
      </w:r>
      <w:r w:rsidR="008E667B">
        <w:rPr>
          <w:rFonts w:ascii="Open Sans" w:hAnsi="Open Sans" w:cs="Open Sans"/>
        </w:rPr>
        <w:t>acknowledgment</w:t>
      </w:r>
      <w:r w:rsidR="009C395D">
        <w:rPr>
          <w:rFonts w:ascii="Open Sans" w:hAnsi="Open Sans" w:cs="Open Sans"/>
        </w:rPr>
        <w:t xml:space="preserve"> statement for falls policy and how staff are evaluated to </w:t>
      </w:r>
      <w:r w:rsidR="009276BC">
        <w:rPr>
          <w:rFonts w:ascii="Open Sans" w:hAnsi="Open Sans" w:cs="Open Sans"/>
        </w:rPr>
        <w:t xml:space="preserve">check their </w:t>
      </w:r>
      <w:r w:rsidR="009A0360">
        <w:rPr>
          <w:rFonts w:ascii="Open Sans" w:hAnsi="Open Sans" w:cs="Open Sans"/>
        </w:rPr>
        <w:t>comprehension</w:t>
      </w:r>
      <w:r w:rsidR="009276BC">
        <w:rPr>
          <w:rFonts w:ascii="Open Sans" w:hAnsi="Open Sans" w:cs="Open Sans"/>
        </w:rPr>
        <w:t xml:space="preserve"> of the falls policy. </w:t>
      </w:r>
      <w:r w:rsidR="0068159D">
        <w:rPr>
          <w:rFonts w:ascii="Open Sans" w:hAnsi="Open Sans" w:cs="Open Sans"/>
        </w:rPr>
        <w:t xml:space="preserve">I </w:t>
      </w:r>
      <w:r w:rsidR="00744CC6">
        <w:rPr>
          <w:rFonts w:ascii="Open Sans" w:hAnsi="Open Sans" w:cs="Open Sans"/>
        </w:rPr>
        <w:t xml:space="preserve">acknowledge this is a process already embedded within the </w:t>
      </w:r>
      <w:r w:rsidR="002B7DF8">
        <w:rPr>
          <w:rFonts w:ascii="Open Sans" w:hAnsi="Open Sans" w:cs="Open Sans"/>
        </w:rPr>
        <w:t>service;</w:t>
      </w:r>
      <w:r w:rsidR="00744CC6">
        <w:rPr>
          <w:rFonts w:ascii="Open Sans" w:hAnsi="Open Sans" w:cs="Open Sans"/>
        </w:rPr>
        <w:t xml:space="preserve"> however, </w:t>
      </w:r>
      <w:r w:rsidR="00162E59">
        <w:rPr>
          <w:rFonts w:ascii="Open Sans" w:hAnsi="Open Sans" w:cs="Open Sans"/>
        </w:rPr>
        <w:t xml:space="preserve">I am not satisfied the process is </w:t>
      </w:r>
      <w:r w:rsidR="001066B2">
        <w:rPr>
          <w:rFonts w:ascii="Open Sans" w:hAnsi="Open Sans" w:cs="Open Sans"/>
        </w:rPr>
        <w:t>sufficiently robust to ensure staff</w:t>
      </w:r>
      <w:r w:rsidR="009C05AE">
        <w:rPr>
          <w:rFonts w:ascii="Open Sans" w:hAnsi="Open Sans" w:cs="Open Sans"/>
        </w:rPr>
        <w:t xml:space="preserve"> have sufficient knowledge to </w:t>
      </w:r>
      <w:r w:rsidR="00106E48">
        <w:rPr>
          <w:rFonts w:ascii="Open Sans" w:hAnsi="Open Sans" w:cs="Open Sans"/>
        </w:rPr>
        <w:t xml:space="preserve">align </w:t>
      </w:r>
      <w:r w:rsidR="009C05AE">
        <w:rPr>
          <w:rFonts w:ascii="Open Sans" w:hAnsi="Open Sans" w:cs="Open Sans"/>
        </w:rPr>
        <w:t>care delivery</w:t>
      </w:r>
      <w:r w:rsidR="00106E48">
        <w:rPr>
          <w:rFonts w:ascii="Open Sans" w:hAnsi="Open Sans" w:cs="Open Sans"/>
        </w:rPr>
        <w:t xml:space="preserve"> with polic</w:t>
      </w:r>
      <w:r w:rsidR="00386094">
        <w:rPr>
          <w:rFonts w:ascii="Open Sans" w:hAnsi="Open Sans" w:cs="Open Sans"/>
        </w:rPr>
        <w:t>y.</w:t>
      </w:r>
    </w:p>
    <w:p w14:paraId="2F095C9F" w14:textId="788785B8" w:rsidR="00FA6750" w:rsidRDefault="00FA6750" w:rsidP="00974E84">
      <w:pPr>
        <w:pStyle w:val="NormalArial"/>
        <w:spacing w:line="276" w:lineRule="auto"/>
        <w:rPr>
          <w:rFonts w:ascii="Open Sans" w:hAnsi="Open Sans" w:cs="Open Sans"/>
        </w:rPr>
      </w:pPr>
      <w:r>
        <w:rPr>
          <w:rFonts w:ascii="Open Sans" w:hAnsi="Open Sans" w:cs="Open Sans"/>
        </w:rPr>
        <w:t xml:space="preserve">Registered Nurses in the </w:t>
      </w:r>
      <w:r w:rsidR="00D42C21">
        <w:rPr>
          <w:rFonts w:ascii="Open Sans" w:hAnsi="Open Sans" w:cs="Open Sans"/>
        </w:rPr>
        <w:t>Jenny Mulley wing were unaware of the palliative care plan folder</w:t>
      </w:r>
      <w:r w:rsidR="003A703A">
        <w:rPr>
          <w:rFonts w:ascii="Open Sans" w:hAnsi="Open Sans" w:cs="Open Sans"/>
        </w:rPr>
        <w:t xml:space="preserve"> and could not demonstrate to the Assessment Team where to find it in the </w:t>
      </w:r>
      <w:r w:rsidR="00410C2A">
        <w:rPr>
          <w:rFonts w:ascii="Open Sans" w:hAnsi="Open Sans" w:cs="Open Sans"/>
        </w:rPr>
        <w:t>nurses’</w:t>
      </w:r>
      <w:r w:rsidR="003A703A">
        <w:rPr>
          <w:rFonts w:ascii="Open Sans" w:hAnsi="Open Sans" w:cs="Open Sans"/>
        </w:rPr>
        <w:t xml:space="preserve"> station. In the providers response, </w:t>
      </w:r>
      <w:r w:rsidR="002D314F">
        <w:rPr>
          <w:rFonts w:ascii="Open Sans" w:hAnsi="Open Sans" w:cs="Open Sans"/>
        </w:rPr>
        <w:t>management acknowledge the folder ‘had only just been introduced when the Commission arrived</w:t>
      </w:r>
      <w:r w:rsidR="0077295E">
        <w:rPr>
          <w:rFonts w:ascii="Open Sans" w:hAnsi="Open Sans" w:cs="Open Sans"/>
        </w:rPr>
        <w:t>.’</w:t>
      </w:r>
      <w:r w:rsidR="002D314F">
        <w:rPr>
          <w:rFonts w:ascii="Open Sans" w:hAnsi="Open Sans" w:cs="Open Sans"/>
        </w:rPr>
        <w:t xml:space="preserve"> </w:t>
      </w:r>
      <w:r w:rsidR="00880ED0">
        <w:rPr>
          <w:rFonts w:ascii="Open Sans" w:hAnsi="Open Sans" w:cs="Open Sans"/>
        </w:rPr>
        <w:t>The provider acknowledges the folder only contains the End-of-Life care plan</w:t>
      </w:r>
      <w:r w:rsidR="003609B1">
        <w:rPr>
          <w:rFonts w:ascii="Open Sans" w:hAnsi="Open Sans" w:cs="Open Sans"/>
        </w:rPr>
        <w:t xml:space="preserve">. I acknowledge the provider is now requesting an electronic version </w:t>
      </w:r>
      <w:r w:rsidR="00B73069">
        <w:rPr>
          <w:rFonts w:ascii="Open Sans" w:hAnsi="Open Sans" w:cs="Open Sans"/>
        </w:rPr>
        <w:t xml:space="preserve">to be uploaded to an online location accessible to all registered staff. </w:t>
      </w:r>
      <w:r w:rsidR="00FE2D68">
        <w:rPr>
          <w:rFonts w:ascii="Open Sans" w:hAnsi="Open Sans" w:cs="Open Sans"/>
        </w:rPr>
        <w:t xml:space="preserve">However, the provider has not demonstrated </w:t>
      </w:r>
      <w:r w:rsidR="00A20855">
        <w:rPr>
          <w:rFonts w:ascii="Open Sans" w:hAnsi="Open Sans" w:cs="Open Sans"/>
        </w:rPr>
        <w:t>with substant</w:t>
      </w:r>
      <w:r w:rsidR="000B7C1C">
        <w:rPr>
          <w:rFonts w:ascii="Open Sans" w:hAnsi="Open Sans" w:cs="Open Sans"/>
        </w:rPr>
        <w:t>iated</w:t>
      </w:r>
      <w:r w:rsidR="00A20855">
        <w:rPr>
          <w:rFonts w:ascii="Open Sans" w:hAnsi="Open Sans" w:cs="Open Sans"/>
        </w:rPr>
        <w:t xml:space="preserve"> </w:t>
      </w:r>
      <w:r w:rsidR="00FE2D68">
        <w:rPr>
          <w:rFonts w:ascii="Open Sans" w:hAnsi="Open Sans" w:cs="Open Sans"/>
        </w:rPr>
        <w:t>evidence this has been completed</w:t>
      </w:r>
      <w:r w:rsidR="00A20855">
        <w:rPr>
          <w:rFonts w:ascii="Open Sans" w:hAnsi="Open Sans" w:cs="Open Sans"/>
        </w:rPr>
        <w:t xml:space="preserve"> and subsequently implemented. </w:t>
      </w:r>
    </w:p>
    <w:p w14:paraId="15FDD3FC" w14:textId="610B0A54" w:rsidR="005F6BAE" w:rsidRDefault="00C37CA0" w:rsidP="00974E84">
      <w:pPr>
        <w:pStyle w:val="NormalArial"/>
        <w:spacing w:line="276" w:lineRule="auto"/>
        <w:rPr>
          <w:rFonts w:ascii="Open Sans" w:hAnsi="Open Sans" w:cs="Open Sans"/>
        </w:rPr>
      </w:pPr>
      <w:r>
        <w:rPr>
          <w:rFonts w:ascii="Open Sans" w:hAnsi="Open Sans" w:cs="Open Sans"/>
        </w:rPr>
        <w:t xml:space="preserve">Staff said they do not need to refer to the information </w:t>
      </w:r>
      <w:r w:rsidR="00B73719">
        <w:rPr>
          <w:rFonts w:ascii="Open Sans" w:hAnsi="Open Sans" w:cs="Open Sans"/>
        </w:rPr>
        <w:t xml:space="preserve">as they know consumers well. One staff member was </w:t>
      </w:r>
      <w:r w:rsidR="00AB6546">
        <w:rPr>
          <w:rFonts w:ascii="Open Sans" w:hAnsi="Open Sans" w:cs="Open Sans"/>
        </w:rPr>
        <w:t xml:space="preserve">subsequently </w:t>
      </w:r>
      <w:r w:rsidR="00B73719">
        <w:rPr>
          <w:rFonts w:ascii="Open Sans" w:hAnsi="Open Sans" w:cs="Open Sans"/>
        </w:rPr>
        <w:t xml:space="preserve">observed preparing </w:t>
      </w:r>
      <w:r w:rsidR="00571F44">
        <w:rPr>
          <w:rFonts w:ascii="Open Sans" w:hAnsi="Open Sans" w:cs="Open Sans"/>
        </w:rPr>
        <w:t>and delivering an incorrect diet</w:t>
      </w:r>
      <w:r w:rsidR="001C5201">
        <w:rPr>
          <w:rFonts w:ascii="Open Sans" w:hAnsi="Open Sans" w:cs="Open Sans"/>
        </w:rPr>
        <w:t xml:space="preserve"> profile meal to one consumer. Another staff member identified the </w:t>
      </w:r>
      <w:r w:rsidR="00C804EA">
        <w:rPr>
          <w:rFonts w:ascii="Open Sans" w:hAnsi="Open Sans" w:cs="Open Sans"/>
        </w:rPr>
        <w:lastRenderedPageBreak/>
        <w:t>mistake.</w:t>
      </w:r>
      <w:r w:rsidR="00156434">
        <w:rPr>
          <w:rFonts w:ascii="Open Sans" w:hAnsi="Open Sans" w:cs="Open Sans"/>
        </w:rPr>
        <w:t xml:space="preserve"> The clinical coordinator acknowledged staff are not completing charts in a timely manner which does not ensure accurate information is captured.</w:t>
      </w:r>
      <w:r w:rsidR="00C804EA">
        <w:rPr>
          <w:rFonts w:ascii="Open Sans" w:hAnsi="Open Sans" w:cs="Open Sans"/>
        </w:rPr>
        <w:t xml:space="preserve"> In the provider’s respo</w:t>
      </w:r>
      <w:r w:rsidR="00173DF9">
        <w:rPr>
          <w:rFonts w:ascii="Open Sans" w:hAnsi="Open Sans" w:cs="Open Sans"/>
        </w:rPr>
        <w:t>nse, management acknowledge</w:t>
      </w:r>
      <w:r w:rsidR="00985637">
        <w:rPr>
          <w:rFonts w:ascii="Open Sans" w:hAnsi="Open Sans" w:cs="Open Sans"/>
        </w:rPr>
        <w:t>d</w:t>
      </w:r>
      <w:r w:rsidR="005C6472">
        <w:rPr>
          <w:rFonts w:ascii="Open Sans" w:hAnsi="Open Sans" w:cs="Open Sans"/>
        </w:rPr>
        <w:t xml:space="preserve"> there is a process in place to manage diets</w:t>
      </w:r>
      <w:r w:rsidR="002B11CD">
        <w:rPr>
          <w:rFonts w:ascii="Open Sans" w:hAnsi="Open Sans" w:cs="Open Sans"/>
        </w:rPr>
        <w:t xml:space="preserve"> and the issue has </w:t>
      </w:r>
      <w:r w:rsidR="00985637">
        <w:rPr>
          <w:rFonts w:ascii="Open Sans" w:hAnsi="Open Sans" w:cs="Open Sans"/>
        </w:rPr>
        <w:t>identified</w:t>
      </w:r>
      <w:r w:rsidR="002B11CD">
        <w:rPr>
          <w:rFonts w:ascii="Open Sans" w:hAnsi="Open Sans" w:cs="Open Sans"/>
        </w:rPr>
        <w:t xml:space="preserve"> the need for an audit</w:t>
      </w:r>
      <w:r w:rsidR="00807D8F">
        <w:rPr>
          <w:rFonts w:ascii="Open Sans" w:hAnsi="Open Sans" w:cs="Open Sans"/>
        </w:rPr>
        <w:t xml:space="preserve"> to ensure diets </w:t>
      </w:r>
      <w:r w:rsidR="00CB2BE5">
        <w:rPr>
          <w:rFonts w:ascii="Open Sans" w:hAnsi="Open Sans" w:cs="Open Sans"/>
        </w:rPr>
        <w:t xml:space="preserve">are correct. </w:t>
      </w:r>
      <w:r w:rsidR="008C1070">
        <w:rPr>
          <w:rFonts w:ascii="Open Sans" w:hAnsi="Open Sans" w:cs="Open Sans"/>
        </w:rPr>
        <w:t>In response to the identified deficien</w:t>
      </w:r>
      <w:r w:rsidR="001B4F6F">
        <w:rPr>
          <w:rFonts w:ascii="Open Sans" w:hAnsi="Open Sans" w:cs="Open Sans"/>
        </w:rPr>
        <w:t>cy, t</w:t>
      </w:r>
      <w:r w:rsidR="00803CAA">
        <w:rPr>
          <w:rFonts w:ascii="Open Sans" w:hAnsi="Open Sans" w:cs="Open Sans"/>
        </w:rPr>
        <w:t>he provider</w:t>
      </w:r>
      <w:r w:rsidR="001B4F6F">
        <w:rPr>
          <w:rFonts w:ascii="Open Sans" w:hAnsi="Open Sans" w:cs="Open Sans"/>
        </w:rPr>
        <w:t xml:space="preserve"> </w:t>
      </w:r>
      <w:r w:rsidR="00BE53B3">
        <w:rPr>
          <w:rFonts w:ascii="Open Sans" w:hAnsi="Open Sans" w:cs="Open Sans"/>
        </w:rPr>
        <w:t>states ‘meal compliance audits completed, dietary profiles corrected</w:t>
      </w:r>
      <w:r w:rsidR="00240AAC">
        <w:rPr>
          <w:rFonts w:ascii="Open Sans" w:hAnsi="Open Sans" w:cs="Open Sans"/>
        </w:rPr>
        <w:t>, staff retrained</w:t>
      </w:r>
      <w:r w:rsidR="0077295E">
        <w:rPr>
          <w:rFonts w:ascii="Open Sans" w:hAnsi="Open Sans" w:cs="Open Sans"/>
        </w:rPr>
        <w:t>.’</w:t>
      </w:r>
      <w:r w:rsidR="00240AAC">
        <w:rPr>
          <w:rFonts w:ascii="Open Sans" w:hAnsi="Open Sans" w:cs="Open Sans"/>
        </w:rPr>
        <w:t xml:space="preserve"> </w:t>
      </w:r>
      <w:r w:rsidR="001B4F6F">
        <w:rPr>
          <w:rFonts w:ascii="Open Sans" w:hAnsi="Open Sans" w:cs="Open Sans"/>
        </w:rPr>
        <w:t xml:space="preserve">Although I accept the statement </w:t>
      </w:r>
      <w:r w:rsidR="0021515C">
        <w:rPr>
          <w:rFonts w:ascii="Open Sans" w:hAnsi="Open Sans" w:cs="Open Sans"/>
        </w:rPr>
        <w:t xml:space="preserve">is </w:t>
      </w:r>
      <w:r w:rsidR="00190EC3">
        <w:rPr>
          <w:rFonts w:ascii="Open Sans" w:hAnsi="Open Sans" w:cs="Open Sans"/>
        </w:rPr>
        <w:t xml:space="preserve">reflected in the PCI and is </w:t>
      </w:r>
      <w:r w:rsidR="0021515C">
        <w:rPr>
          <w:rFonts w:ascii="Open Sans" w:hAnsi="Open Sans" w:cs="Open Sans"/>
        </w:rPr>
        <w:t>attempting to reassure the Commission the</w:t>
      </w:r>
      <w:r w:rsidR="001C60E6">
        <w:rPr>
          <w:rFonts w:ascii="Open Sans" w:hAnsi="Open Sans" w:cs="Open Sans"/>
        </w:rPr>
        <w:t xml:space="preserve">re is downward pressure on the risk, </w:t>
      </w:r>
      <w:r w:rsidR="002B6326">
        <w:rPr>
          <w:rFonts w:ascii="Open Sans" w:hAnsi="Open Sans" w:cs="Open Sans"/>
        </w:rPr>
        <w:t xml:space="preserve">the provider has not brought forward evidence </w:t>
      </w:r>
      <w:r w:rsidR="00FC1B0D">
        <w:rPr>
          <w:rFonts w:ascii="Open Sans" w:hAnsi="Open Sans" w:cs="Open Sans"/>
        </w:rPr>
        <w:t>for consideration</w:t>
      </w:r>
      <w:r w:rsidR="009F646A">
        <w:rPr>
          <w:rFonts w:ascii="Open Sans" w:hAnsi="Open Sans" w:cs="Open Sans"/>
        </w:rPr>
        <w:t>,</w:t>
      </w:r>
      <w:r w:rsidR="00FC1B0D">
        <w:rPr>
          <w:rFonts w:ascii="Open Sans" w:hAnsi="Open Sans" w:cs="Open Sans"/>
        </w:rPr>
        <w:t xml:space="preserve"> </w:t>
      </w:r>
      <w:r w:rsidR="002B6326">
        <w:rPr>
          <w:rFonts w:ascii="Open Sans" w:hAnsi="Open Sans" w:cs="Open Sans"/>
        </w:rPr>
        <w:t xml:space="preserve">to </w:t>
      </w:r>
      <w:r w:rsidR="0043527E">
        <w:rPr>
          <w:rFonts w:ascii="Open Sans" w:hAnsi="Open Sans" w:cs="Open Sans"/>
        </w:rPr>
        <w:t>substantiate the actions have been undertaken and</w:t>
      </w:r>
      <w:r w:rsidR="0028629D">
        <w:rPr>
          <w:rFonts w:ascii="Open Sans" w:hAnsi="Open Sans" w:cs="Open Sans"/>
        </w:rPr>
        <w:t xml:space="preserve"> how the results have </w:t>
      </w:r>
      <w:r w:rsidR="000F564E">
        <w:rPr>
          <w:rFonts w:ascii="Open Sans" w:hAnsi="Open Sans" w:cs="Open Sans"/>
        </w:rPr>
        <w:t xml:space="preserve">abated risk to </w:t>
      </w:r>
      <w:r w:rsidR="0028629D">
        <w:rPr>
          <w:rFonts w:ascii="Open Sans" w:hAnsi="Open Sans" w:cs="Open Sans"/>
        </w:rPr>
        <w:t>improve outcomes for consumers.</w:t>
      </w:r>
      <w:r w:rsidR="005F6BAE">
        <w:rPr>
          <w:rFonts w:ascii="Open Sans" w:hAnsi="Open Sans" w:cs="Open Sans"/>
        </w:rPr>
        <w:t xml:space="preserve"> </w:t>
      </w:r>
    </w:p>
    <w:p w14:paraId="3E849B07" w14:textId="110F0E88" w:rsidR="00A20855" w:rsidRDefault="00341684" w:rsidP="00974E84">
      <w:pPr>
        <w:pStyle w:val="NormalArial"/>
        <w:spacing w:line="276" w:lineRule="auto"/>
        <w:rPr>
          <w:rFonts w:ascii="Open Sans" w:hAnsi="Open Sans" w:cs="Open Sans"/>
        </w:rPr>
      </w:pPr>
      <w:r>
        <w:rPr>
          <w:rFonts w:ascii="Open Sans" w:hAnsi="Open Sans" w:cs="Open Sans"/>
        </w:rPr>
        <w:t xml:space="preserve">Care plans are not </w:t>
      </w:r>
      <w:r w:rsidR="005271D9">
        <w:rPr>
          <w:rFonts w:ascii="Open Sans" w:hAnsi="Open Sans" w:cs="Open Sans"/>
        </w:rPr>
        <w:t xml:space="preserve">reflective </w:t>
      </w:r>
      <w:r w:rsidR="00C1202E">
        <w:rPr>
          <w:rFonts w:ascii="Open Sans" w:hAnsi="Open Sans" w:cs="Open Sans"/>
        </w:rPr>
        <w:t xml:space="preserve">of consumers’ needs, goals and preferences and do not </w:t>
      </w:r>
      <w:r w:rsidR="008A3085">
        <w:rPr>
          <w:rFonts w:ascii="Open Sans" w:hAnsi="Open Sans" w:cs="Open Sans"/>
        </w:rPr>
        <w:t>contain</w:t>
      </w:r>
      <w:r w:rsidR="00C1202E">
        <w:rPr>
          <w:rFonts w:ascii="Open Sans" w:hAnsi="Open Sans" w:cs="Open Sans"/>
        </w:rPr>
        <w:t xml:space="preserve"> </w:t>
      </w:r>
      <w:r w:rsidR="008A3085">
        <w:rPr>
          <w:rFonts w:ascii="Open Sans" w:hAnsi="Open Sans" w:cs="Open Sans"/>
        </w:rPr>
        <w:t>sufficient</w:t>
      </w:r>
      <w:r w:rsidR="00C1202E">
        <w:rPr>
          <w:rFonts w:ascii="Open Sans" w:hAnsi="Open Sans" w:cs="Open Sans"/>
        </w:rPr>
        <w:t xml:space="preserve"> information to guide staff </w:t>
      </w:r>
      <w:r w:rsidR="004949AD">
        <w:rPr>
          <w:rFonts w:ascii="Open Sans" w:hAnsi="Open Sans" w:cs="Open Sans"/>
        </w:rPr>
        <w:t xml:space="preserve">in delivery of care. </w:t>
      </w:r>
      <w:r w:rsidR="0089400F">
        <w:rPr>
          <w:rFonts w:ascii="Open Sans" w:hAnsi="Open Sans" w:cs="Open Sans"/>
        </w:rPr>
        <w:t>Staff and management did not have a shared understanding of consumers current condition, needs and preferences or strategies</w:t>
      </w:r>
      <w:r w:rsidR="007E4E23">
        <w:rPr>
          <w:rFonts w:ascii="Open Sans" w:hAnsi="Open Sans" w:cs="Open Sans"/>
        </w:rPr>
        <w:t xml:space="preserve"> to be implemented to meet their needs. In the provider’s response, management </w:t>
      </w:r>
      <w:r w:rsidR="006506CE">
        <w:rPr>
          <w:rFonts w:ascii="Open Sans" w:hAnsi="Open Sans" w:cs="Open Sans"/>
        </w:rPr>
        <w:t>stated ‘see previous</w:t>
      </w:r>
      <w:r w:rsidR="0077295E">
        <w:rPr>
          <w:rFonts w:ascii="Open Sans" w:hAnsi="Open Sans" w:cs="Open Sans"/>
        </w:rPr>
        <w:t>.’</w:t>
      </w:r>
      <w:r w:rsidR="006506CE">
        <w:rPr>
          <w:rFonts w:ascii="Open Sans" w:hAnsi="Open Sans" w:cs="Open Sans"/>
        </w:rPr>
        <w:t xml:space="preserve"> </w:t>
      </w:r>
      <w:r w:rsidR="0045243D">
        <w:rPr>
          <w:rFonts w:ascii="Open Sans" w:hAnsi="Open Sans" w:cs="Open Sans"/>
        </w:rPr>
        <w:t>The previous response was ‘management acknowledged there is a process in place to manage diets and the issue has identified the need for an audit to ensure diets are correct. ‘</w:t>
      </w:r>
      <w:r w:rsidR="008A3085">
        <w:rPr>
          <w:rFonts w:ascii="Open Sans" w:hAnsi="Open Sans" w:cs="Open Sans"/>
        </w:rPr>
        <w:t>M</w:t>
      </w:r>
      <w:r w:rsidR="0045243D">
        <w:rPr>
          <w:rFonts w:ascii="Open Sans" w:hAnsi="Open Sans" w:cs="Open Sans"/>
        </w:rPr>
        <w:t>eal compliance audits completed, dietary profiles corrected, staff retrained</w:t>
      </w:r>
      <w:r w:rsidR="0077295E">
        <w:rPr>
          <w:rFonts w:ascii="Open Sans" w:hAnsi="Open Sans" w:cs="Open Sans"/>
        </w:rPr>
        <w:t>.’</w:t>
      </w:r>
      <w:r w:rsidR="008A3085">
        <w:rPr>
          <w:rFonts w:ascii="Open Sans" w:hAnsi="Open Sans" w:cs="Open Sans"/>
        </w:rPr>
        <w:t xml:space="preserve"> </w:t>
      </w:r>
      <w:r w:rsidR="00D84D96">
        <w:rPr>
          <w:rFonts w:ascii="Open Sans" w:hAnsi="Open Sans" w:cs="Open Sans"/>
        </w:rPr>
        <w:t xml:space="preserve">I am not satisfied </w:t>
      </w:r>
      <w:r w:rsidR="00C71395">
        <w:rPr>
          <w:rFonts w:ascii="Open Sans" w:hAnsi="Open Sans" w:cs="Open Sans"/>
        </w:rPr>
        <w:t>this response addresses the</w:t>
      </w:r>
      <w:r w:rsidR="00B47285">
        <w:rPr>
          <w:rFonts w:ascii="Open Sans" w:hAnsi="Open Sans" w:cs="Open Sans"/>
        </w:rPr>
        <w:t xml:space="preserve"> identified deficiency and the provider did not bring forward </w:t>
      </w:r>
      <w:r w:rsidR="00994E29">
        <w:rPr>
          <w:rFonts w:ascii="Open Sans" w:hAnsi="Open Sans" w:cs="Open Sans"/>
        </w:rPr>
        <w:t xml:space="preserve">sufficient </w:t>
      </w:r>
      <w:r w:rsidR="00B47285">
        <w:rPr>
          <w:rFonts w:ascii="Open Sans" w:hAnsi="Open Sans" w:cs="Open Sans"/>
        </w:rPr>
        <w:t>evidence for consideration</w:t>
      </w:r>
      <w:r w:rsidR="0075770D">
        <w:rPr>
          <w:rFonts w:ascii="Open Sans" w:hAnsi="Open Sans" w:cs="Open Sans"/>
        </w:rPr>
        <w:t>,</w:t>
      </w:r>
      <w:r w:rsidR="00B47285">
        <w:rPr>
          <w:rFonts w:ascii="Open Sans" w:hAnsi="Open Sans" w:cs="Open Sans"/>
        </w:rPr>
        <w:t xml:space="preserve"> </w:t>
      </w:r>
      <w:r w:rsidR="00976738">
        <w:rPr>
          <w:rFonts w:ascii="Open Sans" w:hAnsi="Open Sans" w:cs="Open Sans"/>
        </w:rPr>
        <w:t xml:space="preserve">to </w:t>
      </w:r>
      <w:r w:rsidR="00B47285">
        <w:rPr>
          <w:rFonts w:ascii="Open Sans" w:hAnsi="Open Sans" w:cs="Open Sans"/>
        </w:rPr>
        <w:t>spe</w:t>
      </w:r>
      <w:r w:rsidR="00976738">
        <w:rPr>
          <w:rFonts w:ascii="Open Sans" w:hAnsi="Open Sans" w:cs="Open Sans"/>
        </w:rPr>
        <w:t>cifically demonstrate this deficiency is being managed.</w:t>
      </w:r>
    </w:p>
    <w:p w14:paraId="3342FA43" w14:textId="413016E5" w:rsidR="00976738" w:rsidRDefault="004E0F93" w:rsidP="00974E84">
      <w:pPr>
        <w:pStyle w:val="NormalArial"/>
        <w:spacing w:line="276" w:lineRule="auto"/>
        <w:rPr>
          <w:rFonts w:ascii="Open Sans" w:hAnsi="Open Sans" w:cs="Open Sans"/>
        </w:rPr>
      </w:pPr>
      <w:r>
        <w:rPr>
          <w:rFonts w:ascii="Open Sans" w:hAnsi="Open Sans" w:cs="Open Sans"/>
        </w:rPr>
        <w:t>For one consumer</w:t>
      </w:r>
      <w:r w:rsidR="0047551F">
        <w:rPr>
          <w:rFonts w:ascii="Open Sans" w:hAnsi="Open Sans" w:cs="Open Sans"/>
        </w:rPr>
        <w:t xml:space="preserve">, a </w:t>
      </w:r>
      <w:r w:rsidR="00DF6343">
        <w:rPr>
          <w:rFonts w:ascii="Open Sans" w:hAnsi="Open Sans" w:cs="Open Sans"/>
        </w:rPr>
        <w:t>R</w:t>
      </w:r>
      <w:r w:rsidR="0047551F">
        <w:rPr>
          <w:rFonts w:ascii="Open Sans" w:hAnsi="Open Sans" w:cs="Open Sans"/>
        </w:rPr>
        <w:t xml:space="preserve">egistered </w:t>
      </w:r>
      <w:r w:rsidR="00DF6343">
        <w:rPr>
          <w:rFonts w:ascii="Open Sans" w:hAnsi="Open Sans" w:cs="Open Sans"/>
        </w:rPr>
        <w:t>N</w:t>
      </w:r>
      <w:r w:rsidR="0047551F">
        <w:rPr>
          <w:rFonts w:ascii="Open Sans" w:hAnsi="Open Sans" w:cs="Open Sans"/>
        </w:rPr>
        <w:t>urse said the handover system does not ensure adequate information about consumers is effectively communicated</w:t>
      </w:r>
      <w:r w:rsidR="00466EAE">
        <w:rPr>
          <w:rFonts w:ascii="Open Sans" w:hAnsi="Open Sans" w:cs="Open Sans"/>
        </w:rPr>
        <w:t xml:space="preserve">. </w:t>
      </w:r>
      <w:r w:rsidR="00232F65">
        <w:rPr>
          <w:rFonts w:ascii="Open Sans" w:hAnsi="Open Sans" w:cs="Open Sans"/>
        </w:rPr>
        <w:t xml:space="preserve">The </w:t>
      </w:r>
      <w:r w:rsidR="003B57A5">
        <w:rPr>
          <w:rFonts w:ascii="Open Sans" w:hAnsi="Open Sans" w:cs="Open Sans"/>
        </w:rPr>
        <w:t>registered</w:t>
      </w:r>
      <w:r w:rsidR="00DA188E">
        <w:rPr>
          <w:rFonts w:ascii="Open Sans" w:hAnsi="Open Sans" w:cs="Open Sans"/>
        </w:rPr>
        <w:t xml:space="preserve"> nurse</w:t>
      </w:r>
      <w:r w:rsidR="003B57A5">
        <w:rPr>
          <w:rFonts w:ascii="Open Sans" w:hAnsi="Open Sans" w:cs="Open Sans"/>
        </w:rPr>
        <w:t xml:space="preserve"> said they are limited to</w:t>
      </w:r>
      <w:r w:rsidR="002869D0">
        <w:rPr>
          <w:rFonts w:ascii="Open Sans" w:hAnsi="Open Sans" w:cs="Open Sans"/>
        </w:rPr>
        <w:t xml:space="preserve"> the</w:t>
      </w:r>
      <w:r w:rsidR="003B57A5">
        <w:rPr>
          <w:rFonts w:ascii="Open Sans" w:hAnsi="Open Sans" w:cs="Open Sans"/>
        </w:rPr>
        <w:t xml:space="preserve"> last 24 hours of information</w:t>
      </w:r>
      <w:r w:rsidR="00655474">
        <w:rPr>
          <w:rFonts w:ascii="Open Sans" w:hAnsi="Open Sans" w:cs="Open Sans"/>
        </w:rPr>
        <w:t xml:space="preserve"> and therefore unable to </w:t>
      </w:r>
      <w:r w:rsidR="002869D0">
        <w:rPr>
          <w:rFonts w:ascii="Open Sans" w:hAnsi="Open Sans" w:cs="Open Sans"/>
        </w:rPr>
        <w:t>track</w:t>
      </w:r>
      <w:r w:rsidR="00655474">
        <w:rPr>
          <w:rFonts w:ascii="Open Sans" w:hAnsi="Open Sans" w:cs="Open Sans"/>
        </w:rPr>
        <w:t xml:space="preserve"> issues that have been </w:t>
      </w:r>
      <w:r w:rsidR="002869D0">
        <w:rPr>
          <w:rFonts w:ascii="Open Sans" w:hAnsi="Open Sans" w:cs="Open Sans"/>
        </w:rPr>
        <w:t xml:space="preserve">evolving or need to be followed up from 3-4 days prior. </w:t>
      </w:r>
      <w:r w:rsidR="00184E63">
        <w:rPr>
          <w:rFonts w:ascii="Open Sans" w:hAnsi="Open Sans" w:cs="Open Sans"/>
        </w:rPr>
        <w:t xml:space="preserve">The </w:t>
      </w:r>
      <w:r w:rsidR="006E0F77">
        <w:rPr>
          <w:rFonts w:ascii="Open Sans" w:hAnsi="Open Sans" w:cs="Open Sans"/>
        </w:rPr>
        <w:t>Registered</w:t>
      </w:r>
      <w:r w:rsidR="00184E63">
        <w:rPr>
          <w:rFonts w:ascii="Open Sans" w:hAnsi="Open Sans" w:cs="Open Sans"/>
        </w:rPr>
        <w:t xml:space="preserve"> Nurse said this results in care being missed if it was</w:t>
      </w:r>
      <w:r w:rsidR="007309E9">
        <w:rPr>
          <w:rFonts w:ascii="Open Sans" w:hAnsi="Open Sans" w:cs="Open Sans"/>
        </w:rPr>
        <w:t xml:space="preserve"> a care issue identified days earlier. In the provider’s response, </w:t>
      </w:r>
      <w:r w:rsidR="00B75933">
        <w:rPr>
          <w:rFonts w:ascii="Open Sans" w:hAnsi="Open Sans" w:cs="Open Sans"/>
        </w:rPr>
        <w:t xml:space="preserve">management do not </w:t>
      </w:r>
      <w:r w:rsidR="00AB2D31">
        <w:rPr>
          <w:rFonts w:ascii="Open Sans" w:hAnsi="Open Sans" w:cs="Open Sans"/>
        </w:rPr>
        <w:t xml:space="preserve">directly </w:t>
      </w:r>
      <w:r w:rsidR="00B75933">
        <w:rPr>
          <w:rFonts w:ascii="Open Sans" w:hAnsi="Open Sans" w:cs="Open Sans"/>
        </w:rPr>
        <w:t xml:space="preserve">acknowledge the deficiency </w:t>
      </w:r>
      <w:r w:rsidR="00D33EC8">
        <w:rPr>
          <w:rFonts w:ascii="Open Sans" w:hAnsi="Open Sans" w:cs="Open Sans"/>
        </w:rPr>
        <w:t xml:space="preserve">but state a </w:t>
      </w:r>
      <w:r w:rsidR="00C45B3F">
        <w:rPr>
          <w:rFonts w:ascii="Open Sans" w:hAnsi="Open Sans" w:cs="Open Sans"/>
        </w:rPr>
        <w:t>‘</w:t>
      </w:r>
      <w:r w:rsidR="00D33EC8">
        <w:rPr>
          <w:rFonts w:ascii="Open Sans" w:hAnsi="Open Sans" w:cs="Open Sans"/>
        </w:rPr>
        <w:t xml:space="preserve">handover template is being </w:t>
      </w:r>
      <w:r w:rsidR="00660CFB">
        <w:rPr>
          <w:rFonts w:ascii="Open Sans" w:hAnsi="Open Sans" w:cs="Open Sans"/>
        </w:rPr>
        <w:t>trialled</w:t>
      </w:r>
      <w:r w:rsidR="00D33EC8">
        <w:rPr>
          <w:rFonts w:ascii="Open Sans" w:hAnsi="Open Sans" w:cs="Open Sans"/>
        </w:rPr>
        <w:t xml:space="preserve"> </w:t>
      </w:r>
      <w:r w:rsidR="00085AD4">
        <w:rPr>
          <w:rFonts w:ascii="Open Sans" w:hAnsi="Open Sans" w:cs="Open Sans"/>
        </w:rPr>
        <w:t>in Memory Retreat and has been going well</w:t>
      </w:r>
      <w:r w:rsidR="0077295E">
        <w:rPr>
          <w:rFonts w:ascii="Open Sans" w:hAnsi="Open Sans" w:cs="Open Sans"/>
        </w:rPr>
        <w:t>.’</w:t>
      </w:r>
      <w:r w:rsidR="00660CFB">
        <w:rPr>
          <w:rFonts w:ascii="Open Sans" w:hAnsi="Open Sans" w:cs="Open Sans"/>
        </w:rPr>
        <w:t xml:space="preserve"> </w:t>
      </w:r>
      <w:r w:rsidR="00C45B3F">
        <w:rPr>
          <w:rFonts w:ascii="Open Sans" w:hAnsi="Open Sans" w:cs="Open Sans"/>
        </w:rPr>
        <w:t xml:space="preserve">I acknowledge the provider is </w:t>
      </w:r>
      <w:r w:rsidR="00AB2D31">
        <w:rPr>
          <w:rFonts w:ascii="Open Sans" w:hAnsi="Open Sans" w:cs="Open Sans"/>
        </w:rPr>
        <w:t xml:space="preserve">also </w:t>
      </w:r>
      <w:r w:rsidR="0035638C">
        <w:rPr>
          <w:rFonts w:ascii="Open Sans" w:hAnsi="Open Sans" w:cs="Open Sans"/>
        </w:rPr>
        <w:t xml:space="preserve">planning to ‘deploy’ to the rest of the facility. </w:t>
      </w:r>
      <w:r w:rsidR="000727D9">
        <w:rPr>
          <w:rFonts w:ascii="Open Sans" w:hAnsi="Open Sans" w:cs="Open Sans"/>
        </w:rPr>
        <w:t xml:space="preserve">However, the provider has not brought forward </w:t>
      </w:r>
      <w:r w:rsidR="00AB2D31">
        <w:rPr>
          <w:rFonts w:ascii="Open Sans" w:hAnsi="Open Sans" w:cs="Open Sans"/>
        </w:rPr>
        <w:t xml:space="preserve">sufficient </w:t>
      </w:r>
      <w:r w:rsidR="000727D9">
        <w:rPr>
          <w:rFonts w:ascii="Open Sans" w:hAnsi="Open Sans" w:cs="Open Sans"/>
        </w:rPr>
        <w:t>evidence for consideration</w:t>
      </w:r>
      <w:r w:rsidR="00180ED8">
        <w:rPr>
          <w:rFonts w:ascii="Open Sans" w:hAnsi="Open Sans" w:cs="Open Sans"/>
        </w:rPr>
        <w:t>,</w:t>
      </w:r>
      <w:r w:rsidR="000727D9">
        <w:rPr>
          <w:rFonts w:ascii="Open Sans" w:hAnsi="Open Sans" w:cs="Open Sans"/>
        </w:rPr>
        <w:t xml:space="preserve"> to demonstrate </w:t>
      </w:r>
      <w:r w:rsidR="007E71AD">
        <w:rPr>
          <w:rFonts w:ascii="Open Sans" w:hAnsi="Open Sans" w:cs="Open Sans"/>
        </w:rPr>
        <w:t xml:space="preserve">a new handover template has been developed, trialled and </w:t>
      </w:r>
      <w:r w:rsidR="00332CDC">
        <w:rPr>
          <w:rFonts w:ascii="Open Sans" w:hAnsi="Open Sans" w:cs="Open Sans"/>
        </w:rPr>
        <w:t xml:space="preserve">reviewed for effectiveness. </w:t>
      </w:r>
    </w:p>
    <w:p w14:paraId="4FFA4A46" w14:textId="0D28F069" w:rsidR="00747768" w:rsidRDefault="00747768" w:rsidP="00974E84">
      <w:pPr>
        <w:pStyle w:val="NormalArial"/>
        <w:spacing w:line="276" w:lineRule="auto"/>
        <w:rPr>
          <w:rFonts w:ascii="Open Sans" w:hAnsi="Open Sans" w:cs="Open Sans"/>
        </w:rPr>
      </w:pPr>
      <w:r>
        <w:rPr>
          <w:rFonts w:ascii="Open Sans" w:hAnsi="Open Sans" w:cs="Open Sans"/>
        </w:rPr>
        <w:t>During this Assessment Contact</w:t>
      </w:r>
      <w:r w:rsidR="008E3A4A">
        <w:rPr>
          <w:rFonts w:ascii="Open Sans" w:hAnsi="Open Sans" w:cs="Open Sans"/>
        </w:rPr>
        <w:t xml:space="preserve">, management </w:t>
      </w:r>
      <w:r w:rsidR="00753817">
        <w:rPr>
          <w:rFonts w:ascii="Open Sans" w:hAnsi="Open Sans" w:cs="Open Sans"/>
        </w:rPr>
        <w:t>acknowledged</w:t>
      </w:r>
      <w:r w:rsidR="008E3A4A">
        <w:rPr>
          <w:rFonts w:ascii="Open Sans" w:hAnsi="Open Sans" w:cs="Open Sans"/>
        </w:rPr>
        <w:t xml:space="preserve"> </w:t>
      </w:r>
      <w:r w:rsidR="00753817">
        <w:rPr>
          <w:rFonts w:ascii="Open Sans" w:hAnsi="Open Sans" w:cs="Open Sans"/>
        </w:rPr>
        <w:t>difficulties</w:t>
      </w:r>
      <w:r w:rsidR="008E3A4A">
        <w:rPr>
          <w:rFonts w:ascii="Open Sans" w:hAnsi="Open Sans" w:cs="Open Sans"/>
        </w:rPr>
        <w:t xml:space="preserve"> with the </w:t>
      </w:r>
      <w:r w:rsidR="00753817">
        <w:rPr>
          <w:rFonts w:ascii="Open Sans" w:hAnsi="Open Sans" w:cs="Open Sans"/>
        </w:rPr>
        <w:t>electronic</w:t>
      </w:r>
      <w:r w:rsidR="008E3A4A">
        <w:rPr>
          <w:rFonts w:ascii="Open Sans" w:hAnsi="Open Sans" w:cs="Open Sans"/>
        </w:rPr>
        <w:t xml:space="preserve"> clinical management system</w:t>
      </w:r>
      <w:r w:rsidR="00E80CD6">
        <w:rPr>
          <w:rFonts w:ascii="Open Sans" w:hAnsi="Open Sans" w:cs="Open Sans"/>
        </w:rPr>
        <w:t xml:space="preserve"> (ECMS)</w:t>
      </w:r>
      <w:r w:rsidR="00ED7D6C">
        <w:rPr>
          <w:rFonts w:ascii="Open Sans" w:hAnsi="Open Sans" w:cs="Open Sans"/>
        </w:rPr>
        <w:t xml:space="preserve"> which made communication and </w:t>
      </w:r>
      <w:r w:rsidR="00ED7D6C">
        <w:rPr>
          <w:rFonts w:ascii="Open Sans" w:hAnsi="Open Sans" w:cs="Open Sans"/>
        </w:rPr>
        <w:lastRenderedPageBreak/>
        <w:t>management of consumers care difficult</w:t>
      </w:r>
      <w:r w:rsidR="00D716BB">
        <w:rPr>
          <w:rFonts w:ascii="Open Sans" w:hAnsi="Open Sans" w:cs="Open Sans"/>
        </w:rPr>
        <w:t xml:space="preserve">. Management were unable to demonstrate specific actions being undertaken </w:t>
      </w:r>
      <w:r w:rsidR="00CE039A">
        <w:rPr>
          <w:rFonts w:ascii="Open Sans" w:hAnsi="Open Sans" w:cs="Open Sans"/>
        </w:rPr>
        <w:t xml:space="preserve">to improve </w:t>
      </w:r>
      <w:r w:rsidR="00B40790">
        <w:rPr>
          <w:rFonts w:ascii="Open Sans" w:hAnsi="Open Sans" w:cs="Open Sans"/>
        </w:rPr>
        <w:t xml:space="preserve">communication and management of information related to clinical and personal care. </w:t>
      </w:r>
      <w:r w:rsidR="003303D6">
        <w:rPr>
          <w:rFonts w:ascii="Open Sans" w:hAnsi="Open Sans" w:cs="Open Sans"/>
        </w:rPr>
        <w:t xml:space="preserve">Inadequate information communicated in </w:t>
      </w:r>
      <w:r w:rsidR="00A11699">
        <w:rPr>
          <w:rFonts w:ascii="Open Sans" w:hAnsi="Open Sans" w:cs="Open Sans"/>
        </w:rPr>
        <w:t xml:space="preserve">palliative </w:t>
      </w:r>
      <w:r w:rsidR="003303D6">
        <w:rPr>
          <w:rFonts w:ascii="Open Sans" w:hAnsi="Open Sans" w:cs="Open Sans"/>
        </w:rPr>
        <w:t>care plans</w:t>
      </w:r>
      <w:r w:rsidR="00A11699">
        <w:rPr>
          <w:rFonts w:ascii="Open Sans" w:hAnsi="Open Sans" w:cs="Open Sans"/>
        </w:rPr>
        <w:t xml:space="preserve"> </w:t>
      </w:r>
      <w:r w:rsidR="0043278E">
        <w:rPr>
          <w:rFonts w:ascii="Open Sans" w:hAnsi="Open Sans" w:cs="Open Sans"/>
        </w:rPr>
        <w:t xml:space="preserve">effected </w:t>
      </w:r>
      <w:r w:rsidR="004F00BA">
        <w:rPr>
          <w:rFonts w:ascii="Open Sans" w:hAnsi="Open Sans" w:cs="Open Sans"/>
        </w:rPr>
        <w:t xml:space="preserve">contemporaneous </w:t>
      </w:r>
      <w:r w:rsidR="0043278E">
        <w:rPr>
          <w:rFonts w:ascii="Open Sans" w:hAnsi="Open Sans" w:cs="Open Sans"/>
        </w:rPr>
        <w:t>care delivery</w:t>
      </w:r>
      <w:r w:rsidR="004F00BA">
        <w:rPr>
          <w:rFonts w:ascii="Open Sans" w:hAnsi="Open Sans" w:cs="Open Sans"/>
        </w:rPr>
        <w:t>.</w:t>
      </w:r>
      <w:r w:rsidR="003303D6">
        <w:rPr>
          <w:rFonts w:ascii="Open Sans" w:hAnsi="Open Sans" w:cs="Open Sans"/>
        </w:rPr>
        <w:t xml:space="preserve"> </w:t>
      </w:r>
      <w:r w:rsidR="00D125AC">
        <w:rPr>
          <w:rFonts w:ascii="Open Sans" w:hAnsi="Open Sans" w:cs="Open Sans"/>
        </w:rPr>
        <w:t>In the provider’s response, management acknowledge</w:t>
      </w:r>
      <w:r w:rsidR="0001308F">
        <w:rPr>
          <w:rFonts w:ascii="Open Sans" w:hAnsi="Open Sans" w:cs="Open Sans"/>
        </w:rPr>
        <w:t>d</w:t>
      </w:r>
      <w:r w:rsidR="00D125AC">
        <w:rPr>
          <w:rFonts w:ascii="Open Sans" w:hAnsi="Open Sans" w:cs="Open Sans"/>
        </w:rPr>
        <w:t xml:space="preserve"> the electronic care management system </w:t>
      </w:r>
      <w:r w:rsidR="00A2316C">
        <w:rPr>
          <w:rFonts w:ascii="Open Sans" w:hAnsi="Open Sans" w:cs="Open Sans"/>
        </w:rPr>
        <w:t xml:space="preserve">has its limitations but as the system is </w:t>
      </w:r>
      <w:r w:rsidR="003D0279">
        <w:rPr>
          <w:rFonts w:ascii="Open Sans" w:hAnsi="Open Sans" w:cs="Open Sans"/>
        </w:rPr>
        <w:t>widely</w:t>
      </w:r>
      <w:r w:rsidR="00A2316C">
        <w:rPr>
          <w:rFonts w:ascii="Open Sans" w:hAnsi="Open Sans" w:cs="Open Sans"/>
        </w:rPr>
        <w:t xml:space="preserve"> used in industry by compl</w:t>
      </w:r>
      <w:r w:rsidR="00444D86">
        <w:rPr>
          <w:rFonts w:ascii="Open Sans" w:hAnsi="Open Sans" w:cs="Open Sans"/>
        </w:rPr>
        <w:t>ian</w:t>
      </w:r>
      <w:r w:rsidR="00A2316C">
        <w:rPr>
          <w:rFonts w:ascii="Open Sans" w:hAnsi="Open Sans" w:cs="Open Sans"/>
        </w:rPr>
        <w:t>t providers</w:t>
      </w:r>
      <w:r w:rsidR="00AD453D">
        <w:rPr>
          <w:rFonts w:ascii="Open Sans" w:hAnsi="Open Sans" w:cs="Open Sans"/>
        </w:rPr>
        <w:t xml:space="preserve">, </w:t>
      </w:r>
      <w:r w:rsidR="00B75AD3">
        <w:rPr>
          <w:rFonts w:ascii="Open Sans" w:hAnsi="Open Sans" w:cs="Open Sans"/>
        </w:rPr>
        <w:t>the provider</w:t>
      </w:r>
      <w:r w:rsidR="00AD453D">
        <w:rPr>
          <w:rFonts w:ascii="Open Sans" w:hAnsi="Open Sans" w:cs="Open Sans"/>
        </w:rPr>
        <w:t xml:space="preserve"> h</w:t>
      </w:r>
      <w:r w:rsidR="00B75AD3">
        <w:rPr>
          <w:rFonts w:ascii="Open Sans" w:hAnsi="Open Sans" w:cs="Open Sans"/>
        </w:rPr>
        <w:t xml:space="preserve">as subsequently </w:t>
      </w:r>
      <w:r w:rsidR="00AD453D">
        <w:rPr>
          <w:rFonts w:ascii="Open Sans" w:hAnsi="Open Sans" w:cs="Open Sans"/>
        </w:rPr>
        <w:t>met with</w:t>
      </w:r>
      <w:r w:rsidR="00C87FBA">
        <w:rPr>
          <w:rFonts w:ascii="Open Sans" w:hAnsi="Open Sans" w:cs="Open Sans"/>
        </w:rPr>
        <w:t xml:space="preserve"> the ECMS company representative</w:t>
      </w:r>
      <w:r w:rsidR="003D0279">
        <w:rPr>
          <w:rFonts w:ascii="Open Sans" w:hAnsi="Open Sans" w:cs="Open Sans"/>
        </w:rPr>
        <w:t xml:space="preserve"> to understand how other providers use the system to achieve compliance.</w:t>
      </w:r>
      <w:r w:rsidR="009919BC">
        <w:rPr>
          <w:rFonts w:ascii="Open Sans" w:hAnsi="Open Sans" w:cs="Open Sans"/>
        </w:rPr>
        <w:t xml:space="preserve"> I acknowledge the provider plans to:</w:t>
      </w:r>
    </w:p>
    <w:p w14:paraId="67943156" w14:textId="1D3EDC77" w:rsidR="009919BC" w:rsidRDefault="002B0748" w:rsidP="00974E84">
      <w:pPr>
        <w:pStyle w:val="NormalArial"/>
        <w:numPr>
          <w:ilvl w:val="0"/>
          <w:numId w:val="18"/>
        </w:numPr>
        <w:spacing w:before="120" w:line="276" w:lineRule="auto"/>
        <w:ind w:left="357" w:hanging="357"/>
        <w:rPr>
          <w:rFonts w:ascii="Open Sans" w:hAnsi="Open Sans" w:cs="Open Sans"/>
        </w:rPr>
      </w:pPr>
      <w:r>
        <w:rPr>
          <w:rFonts w:ascii="Open Sans" w:hAnsi="Open Sans" w:cs="Open Sans"/>
        </w:rPr>
        <w:t xml:space="preserve">review and rationalise assessments to reduce </w:t>
      </w:r>
      <w:r w:rsidR="00025973">
        <w:rPr>
          <w:rFonts w:ascii="Open Sans" w:hAnsi="Open Sans" w:cs="Open Sans"/>
        </w:rPr>
        <w:t>unnecessary</w:t>
      </w:r>
      <w:r>
        <w:rPr>
          <w:rFonts w:ascii="Open Sans" w:hAnsi="Open Sans" w:cs="Open Sans"/>
        </w:rPr>
        <w:t xml:space="preserve"> documentation to align with </w:t>
      </w:r>
      <w:r w:rsidR="00025973">
        <w:rPr>
          <w:rFonts w:ascii="Open Sans" w:hAnsi="Open Sans" w:cs="Open Sans"/>
        </w:rPr>
        <w:t>other</w:t>
      </w:r>
      <w:r>
        <w:rPr>
          <w:rFonts w:ascii="Open Sans" w:hAnsi="Open Sans" w:cs="Open Sans"/>
        </w:rPr>
        <w:t xml:space="preserve"> providers</w:t>
      </w:r>
    </w:p>
    <w:p w14:paraId="04049ECB" w14:textId="2D52DDED" w:rsidR="002B0748" w:rsidRDefault="00932BE8" w:rsidP="00974E84">
      <w:pPr>
        <w:pStyle w:val="NormalArial"/>
        <w:numPr>
          <w:ilvl w:val="0"/>
          <w:numId w:val="18"/>
        </w:numPr>
        <w:spacing w:before="120" w:line="276" w:lineRule="auto"/>
        <w:ind w:left="357" w:hanging="357"/>
        <w:rPr>
          <w:rFonts w:ascii="Open Sans" w:hAnsi="Open Sans" w:cs="Open Sans"/>
        </w:rPr>
      </w:pPr>
      <w:r>
        <w:rPr>
          <w:rFonts w:ascii="Open Sans" w:hAnsi="Open Sans" w:cs="Open Sans"/>
        </w:rPr>
        <w:t xml:space="preserve">turned on </w:t>
      </w:r>
      <w:r w:rsidR="00025973">
        <w:rPr>
          <w:rFonts w:ascii="Open Sans" w:hAnsi="Open Sans" w:cs="Open Sans"/>
        </w:rPr>
        <w:t>contemporaneous</w:t>
      </w:r>
      <w:r>
        <w:rPr>
          <w:rFonts w:ascii="Open Sans" w:hAnsi="Open Sans" w:cs="Open Sans"/>
        </w:rPr>
        <w:t xml:space="preserve"> neuro-observation</w:t>
      </w:r>
      <w:r w:rsidR="00C47D1E">
        <w:rPr>
          <w:rFonts w:ascii="Open Sans" w:hAnsi="Open Sans" w:cs="Open Sans"/>
        </w:rPr>
        <w:t>s</w:t>
      </w:r>
      <w:r>
        <w:rPr>
          <w:rFonts w:ascii="Open Sans" w:hAnsi="Open Sans" w:cs="Open Sans"/>
        </w:rPr>
        <w:t xml:space="preserve"> to align with best </w:t>
      </w:r>
      <w:r w:rsidR="00025973">
        <w:rPr>
          <w:rFonts w:ascii="Open Sans" w:hAnsi="Open Sans" w:cs="Open Sans"/>
        </w:rPr>
        <w:t>practice</w:t>
      </w:r>
    </w:p>
    <w:p w14:paraId="029DCAAE" w14:textId="78C388AC" w:rsidR="00932BE8" w:rsidRDefault="00932BE8" w:rsidP="00974E84">
      <w:pPr>
        <w:pStyle w:val="NormalArial"/>
        <w:numPr>
          <w:ilvl w:val="0"/>
          <w:numId w:val="18"/>
        </w:numPr>
        <w:spacing w:before="120" w:line="276" w:lineRule="auto"/>
        <w:ind w:left="357" w:hanging="357"/>
        <w:rPr>
          <w:rFonts w:ascii="Open Sans" w:hAnsi="Open Sans" w:cs="Open Sans"/>
        </w:rPr>
      </w:pPr>
      <w:r>
        <w:rPr>
          <w:rFonts w:ascii="Open Sans" w:hAnsi="Open Sans" w:cs="Open Sans"/>
        </w:rPr>
        <w:t xml:space="preserve">roll out a trial of reduced tasks </w:t>
      </w:r>
      <w:r w:rsidR="00025973">
        <w:rPr>
          <w:rFonts w:ascii="Open Sans" w:hAnsi="Open Sans" w:cs="Open Sans"/>
        </w:rPr>
        <w:t xml:space="preserve">beyond JM </w:t>
      </w:r>
    </w:p>
    <w:p w14:paraId="5AC4C34B" w14:textId="45B77BA8" w:rsidR="00B900EF" w:rsidRDefault="000019DD" w:rsidP="00974E84">
      <w:pPr>
        <w:pStyle w:val="NormalArial"/>
        <w:numPr>
          <w:ilvl w:val="0"/>
          <w:numId w:val="18"/>
        </w:numPr>
        <w:spacing w:before="120" w:line="276" w:lineRule="auto"/>
        <w:ind w:left="357" w:hanging="357"/>
        <w:rPr>
          <w:rFonts w:ascii="Open Sans" w:hAnsi="Open Sans" w:cs="Open Sans"/>
        </w:rPr>
      </w:pPr>
      <w:r>
        <w:rPr>
          <w:rFonts w:ascii="Open Sans" w:hAnsi="Open Sans" w:cs="Open Sans"/>
        </w:rPr>
        <w:t>engage</w:t>
      </w:r>
      <w:r w:rsidR="00B900EF">
        <w:rPr>
          <w:rFonts w:ascii="Open Sans" w:hAnsi="Open Sans" w:cs="Open Sans"/>
        </w:rPr>
        <w:t xml:space="preserve"> talk simple an </w:t>
      </w:r>
      <w:r>
        <w:rPr>
          <w:rFonts w:ascii="Open Sans" w:hAnsi="Open Sans" w:cs="Open Sans"/>
        </w:rPr>
        <w:t xml:space="preserve">experienced </w:t>
      </w:r>
      <w:r w:rsidR="00B900EF">
        <w:rPr>
          <w:rFonts w:ascii="Open Sans" w:hAnsi="Open Sans" w:cs="Open Sans"/>
        </w:rPr>
        <w:t xml:space="preserve">aged care automation consultant </w:t>
      </w:r>
      <w:r w:rsidR="00025B23">
        <w:rPr>
          <w:rFonts w:ascii="Open Sans" w:hAnsi="Open Sans" w:cs="Open Sans"/>
        </w:rPr>
        <w:t>to assist with reviewing the system to ensure the service are utilising it in an effective manner</w:t>
      </w:r>
    </w:p>
    <w:p w14:paraId="12039D3E" w14:textId="27334DFF" w:rsidR="000019DD" w:rsidRDefault="000019DD" w:rsidP="00974E84">
      <w:pPr>
        <w:pStyle w:val="NormalArial"/>
        <w:spacing w:line="276" w:lineRule="auto"/>
        <w:rPr>
          <w:rFonts w:ascii="Open Sans" w:hAnsi="Open Sans" w:cs="Open Sans"/>
        </w:rPr>
      </w:pPr>
      <w:r>
        <w:rPr>
          <w:rFonts w:ascii="Open Sans" w:hAnsi="Open Sans" w:cs="Open Sans"/>
        </w:rPr>
        <w:t xml:space="preserve">I acknowledge the </w:t>
      </w:r>
      <w:r w:rsidR="00DF6A8C">
        <w:rPr>
          <w:rFonts w:ascii="Open Sans" w:hAnsi="Open Sans" w:cs="Open Sans"/>
        </w:rPr>
        <w:t xml:space="preserve">plan brought forward by the provider </w:t>
      </w:r>
      <w:r w:rsidR="002F104F">
        <w:rPr>
          <w:rFonts w:ascii="Open Sans" w:hAnsi="Open Sans" w:cs="Open Sans"/>
        </w:rPr>
        <w:t xml:space="preserve">is reflected in the PCI </w:t>
      </w:r>
      <w:r w:rsidR="003C4514">
        <w:rPr>
          <w:rFonts w:ascii="Open Sans" w:hAnsi="Open Sans" w:cs="Open Sans"/>
        </w:rPr>
        <w:t xml:space="preserve">and the </w:t>
      </w:r>
      <w:r w:rsidR="00C47D1E">
        <w:rPr>
          <w:rFonts w:ascii="Open Sans" w:hAnsi="Open Sans" w:cs="Open Sans"/>
        </w:rPr>
        <w:t xml:space="preserve">immediate </w:t>
      </w:r>
      <w:r w:rsidR="00A0679F">
        <w:rPr>
          <w:rFonts w:ascii="Open Sans" w:hAnsi="Open Sans" w:cs="Open Sans"/>
        </w:rPr>
        <w:t>activation</w:t>
      </w:r>
      <w:r w:rsidR="00C47D1E">
        <w:rPr>
          <w:rFonts w:ascii="Open Sans" w:hAnsi="Open Sans" w:cs="Open Sans"/>
        </w:rPr>
        <w:t xml:space="preserve"> of </w:t>
      </w:r>
      <w:r w:rsidR="00A0679F">
        <w:rPr>
          <w:rFonts w:ascii="Open Sans" w:hAnsi="Open Sans" w:cs="Open Sans"/>
        </w:rPr>
        <w:t>contemporaneous neuro-observations.</w:t>
      </w:r>
      <w:r w:rsidR="00125833">
        <w:rPr>
          <w:rFonts w:ascii="Open Sans" w:hAnsi="Open Sans" w:cs="Open Sans"/>
        </w:rPr>
        <w:t xml:space="preserve"> </w:t>
      </w:r>
      <w:r w:rsidR="00EF3ED0">
        <w:rPr>
          <w:rFonts w:ascii="Open Sans" w:hAnsi="Open Sans" w:cs="Open Sans"/>
        </w:rPr>
        <w:t>The prov</w:t>
      </w:r>
      <w:r w:rsidR="00D154DB">
        <w:rPr>
          <w:rFonts w:ascii="Open Sans" w:hAnsi="Open Sans" w:cs="Open Sans"/>
        </w:rPr>
        <w:t xml:space="preserve">ider’s response did include </w:t>
      </w:r>
      <w:r w:rsidR="00850BA5">
        <w:rPr>
          <w:rFonts w:ascii="Open Sans" w:hAnsi="Open Sans" w:cs="Open Sans"/>
        </w:rPr>
        <w:t xml:space="preserve">reference to </w:t>
      </w:r>
      <w:r w:rsidR="00D154DB">
        <w:rPr>
          <w:rFonts w:ascii="Open Sans" w:hAnsi="Open Sans" w:cs="Open Sans"/>
        </w:rPr>
        <w:t xml:space="preserve">a document </w:t>
      </w:r>
      <w:r w:rsidR="00A979EF">
        <w:rPr>
          <w:rFonts w:ascii="Open Sans" w:hAnsi="Open Sans" w:cs="Open Sans"/>
        </w:rPr>
        <w:t>with the file name</w:t>
      </w:r>
      <w:r w:rsidR="00D154DB">
        <w:rPr>
          <w:rFonts w:ascii="Open Sans" w:hAnsi="Open Sans" w:cs="Open Sans"/>
        </w:rPr>
        <w:t xml:space="preserve"> ‘Talk Simple Plan</w:t>
      </w:r>
      <w:r w:rsidR="0077295E">
        <w:rPr>
          <w:rFonts w:ascii="Open Sans" w:hAnsi="Open Sans" w:cs="Open Sans"/>
        </w:rPr>
        <w:t>,’</w:t>
      </w:r>
      <w:r w:rsidR="00A979EF">
        <w:rPr>
          <w:rFonts w:ascii="Open Sans" w:hAnsi="Open Sans" w:cs="Open Sans"/>
        </w:rPr>
        <w:t xml:space="preserve"> however, this document could not be accessed</w:t>
      </w:r>
      <w:r w:rsidR="00DF66A4">
        <w:rPr>
          <w:rFonts w:ascii="Open Sans" w:hAnsi="Open Sans" w:cs="Open Sans"/>
        </w:rPr>
        <w:t xml:space="preserve"> in the format the provider submitted.</w:t>
      </w:r>
      <w:r w:rsidR="00381672">
        <w:rPr>
          <w:rFonts w:ascii="Open Sans" w:hAnsi="Open Sans" w:cs="Open Sans"/>
        </w:rPr>
        <w:t xml:space="preserve"> In addition, </w:t>
      </w:r>
      <w:r w:rsidR="00EA2128">
        <w:rPr>
          <w:rFonts w:ascii="Open Sans" w:hAnsi="Open Sans" w:cs="Open Sans"/>
        </w:rPr>
        <w:t xml:space="preserve">the PCI was analysed to find information in relation to </w:t>
      </w:r>
      <w:r w:rsidR="004D7C23">
        <w:rPr>
          <w:rFonts w:ascii="Open Sans" w:hAnsi="Open Sans" w:cs="Open Sans"/>
        </w:rPr>
        <w:t xml:space="preserve">the ‘Talk Simple Plan’ and </w:t>
      </w:r>
      <w:r w:rsidR="00F77505">
        <w:rPr>
          <w:rFonts w:ascii="Open Sans" w:hAnsi="Open Sans" w:cs="Open Sans"/>
        </w:rPr>
        <w:t>this was not clearly identifi</w:t>
      </w:r>
      <w:r w:rsidR="000C791D">
        <w:rPr>
          <w:rFonts w:ascii="Open Sans" w:hAnsi="Open Sans" w:cs="Open Sans"/>
        </w:rPr>
        <w:t>able</w:t>
      </w:r>
      <w:r w:rsidR="00DA3354">
        <w:rPr>
          <w:rFonts w:ascii="Open Sans" w:hAnsi="Open Sans" w:cs="Open Sans"/>
        </w:rPr>
        <w:t xml:space="preserve"> or obvious </w:t>
      </w:r>
      <w:r w:rsidR="004C5EF7">
        <w:rPr>
          <w:rFonts w:ascii="Open Sans" w:hAnsi="Open Sans" w:cs="Open Sans"/>
        </w:rPr>
        <w:t xml:space="preserve">as </w:t>
      </w:r>
      <w:r w:rsidR="00DA3354">
        <w:rPr>
          <w:rFonts w:ascii="Open Sans" w:hAnsi="Open Sans" w:cs="Open Sans"/>
        </w:rPr>
        <w:t>an element of continuous improvement</w:t>
      </w:r>
      <w:r w:rsidR="003E306A">
        <w:rPr>
          <w:rFonts w:ascii="Open Sans" w:hAnsi="Open Sans" w:cs="Open Sans"/>
        </w:rPr>
        <w:t>. Th</w:t>
      </w:r>
      <w:r w:rsidR="000531F7">
        <w:rPr>
          <w:rFonts w:ascii="Open Sans" w:hAnsi="Open Sans" w:cs="Open Sans"/>
        </w:rPr>
        <w:t xml:space="preserve">ere is insufficient evidence brought forward by the provider </w:t>
      </w:r>
      <w:r w:rsidR="000B13E8">
        <w:rPr>
          <w:rFonts w:ascii="Open Sans" w:hAnsi="Open Sans" w:cs="Open Sans"/>
        </w:rPr>
        <w:t>for consideration</w:t>
      </w:r>
      <w:r w:rsidR="00621367">
        <w:rPr>
          <w:rFonts w:ascii="Open Sans" w:hAnsi="Open Sans" w:cs="Open Sans"/>
        </w:rPr>
        <w:t>,</w:t>
      </w:r>
      <w:r w:rsidR="000B13E8">
        <w:rPr>
          <w:rFonts w:ascii="Open Sans" w:hAnsi="Open Sans" w:cs="Open Sans"/>
        </w:rPr>
        <w:t xml:space="preserve"> in relation to this deficiency. </w:t>
      </w:r>
      <w:r w:rsidR="00882322">
        <w:rPr>
          <w:rFonts w:ascii="Open Sans" w:hAnsi="Open Sans" w:cs="Open Sans"/>
        </w:rPr>
        <w:t>I am satisfied the provider has acknowledged the deficit</w:t>
      </w:r>
      <w:r w:rsidR="003810BA">
        <w:rPr>
          <w:rFonts w:ascii="Open Sans" w:hAnsi="Open Sans" w:cs="Open Sans"/>
        </w:rPr>
        <w:t xml:space="preserve"> and is planning to address the deficiency through future </w:t>
      </w:r>
      <w:r w:rsidR="00621367">
        <w:rPr>
          <w:rFonts w:ascii="Open Sans" w:hAnsi="Open Sans" w:cs="Open Sans"/>
        </w:rPr>
        <w:t xml:space="preserve">planned </w:t>
      </w:r>
      <w:r w:rsidR="003810BA">
        <w:rPr>
          <w:rFonts w:ascii="Open Sans" w:hAnsi="Open Sans" w:cs="Open Sans"/>
        </w:rPr>
        <w:t xml:space="preserve">action items. </w:t>
      </w:r>
      <w:r w:rsidR="003B750F">
        <w:rPr>
          <w:rFonts w:ascii="Open Sans" w:hAnsi="Open Sans" w:cs="Open Sans"/>
        </w:rPr>
        <w:t xml:space="preserve">However, the provider has not demonstrated </w:t>
      </w:r>
      <w:r w:rsidR="00036994">
        <w:rPr>
          <w:rFonts w:ascii="Open Sans" w:hAnsi="Open Sans" w:cs="Open Sans"/>
        </w:rPr>
        <w:t xml:space="preserve">with </w:t>
      </w:r>
      <w:r w:rsidR="00621367">
        <w:rPr>
          <w:rFonts w:ascii="Open Sans" w:hAnsi="Open Sans" w:cs="Open Sans"/>
        </w:rPr>
        <w:t xml:space="preserve">sufficient </w:t>
      </w:r>
      <w:r w:rsidR="001D5B36">
        <w:rPr>
          <w:rFonts w:ascii="Open Sans" w:hAnsi="Open Sans" w:cs="Open Sans"/>
        </w:rPr>
        <w:t xml:space="preserve">evidence the deficiencies have been </w:t>
      </w:r>
      <w:r w:rsidR="00B263CE">
        <w:rPr>
          <w:rFonts w:ascii="Open Sans" w:hAnsi="Open Sans" w:cs="Open Sans"/>
        </w:rPr>
        <w:t>mitigated or resolved since January 2025.</w:t>
      </w:r>
      <w:r w:rsidR="00036994">
        <w:rPr>
          <w:rFonts w:ascii="Open Sans" w:hAnsi="Open Sans" w:cs="Open Sans"/>
        </w:rPr>
        <w:t xml:space="preserve"> </w:t>
      </w:r>
    </w:p>
    <w:p w14:paraId="04EF1EC5" w14:textId="267DB4EC" w:rsidR="00224B50" w:rsidRDefault="004F00BA" w:rsidP="00974E84">
      <w:pPr>
        <w:pStyle w:val="NormalArial"/>
        <w:spacing w:line="276" w:lineRule="auto"/>
        <w:rPr>
          <w:rFonts w:ascii="Open Sans" w:hAnsi="Open Sans" w:cs="Open Sans"/>
        </w:rPr>
      </w:pPr>
      <w:r>
        <w:rPr>
          <w:rFonts w:ascii="Open Sans" w:hAnsi="Open Sans" w:cs="Open Sans"/>
        </w:rPr>
        <w:t xml:space="preserve">In coming to my decision, </w:t>
      </w:r>
      <w:r w:rsidR="008706EC">
        <w:rPr>
          <w:rFonts w:ascii="Open Sans" w:hAnsi="Open Sans" w:cs="Open Sans"/>
        </w:rPr>
        <w:t xml:space="preserve">I </w:t>
      </w:r>
      <w:r w:rsidR="003528FB">
        <w:rPr>
          <w:rFonts w:ascii="Open Sans" w:hAnsi="Open Sans" w:cs="Open Sans"/>
        </w:rPr>
        <w:t xml:space="preserve">have considered </w:t>
      </w:r>
      <w:r w:rsidR="00925CA7">
        <w:rPr>
          <w:rFonts w:ascii="Open Sans" w:hAnsi="Open Sans" w:cs="Open Sans"/>
        </w:rPr>
        <w:t xml:space="preserve">the evidence in its totality </w:t>
      </w:r>
      <w:r w:rsidR="00A26B70">
        <w:rPr>
          <w:rFonts w:ascii="Open Sans" w:hAnsi="Open Sans" w:cs="Open Sans"/>
        </w:rPr>
        <w:t>and appl</w:t>
      </w:r>
      <w:r w:rsidR="000E4E3B">
        <w:rPr>
          <w:rFonts w:ascii="Open Sans" w:hAnsi="Open Sans" w:cs="Open Sans"/>
        </w:rPr>
        <w:t>ied</w:t>
      </w:r>
      <w:r w:rsidR="00A26B70">
        <w:rPr>
          <w:rFonts w:ascii="Open Sans" w:hAnsi="Open Sans" w:cs="Open Sans"/>
        </w:rPr>
        <w:t xml:space="preserve"> the balance of </w:t>
      </w:r>
      <w:r w:rsidR="000E4E3B">
        <w:rPr>
          <w:rFonts w:ascii="Open Sans" w:hAnsi="Open Sans" w:cs="Open Sans"/>
        </w:rPr>
        <w:t xml:space="preserve">probabilities </w:t>
      </w:r>
      <w:r w:rsidR="0043457C">
        <w:rPr>
          <w:rFonts w:ascii="Open Sans" w:hAnsi="Open Sans" w:cs="Open Sans"/>
        </w:rPr>
        <w:t>to determine compliance with Requirement 3(3)(e)</w:t>
      </w:r>
      <w:r w:rsidR="008D53A2">
        <w:rPr>
          <w:rFonts w:ascii="Open Sans" w:hAnsi="Open Sans" w:cs="Open Sans"/>
        </w:rPr>
        <w:t xml:space="preserve">. </w:t>
      </w:r>
      <w:r w:rsidR="00FD29D0">
        <w:rPr>
          <w:rFonts w:ascii="Open Sans" w:hAnsi="Open Sans" w:cs="Open Sans"/>
        </w:rPr>
        <w:t xml:space="preserve">I </w:t>
      </w:r>
      <w:r w:rsidR="008706EC">
        <w:rPr>
          <w:rFonts w:ascii="Open Sans" w:hAnsi="Open Sans" w:cs="Open Sans"/>
        </w:rPr>
        <w:t xml:space="preserve">have placed weight on the existing non-compliance since January 2025. </w:t>
      </w:r>
      <w:r w:rsidR="000179ED">
        <w:rPr>
          <w:rFonts w:ascii="Open Sans" w:hAnsi="Open Sans" w:cs="Open Sans"/>
        </w:rPr>
        <w:t xml:space="preserve">I acknowledge the provider has </w:t>
      </w:r>
      <w:r w:rsidR="002B6990">
        <w:rPr>
          <w:rFonts w:ascii="Open Sans" w:hAnsi="Open Sans" w:cs="Open Sans"/>
        </w:rPr>
        <w:t xml:space="preserve">recognised most deficiencies and the PCI does support resources and effort are being allocated to </w:t>
      </w:r>
      <w:r w:rsidR="00674443">
        <w:rPr>
          <w:rFonts w:ascii="Open Sans" w:hAnsi="Open Sans" w:cs="Open Sans"/>
        </w:rPr>
        <w:t xml:space="preserve">inspire compliance. However, my decision is </w:t>
      </w:r>
      <w:r w:rsidR="00497EEF">
        <w:rPr>
          <w:rFonts w:ascii="Open Sans" w:hAnsi="Open Sans" w:cs="Open Sans"/>
        </w:rPr>
        <w:t xml:space="preserve">also </w:t>
      </w:r>
      <w:r w:rsidR="00674443">
        <w:rPr>
          <w:rFonts w:ascii="Open Sans" w:hAnsi="Open Sans" w:cs="Open Sans"/>
        </w:rPr>
        <w:t xml:space="preserve">informed </w:t>
      </w:r>
      <w:r w:rsidR="003B6413">
        <w:rPr>
          <w:rFonts w:ascii="Open Sans" w:hAnsi="Open Sans" w:cs="Open Sans"/>
        </w:rPr>
        <w:t xml:space="preserve">by the </w:t>
      </w:r>
      <w:r w:rsidR="001078D8">
        <w:rPr>
          <w:rFonts w:ascii="Open Sans" w:hAnsi="Open Sans" w:cs="Open Sans"/>
        </w:rPr>
        <w:t xml:space="preserve">insufficient </w:t>
      </w:r>
      <w:r w:rsidR="008706EC">
        <w:rPr>
          <w:rFonts w:ascii="Open Sans" w:hAnsi="Open Sans" w:cs="Open Sans"/>
        </w:rPr>
        <w:t xml:space="preserve">evidence </w:t>
      </w:r>
      <w:r w:rsidR="007A22CE">
        <w:rPr>
          <w:rFonts w:ascii="Open Sans" w:hAnsi="Open Sans" w:cs="Open Sans"/>
        </w:rPr>
        <w:t xml:space="preserve">brought forward in the provider’s response to satisfy the Commission </w:t>
      </w:r>
      <w:r w:rsidR="00827C90">
        <w:rPr>
          <w:rFonts w:ascii="Open Sans" w:hAnsi="Open Sans" w:cs="Open Sans"/>
        </w:rPr>
        <w:t xml:space="preserve">that </w:t>
      </w:r>
      <w:r w:rsidR="003A105F">
        <w:rPr>
          <w:rFonts w:ascii="Open Sans" w:hAnsi="Open Sans" w:cs="Open Sans"/>
        </w:rPr>
        <w:t xml:space="preserve">deficiencies </w:t>
      </w:r>
      <w:r w:rsidR="003A105F">
        <w:rPr>
          <w:rFonts w:ascii="Open Sans" w:hAnsi="Open Sans" w:cs="Open Sans"/>
        </w:rPr>
        <w:lastRenderedPageBreak/>
        <w:t xml:space="preserve">contributing to existing </w:t>
      </w:r>
      <w:r w:rsidR="00391632">
        <w:rPr>
          <w:rFonts w:ascii="Open Sans" w:hAnsi="Open Sans" w:cs="Open Sans"/>
        </w:rPr>
        <w:t>non-compliance ha</w:t>
      </w:r>
      <w:r w:rsidR="007C0A39">
        <w:rPr>
          <w:rFonts w:ascii="Open Sans" w:hAnsi="Open Sans" w:cs="Open Sans"/>
        </w:rPr>
        <w:t>ve</w:t>
      </w:r>
      <w:r w:rsidR="00391632">
        <w:rPr>
          <w:rFonts w:ascii="Open Sans" w:hAnsi="Open Sans" w:cs="Open Sans"/>
        </w:rPr>
        <w:t xml:space="preserve"> been </w:t>
      </w:r>
      <w:r w:rsidR="007C0A39">
        <w:rPr>
          <w:rFonts w:ascii="Open Sans" w:hAnsi="Open Sans" w:cs="Open Sans"/>
        </w:rPr>
        <w:t xml:space="preserve">self-identified and </w:t>
      </w:r>
      <w:r w:rsidR="00391632">
        <w:rPr>
          <w:rFonts w:ascii="Open Sans" w:hAnsi="Open Sans" w:cs="Open Sans"/>
        </w:rPr>
        <w:t xml:space="preserve">pro-actively </w:t>
      </w:r>
      <w:r w:rsidR="000179ED">
        <w:rPr>
          <w:rFonts w:ascii="Open Sans" w:hAnsi="Open Sans" w:cs="Open Sans"/>
        </w:rPr>
        <w:t>mitigated</w:t>
      </w:r>
      <w:r w:rsidR="0077295E">
        <w:rPr>
          <w:rFonts w:ascii="Open Sans" w:hAnsi="Open Sans" w:cs="Open Sans"/>
        </w:rPr>
        <w:t xml:space="preserve">. </w:t>
      </w:r>
    </w:p>
    <w:p w14:paraId="6A1DF332" w14:textId="3736DBB3" w:rsidR="00F54BB2" w:rsidRPr="00CF3B64" w:rsidRDefault="00F54BB2" w:rsidP="00974E84">
      <w:pPr>
        <w:pStyle w:val="NormalArial"/>
        <w:spacing w:line="276" w:lineRule="auto"/>
        <w:rPr>
          <w:rFonts w:ascii="Open Sans" w:hAnsi="Open Sans" w:cs="Open Sans"/>
        </w:rPr>
      </w:pPr>
      <w:r>
        <w:rPr>
          <w:rFonts w:ascii="Open Sans" w:hAnsi="Open Sans" w:cs="Open Sans"/>
        </w:rPr>
        <w:t>I have considered the service’s approach to ameliorating the deficits and I consider the service to have taken a reactionary approach. I am not satisfied the provider understands their obligations under the Aged Care Quality Standards, specifically Requirement 3(3)(</w:t>
      </w:r>
      <w:r w:rsidR="007B41FA">
        <w:rPr>
          <w:rFonts w:ascii="Open Sans" w:hAnsi="Open Sans" w:cs="Open Sans"/>
        </w:rPr>
        <w:t>e</w:t>
      </w:r>
      <w:r>
        <w:rPr>
          <w:rFonts w:ascii="Open Sans" w:hAnsi="Open Sans" w:cs="Open Sans"/>
        </w:rPr>
        <w:t>)</w:t>
      </w:r>
      <w:r w:rsidR="006B03B6">
        <w:rPr>
          <w:rFonts w:ascii="Open Sans" w:hAnsi="Open Sans" w:cs="Open Sans"/>
        </w:rPr>
        <w:t>;</w:t>
      </w:r>
      <w:r>
        <w:rPr>
          <w:rFonts w:ascii="Open Sans" w:hAnsi="Open Sans" w:cs="Open Sans"/>
        </w:rPr>
        <w:t xml:space="preserve"> and the lack of evidence to sufficiently satisfy the Commission, that the provider </w:t>
      </w:r>
      <w:r w:rsidR="00760A22">
        <w:rPr>
          <w:rFonts w:ascii="Open Sans" w:hAnsi="Open Sans" w:cs="Open Sans"/>
        </w:rPr>
        <w:t>has had time to</w:t>
      </w:r>
      <w:r>
        <w:rPr>
          <w:rFonts w:ascii="Open Sans" w:hAnsi="Open Sans" w:cs="Open Sans"/>
        </w:rPr>
        <w:t xml:space="preserve"> embed improved clinical oversight </w:t>
      </w:r>
      <w:r w:rsidR="007B41FA">
        <w:rPr>
          <w:rFonts w:ascii="Open Sans" w:hAnsi="Open Sans" w:cs="Open Sans"/>
        </w:rPr>
        <w:t xml:space="preserve">of communication </w:t>
      </w:r>
      <w:r w:rsidR="00F504A3">
        <w:rPr>
          <w:rFonts w:ascii="Open Sans" w:hAnsi="Open Sans" w:cs="Open Sans"/>
        </w:rPr>
        <w:t xml:space="preserve">systems </w:t>
      </w:r>
      <w:r w:rsidR="007B41FA">
        <w:rPr>
          <w:rFonts w:ascii="Open Sans" w:hAnsi="Open Sans" w:cs="Open Sans"/>
        </w:rPr>
        <w:t xml:space="preserve">and </w:t>
      </w:r>
      <w:r w:rsidR="00F504A3">
        <w:rPr>
          <w:rFonts w:ascii="Open Sans" w:hAnsi="Open Sans" w:cs="Open Sans"/>
        </w:rPr>
        <w:t xml:space="preserve">clinical information </w:t>
      </w:r>
      <w:r>
        <w:rPr>
          <w:rFonts w:ascii="Open Sans" w:hAnsi="Open Sans" w:cs="Open Sans"/>
        </w:rPr>
        <w:t>principles</w:t>
      </w:r>
      <w:r w:rsidR="00F504A3">
        <w:rPr>
          <w:rFonts w:ascii="Open Sans" w:hAnsi="Open Sans" w:cs="Open Sans"/>
        </w:rPr>
        <w:t xml:space="preserve"> </w:t>
      </w:r>
      <w:r>
        <w:rPr>
          <w:rFonts w:ascii="Open Sans" w:hAnsi="Open Sans" w:cs="Open Sans"/>
        </w:rPr>
        <w:t xml:space="preserve">and processes. </w:t>
      </w:r>
      <w:r w:rsidR="00D13A65">
        <w:rPr>
          <w:rFonts w:ascii="Open Sans" w:hAnsi="Open Sans" w:cs="Open Sans"/>
        </w:rPr>
        <w:t>I have considered whether it is more probable than not, based on the totality of evidence available, that the provider has not demonstrated compliance with Requirement 3(3)(e). I have placed weight on the reliability, cogency and probative value of all evidence before me</w:t>
      </w:r>
      <w:r w:rsidR="005D1F0D">
        <w:rPr>
          <w:rFonts w:ascii="Open Sans" w:hAnsi="Open Sans" w:cs="Open Sans"/>
        </w:rPr>
        <w:t xml:space="preserve"> and</w:t>
      </w:r>
      <w:r w:rsidR="00D13A65">
        <w:rPr>
          <w:rFonts w:ascii="Open Sans" w:hAnsi="Open Sans" w:cs="Open Sans"/>
        </w:rPr>
        <w:t xml:space="preserve"> I am satisfied that the threshold has been met to support a finding on non-compliance.</w:t>
      </w:r>
    </w:p>
    <w:p w14:paraId="1DB60697" w14:textId="2EF5EB5D" w:rsidR="00974E84" w:rsidRPr="001E694D" w:rsidRDefault="00F54BB2" w:rsidP="00974E84">
      <w:pPr>
        <w:pStyle w:val="NormalArial"/>
        <w:spacing w:line="276" w:lineRule="auto"/>
        <w:rPr>
          <w:rFonts w:ascii="Open Sans" w:hAnsi="Open Sans" w:cs="Open Sans"/>
        </w:rPr>
      </w:pPr>
      <w:r w:rsidRPr="00CF3B64">
        <w:rPr>
          <w:rFonts w:ascii="Open Sans" w:hAnsi="Open Sans" w:cs="Open Sans"/>
        </w:rPr>
        <w:t xml:space="preserve">For the reasons detailed above, I find requirement </w:t>
      </w:r>
      <w:r w:rsidR="00A31CD8">
        <w:rPr>
          <w:rFonts w:ascii="Open Sans" w:hAnsi="Open Sans" w:cs="Open Sans"/>
        </w:rPr>
        <w:t>3</w:t>
      </w:r>
      <w:r w:rsidRPr="00CF3B64">
        <w:rPr>
          <w:rFonts w:ascii="Open Sans" w:hAnsi="Open Sans" w:cs="Open Sans"/>
        </w:rPr>
        <w:t>(3)(</w:t>
      </w:r>
      <w:r w:rsidR="00F504A3">
        <w:rPr>
          <w:rFonts w:ascii="Open Sans" w:hAnsi="Open Sans" w:cs="Open Sans"/>
        </w:rPr>
        <w:t>e</w:t>
      </w:r>
      <w:r w:rsidRPr="00CF3B64">
        <w:rPr>
          <w:rFonts w:ascii="Open Sans" w:hAnsi="Open Sans" w:cs="Open Sans"/>
        </w:rPr>
        <w:t>) non-compliant</w:t>
      </w:r>
      <w:r w:rsidR="0077295E" w:rsidRPr="00CF3B64">
        <w:rPr>
          <w:rFonts w:ascii="Open Sans" w:hAnsi="Open Sans" w:cs="Open Sans"/>
        </w:rPr>
        <w:t>.</w:t>
      </w:r>
    </w:p>
    <w:sectPr w:rsidR="00974E84"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4063" w14:textId="77777777" w:rsidR="00DB6802" w:rsidRDefault="00DB6802">
      <w:pPr>
        <w:spacing w:after="0"/>
      </w:pPr>
      <w:r>
        <w:separator/>
      </w:r>
    </w:p>
  </w:endnote>
  <w:endnote w:type="continuationSeparator" w:id="0">
    <w:p w14:paraId="7A5E2CAC" w14:textId="77777777" w:rsidR="00DB6802" w:rsidRDefault="00DB6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DC91" w14:textId="77777777" w:rsidR="00C74695" w:rsidRPr="00DF37F2" w:rsidRDefault="00C7469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Forest Lake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3469139" w14:textId="77777777" w:rsidR="00C74695" w:rsidRPr="00DF37F2" w:rsidRDefault="00C7469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5339</w:t>
    </w:r>
    <w:bookmarkEnd w:id="1"/>
    <w:r w:rsidRPr="00DF37F2">
      <w:rPr>
        <w:rStyle w:val="FooterBold"/>
        <w:rFonts w:ascii="Arial" w:hAnsi="Arial"/>
        <w:b w:val="0"/>
      </w:rPr>
      <w:tab/>
      <w:t xml:space="preserve">OFFICIAL: Sensitive </w:t>
    </w:r>
  </w:p>
  <w:p w14:paraId="053E1CCA" w14:textId="77777777" w:rsidR="00C74695" w:rsidRPr="00DF37F2" w:rsidRDefault="00C7469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2758" w14:textId="77777777" w:rsidR="00C74695" w:rsidRDefault="00C7469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72A0" w14:textId="77777777" w:rsidR="00DB6802" w:rsidRDefault="00DB6802" w:rsidP="00D71F88">
      <w:pPr>
        <w:spacing w:after="0"/>
      </w:pPr>
      <w:r>
        <w:separator/>
      </w:r>
    </w:p>
  </w:footnote>
  <w:footnote w:type="continuationSeparator" w:id="0">
    <w:p w14:paraId="097899E1" w14:textId="77777777" w:rsidR="00DB6802" w:rsidRDefault="00DB6802" w:rsidP="00D71F88">
      <w:pPr>
        <w:spacing w:after="0"/>
      </w:pPr>
      <w:r>
        <w:continuationSeparator/>
      </w:r>
    </w:p>
  </w:footnote>
  <w:footnote w:id="1">
    <w:p w14:paraId="60D3262C" w14:textId="722C0460" w:rsidR="00C74695" w:rsidRDefault="00C7469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AA32EC">
        <w:rPr>
          <w:rFonts w:ascii="Arial" w:hAnsi="Arial"/>
          <w:color w:val="auto"/>
          <w:sz w:val="20"/>
          <w:szCs w:val="20"/>
        </w:rPr>
        <w:t xml:space="preserve">68A </w:t>
      </w:r>
      <w:r w:rsidRPr="00443CA4">
        <w:rPr>
          <w:rFonts w:ascii="Arial" w:hAnsi="Arial"/>
          <w:sz w:val="20"/>
          <w:szCs w:val="20"/>
        </w:rPr>
        <w:t>of the Aged Care Quality and Safety Commission Rules 2018.</w:t>
      </w:r>
    </w:p>
    <w:p w14:paraId="1F6C618B" w14:textId="77777777" w:rsidR="00C74695" w:rsidRDefault="00C7469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B73E" w14:textId="77777777" w:rsidR="00C74695" w:rsidRDefault="00C74695">
    <w:pPr>
      <w:pStyle w:val="Header"/>
    </w:pPr>
    <w:r>
      <w:rPr>
        <w:noProof/>
        <w:color w:val="2B579A"/>
        <w:shd w:val="clear" w:color="auto" w:fill="E6E6E6"/>
        <w:lang w:val="en-US"/>
      </w:rPr>
      <w:drawing>
        <wp:anchor distT="0" distB="0" distL="114300" distR="114300" simplePos="0" relativeHeight="251658241" behindDoc="1" locked="0" layoutInCell="1" allowOverlap="1" wp14:anchorId="1CA1245C" wp14:editId="6CFC932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BB65" w14:textId="77777777" w:rsidR="00C74695" w:rsidRDefault="00C74695">
    <w:pPr>
      <w:pStyle w:val="Header"/>
    </w:pPr>
    <w:r>
      <w:rPr>
        <w:noProof/>
      </w:rPr>
      <w:drawing>
        <wp:anchor distT="0" distB="0" distL="114300" distR="114300" simplePos="0" relativeHeight="251658240" behindDoc="0" locked="0" layoutInCell="1" allowOverlap="1" wp14:anchorId="30A5D559" wp14:editId="64F6882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8899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892C134">
      <w:start w:val="1"/>
      <w:numFmt w:val="lowerRoman"/>
      <w:lvlText w:val="(%1)"/>
      <w:lvlJc w:val="left"/>
      <w:pPr>
        <w:ind w:left="1080" w:hanging="720"/>
      </w:pPr>
      <w:rPr>
        <w:rFonts w:hint="default"/>
      </w:rPr>
    </w:lvl>
    <w:lvl w:ilvl="1" w:tplc="65FCF596" w:tentative="1">
      <w:start w:val="1"/>
      <w:numFmt w:val="lowerLetter"/>
      <w:lvlText w:val="%2."/>
      <w:lvlJc w:val="left"/>
      <w:pPr>
        <w:ind w:left="1440" w:hanging="360"/>
      </w:pPr>
    </w:lvl>
    <w:lvl w:ilvl="2" w:tplc="25105B06" w:tentative="1">
      <w:start w:val="1"/>
      <w:numFmt w:val="lowerRoman"/>
      <w:lvlText w:val="%3."/>
      <w:lvlJc w:val="right"/>
      <w:pPr>
        <w:ind w:left="2160" w:hanging="180"/>
      </w:pPr>
    </w:lvl>
    <w:lvl w:ilvl="3" w:tplc="7986811A" w:tentative="1">
      <w:start w:val="1"/>
      <w:numFmt w:val="decimal"/>
      <w:lvlText w:val="%4."/>
      <w:lvlJc w:val="left"/>
      <w:pPr>
        <w:ind w:left="2880" w:hanging="360"/>
      </w:pPr>
    </w:lvl>
    <w:lvl w:ilvl="4" w:tplc="65E22D42" w:tentative="1">
      <w:start w:val="1"/>
      <w:numFmt w:val="lowerLetter"/>
      <w:lvlText w:val="%5."/>
      <w:lvlJc w:val="left"/>
      <w:pPr>
        <w:ind w:left="3600" w:hanging="360"/>
      </w:pPr>
    </w:lvl>
    <w:lvl w:ilvl="5" w:tplc="B3B6000E" w:tentative="1">
      <w:start w:val="1"/>
      <w:numFmt w:val="lowerRoman"/>
      <w:lvlText w:val="%6."/>
      <w:lvlJc w:val="right"/>
      <w:pPr>
        <w:ind w:left="4320" w:hanging="180"/>
      </w:pPr>
    </w:lvl>
    <w:lvl w:ilvl="6" w:tplc="63ECE836" w:tentative="1">
      <w:start w:val="1"/>
      <w:numFmt w:val="decimal"/>
      <w:lvlText w:val="%7."/>
      <w:lvlJc w:val="left"/>
      <w:pPr>
        <w:ind w:left="5040" w:hanging="360"/>
      </w:pPr>
    </w:lvl>
    <w:lvl w:ilvl="7" w:tplc="E9C6E17E" w:tentative="1">
      <w:start w:val="1"/>
      <w:numFmt w:val="lowerLetter"/>
      <w:lvlText w:val="%8."/>
      <w:lvlJc w:val="left"/>
      <w:pPr>
        <w:ind w:left="5760" w:hanging="360"/>
      </w:pPr>
    </w:lvl>
    <w:lvl w:ilvl="8" w:tplc="1F3C81A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2F8CD34">
      <w:start w:val="1"/>
      <w:numFmt w:val="lowerRoman"/>
      <w:lvlText w:val="(%1)"/>
      <w:lvlJc w:val="left"/>
      <w:pPr>
        <w:ind w:left="1080" w:hanging="720"/>
      </w:pPr>
      <w:rPr>
        <w:rFonts w:hint="default"/>
      </w:rPr>
    </w:lvl>
    <w:lvl w:ilvl="1" w:tplc="B7F60AEA" w:tentative="1">
      <w:start w:val="1"/>
      <w:numFmt w:val="lowerLetter"/>
      <w:lvlText w:val="%2."/>
      <w:lvlJc w:val="left"/>
      <w:pPr>
        <w:ind w:left="1440" w:hanging="360"/>
      </w:pPr>
    </w:lvl>
    <w:lvl w:ilvl="2" w:tplc="16A4FE14" w:tentative="1">
      <w:start w:val="1"/>
      <w:numFmt w:val="lowerRoman"/>
      <w:lvlText w:val="%3."/>
      <w:lvlJc w:val="right"/>
      <w:pPr>
        <w:ind w:left="2160" w:hanging="180"/>
      </w:pPr>
    </w:lvl>
    <w:lvl w:ilvl="3" w:tplc="E7CACBA0" w:tentative="1">
      <w:start w:val="1"/>
      <w:numFmt w:val="decimal"/>
      <w:lvlText w:val="%4."/>
      <w:lvlJc w:val="left"/>
      <w:pPr>
        <w:ind w:left="2880" w:hanging="360"/>
      </w:pPr>
    </w:lvl>
    <w:lvl w:ilvl="4" w:tplc="30685B74" w:tentative="1">
      <w:start w:val="1"/>
      <w:numFmt w:val="lowerLetter"/>
      <w:lvlText w:val="%5."/>
      <w:lvlJc w:val="left"/>
      <w:pPr>
        <w:ind w:left="3600" w:hanging="360"/>
      </w:pPr>
    </w:lvl>
    <w:lvl w:ilvl="5" w:tplc="C7BE5AC2" w:tentative="1">
      <w:start w:val="1"/>
      <w:numFmt w:val="lowerRoman"/>
      <w:lvlText w:val="%6."/>
      <w:lvlJc w:val="right"/>
      <w:pPr>
        <w:ind w:left="4320" w:hanging="180"/>
      </w:pPr>
    </w:lvl>
    <w:lvl w:ilvl="6" w:tplc="24A8AD3A" w:tentative="1">
      <w:start w:val="1"/>
      <w:numFmt w:val="decimal"/>
      <w:lvlText w:val="%7."/>
      <w:lvlJc w:val="left"/>
      <w:pPr>
        <w:ind w:left="5040" w:hanging="360"/>
      </w:pPr>
    </w:lvl>
    <w:lvl w:ilvl="7" w:tplc="1B18BC92" w:tentative="1">
      <w:start w:val="1"/>
      <w:numFmt w:val="lowerLetter"/>
      <w:lvlText w:val="%8."/>
      <w:lvlJc w:val="left"/>
      <w:pPr>
        <w:ind w:left="5760" w:hanging="360"/>
      </w:pPr>
    </w:lvl>
    <w:lvl w:ilvl="8" w:tplc="D916E27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B840874">
      <w:start w:val="1"/>
      <w:numFmt w:val="lowerRoman"/>
      <w:lvlText w:val="(%1)"/>
      <w:lvlJc w:val="left"/>
      <w:pPr>
        <w:ind w:left="1080" w:hanging="720"/>
      </w:pPr>
      <w:rPr>
        <w:rFonts w:hint="default"/>
      </w:rPr>
    </w:lvl>
    <w:lvl w:ilvl="1" w:tplc="B4E405F6" w:tentative="1">
      <w:start w:val="1"/>
      <w:numFmt w:val="lowerLetter"/>
      <w:lvlText w:val="%2."/>
      <w:lvlJc w:val="left"/>
      <w:pPr>
        <w:ind w:left="1440" w:hanging="360"/>
      </w:pPr>
    </w:lvl>
    <w:lvl w:ilvl="2" w:tplc="FAE60004" w:tentative="1">
      <w:start w:val="1"/>
      <w:numFmt w:val="lowerRoman"/>
      <w:lvlText w:val="%3."/>
      <w:lvlJc w:val="right"/>
      <w:pPr>
        <w:ind w:left="2160" w:hanging="180"/>
      </w:pPr>
    </w:lvl>
    <w:lvl w:ilvl="3" w:tplc="0A7475AC" w:tentative="1">
      <w:start w:val="1"/>
      <w:numFmt w:val="decimal"/>
      <w:lvlText w:val="%4."/>
      <w:lvlJc w:val="left"/>
      <w:pPr>
        <w:ind w:left="2880" w:hanging="360"/>
      </w:pPr>
    </w:lvl>
    <w:lvl w:ilvl="4" w:tplc="B6E86D3A" w:tentative="1">
      <w:start w:val="1"/>
      <w:numFmt w:val="lowerLetter"/>
      <w:lvlText w:val="%5."/>
      <w:lvlJc w:val="left"/>
      <w:pPr>
        <w:ind w:left="3600" w:hanging="360"/>
      </w:pPr>
    </w:lvl>
    <w:lvl w:ilvl="5" w:tplc="E9867A88" w:tentative="1">
      <w:start w:val="1"/>
      <w:numFmt w:val="lowerRoman"/>
      <w:lvlText w:val="%6."/>
      <w:lvlJc w:val="right"/>
      <w:pPr>
        <w:ind w:left="4320" w:hanging="180"/>
      </w:pPr>
    </w:lvl>
    <w:lvl w:ilvl="6" w:tplc="5856634E" w:tentative="1">
      <w:start w:val="1"/>
      <w:numFmt w:val="decimal"/>
      <w:lvlText w:val="%7."/>
      <w:lvlJc w:val="left"/>
      <w:pPr>
        <w:ind w:left="5040" w:hanging="360"/>
      </w:pPr>
    </w:lvl>
    <w:lvl w:ilvl="7" w:tplc="4120F174" w:tentative="1">
      <w:start w:val="1"/>
      <w:numFmt w:val="lowerLetter"/>
      <w:lvlText w:val="%8."/>
      <w:lvlJc w:val="left"/>
      <w:pPr>
        <w:ind w:left="5760" w:hanging="360"/>
      </w:pPr>
    </w:lvl>
    <w:lvl w:ilvl="8" w:tplc="8918C7C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0A8B8BE">
      <w:start w:val="1"/>
      <w:numFmt w:val="bullet"/>
      <w:lvlText w:val=""/>
      <w:lvlJc w:val="left"/>
      <w:pPr>
        <w:ind w:left="720" w:hanging="360"/>
      </w:pPr>
      <w:rPr>
        <w:rFonts w:ascii="Symbol" w:hAnsi="Symbol" w:hint="default"/>
        <w:color w:val="auto"/>
        <w:sz w:val="24"/>
        <w:szCs w:val="24"/>
      </w:rPr>
    </w:lvl>
    <w:lvl w:ilvl="1" w:tplc="0446626C" w:tentative="1">
      <w:start w:val="1"/>
      <w:numFmt w:val="bullet"/>
      <w:lvlText w:val="o"/>
      <w:lvlJc w:val="left"/>
      <w:pPr>
        <w:ind w:left="1440" w:hanging="360"/>
      </w:pPr>
      <w:rPr>
        <w:rFonts w:ascii="Courier New" w:hAnsi="Courier New" w:cs="Courier New" w:hint="default"/>
      </w:rPr>
    </w:lvl>
    <w:lvl w:ilvl="2" w:tplc="47C25AFE" w:tentative="1">
      <w:start w:val="1"/>
      <w:numFmt w:val="bullet"/>
      <w:lvlText w:val=""/>
      <w:lvlJc w:val="left"/>
      <w:pPr>
        <w:ind w:left="2160" w:hanging="360"/>
      </w:pPr>
      <w:rPr>
        <w:rFonts w:ascii="Wingdings" w:hAnsi="Wingdings" w:hint="default"/>
      </w:rPr>
    </w:lvl>
    <w:lvl w:ilvl="3" w:tplc="57DACA4C" w:tentative="1">
      <w:start w:val="1"/>
      <w:numFmt w:val="bullet"/>
      <w:lvlText w:val=""/>
      <w:lvlJc w:val="left"/>
      <w:pPr>
        <w:ind w:left="2880" w:hanging="360"/>
      </w:pPr>
      <w:rPr>
        <w:rFonts w:ascii="Symbol" w:hAnsi="Symbol" w:hint="default"/>
      </w:rPr>
    </w:lvl>
    <w:lvl w:ilvl="4" w:tplc="6C6E56C6" w:tentative="1">
      <w:start w:val="1"/>
      <w:numFmt w:val="bullet"/>
      <w:lvlText w:val="o"/>
      <w:lvlJc w:val="left"/>
      <w:pPr>
        <w:ind w:left="3600" w:hanging="360"/>
      </w:pPr>
      <w:rPr>
        <w:rFonts w:ascii="Courier New" w:hAnsi="Courier New" w:cs="Courier New" w:hint="default"/>
      </w:rPr>
    </w:lvl>
    <w:lvl w:ilvl="5" w:tplc="3AA41EBA" w:tentative="1">
      <w:start w:val="1"/>
      <w:numFmt w:val="bullet"/>
      <w:lvlText w:val=""/>
      <w:lvlJc w:val="left"/>
      <w:pPr>
        <w:ind w:left="4320" w:hanging="360"/>
      </w:pPr>
      <w:rPr>
        <w:rFonts w:ascii="Wingdings" w:hAnsi="Wingdings" w:hint="default"/>
      </w:rPr>
    </w:lvl>
    <w:lvl w:ilvl="6" w:tplc="3DFEA938" w:tentative="1">
      <w:start w:val="1"/>
      <w:numFmt w:val="bullet"/>
      <w:lvlText w:val=""/>
      <w:lvlJc w:val="left"/>
      <w:pPr>
        <w:ind w:left="5040" w:hanging="360"/>
      </w:pPr>
      <w:rPr>
        <w:rFonts w:ascii="Symbol" w:hAnsi="Symbol" w:hint="default"/>
      </w:rPr>
    </w:lvl>
    <w:lvl w:ilvl="7" w:tplc="7938B432" w:tentative="1">
      <w:start w:val="1"/>
      <w:numFmt w:val="bullet"/>
      <w:lvlText w:val="o"/>
      <w:lvlJc w:val="left"/>
      <w:pPr>
        <w:ind w:left="5760" w:hanging="360"/>
      </w:pPr>
      <w:rPr>
        <w:rFonts w:ascii="Courier New" w:hAnsi="Courier New" w:cs="Courier New" w:hint="default"/>
      </w:rPr>
    </w:lvl>
    <w:lvl w:ilvl="8" w:tplc="9A74E86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6FAF4C8">
      <w:start w:val="1"/>
      <w:numFmt w:val="lowerRoman"/>
      <w:lvlText w:val="(%1)"/>
      <w:lvlJc w:val="left"/>
      <w:pPr>
        <w:ind w:left="1080" w:hanging="720"/>
      </w:pPr>
      <w:rPr>
        <w:rFonts w:hint="default"/>
      </w:rPr>
    </w:lvl>
    <w:lvl w:ilvl="1" w:tplc="39FCF1F8" w:tentative="1">
      <w:start w:val="1"/>
      <w:numFmt w:val="lowerLetter"/>
      <w:lvlText w:val="%2."/>
      <w:lvlJc w:val="left"/>
      <w:pPr>
        <w:ind w:left="1440" w:hanging="360"/>
      </w:pPr>
    </w:lvl>
    <w:lvl w:ilvl="2" w:tplc="6200FCDE" w:tentative="1">
      <w:start w:val="1"/>
      <w:numFmt w:val="lowerRoman"/>
      <w:lvlText w:val="%3."/>
      <w:lvlJc w:val="right"/>
      <w:pPr>
        <w:ind w:left="2160" w:hanging="180"/>
      </w:pPr>
    </w:lvl>
    <w:lvl w:ilvl="3" w:tplc="70422CC0" w:tentative="1">
      <w:start w:val="1"/>
      <w:numFmt w:val="decimal"/>
      <w:lvlText w:val="%4."/>
      <w:lvlJc w:val="left"/>
      <w:pPr>
        <w:ind w:left="2880" w:hanging="360"/>
      </w:pPr>
    </w:lvl>
    <w:lvl w:ilvl="4" w:tplc="1A860A6A" w:tentative="1">
      <w:start w:val="1"/>
      <w:numFmt w:val="lowerLetter"/>
      <w:lvlText w:val="%5."/>
      <w:lvlJc w:val="left"/>
      <w:pPr>
        <w:ind w:left="3600" w:hanging="360"/>
      </w:pPr>
    </w:lvl>
    <w:lvl w:ilvl="5" w:tplc="092EA34E" w:tentative="1">
      <w:start w:val="1"/>
      <w:numFmt w:val="lowerRoman"/>
      <w:lvlText w:val="%6."/>
      <w:lvlJc w:val="right"/>
      <w:pPr>
        <w:ind w:left="4320" w:hanging="180"/>
      </w:pPr>
    </w:lvl>
    <w:lvl w:ilvl="6" w:tplc="9AD6804C" w:tentative="1">
      <w:start w:val="1"/>
      <w:numFmt w:val="decimal"/>
      <w:lvlText w:val="%7."/>
      <w:lvlJc w:val="left"/>
      <w:pPr>
        <w:ind w:left="5040" w:hanging="360"/>
      </w:pPr>
    </w:lvl>
    <w:lvl w:ilvl="7" w:tplc="4F92207A" w:tentative="1">
      <w:start w:val="1"/>
      <w:numFmt w:val="lowerLetter"/>
      <w:lvlText w:val="%8."/>
      <w:lvlJc w:val="left"/>
      <w:pPr>
        <w:ind w:left="5760" w:hanging="360"/>
      </w:pPr>
    </w:lvl>
    <w:lvl w:ilvl="8" w:tplc="6DBC634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EEA563E">
      <w:start w:val="1"/>
      <w:numFmt w:val="lowerRoman"/>
      <w:lvlText w:val="(%1)"/>
      <w:lvlJc w:val="left"/>
      <w:pPr>
        <w:ind w:left="1080" w:hanging="720"/>
      </w:pPr>
      <w:rPr>
        <w:rFonts w:hint="default"/>
      </w:rPr>
    </w:lvl>
    <w:lvl w:ilvl="1" w:tplc="24DC9056" w:tentative="1">
      <w:start w:val="1"/>
      <w:numFmt w:val="lowerLetter"/>
      <w:lvlText w:val="%2."/>
      <w:lvlJc w:val="left"/>
      <w:pPr>
        <w:ind w:left="1440" w:hanging="360"/>
      </w:pPr>
    </w:lvl>
    <w:lvl w:ilvl="2" w:tplc="AAA8864A" w:tentative="1">
      <w:start w:val="1"/>
      <w:numFmt w:val="lowerRoman"/>
      <w:lvlText w:val="%3."/>
      <w:lvlJc w:val="right"/>
      <w:pPr>
        <w:ind w:left="2160" w:hanging="180"/>
      </w:pPr>
    </w:lvl>
    <w:lvl w:ilvl="3" w:tplc="59720130" w:tentative="1">
      <w:start w:val="1"/>
      <w:numFmt w:val="decimal"/>
      <w:lvlText w:val="%4."/>
      <w:lvlJc w:val="left"/>
      <w:pPr>
        <w:ind w:left="2880" w:hanging="360"/>
      </w:pPr>
    </w:lvl>
    <w:lvl w:ilvl="4" w:tplc="DBD65354" w:tentative="1">
      <w:start w:val="1"/>
      <w:numFmt w:val="lowerLetter"/>
      <w:lvlText w:val="%5."/>
      <w:lvlJc w:val="left"/>
      <w:pPr>
        <w:ind w:left="3600" w:hanging="360"/>
      </w:pPr>
    </w:lvl>
    <w:lvl w:ilvl="5" w:tplc="1B78273C" w:tentative="1">
      <w:start w:val="1"/>
      <w:numFmt w:val="lowerRoman"/>
      <w:lvlText w:val="%6."/>
      <w:lvlJc w:val="right"/>
      <w:pPr>
        <w:ind w:left="4320" w:hanging="180"/>
      </w:pPr>
    </w:lvl>
    <w:lvl w:ilvl="6" w:tplc="80F00488" w:tentative="1">
      <w:start w:val="1"/>
      <w:numFmt w:val="decimal"/>
      <w:lvlText w:val="%7."/>
      <w:lvlJc w:val="left"/>
      <w:pPr>
        <w:ind w:left="5040" w:hanging="360"/>
      </w:pPr>
    </w:lvl>
    <w:lvl w:ilvl="7" w:tplc="1DD25504" w:tentative="1">
      <w:start w:val="1"/>
      <w:numFmt w:val="lowerLetter"/>
      <w:lvlText w:val="%8."/>
      <w:lvlJc w:val="left"/>
      <w:pPr>
        <w:ind w:left="5760" w:hanging="360"/>
      </w:pPr>
    </w:lvl>
    <w:lvl w:ilvl="8" w:tplc="E7461B0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A244EFE">
      <w:start w:val="1"/>
      <w:numFmt w:val="lowerRoman"/>
      <w:lvlText w:val="(%1)"/>
      <w:lvlJc w:val="left"/>
      <w:pPr>
        <w:ind w:left="1080" w:hanging="720"/>
      </w:pPr>
      <w:rPr>
        <w:rFonts w:hint="default"/>
      </w:rPr>
    </w:lvl>
    <w:lvl w:ilvl="1" w:tplc="BF407C72" w:tentative="1">
      <w:start w:val="1"/>
      <w:numFmt w:val="lowerLetter"/>
      <w:lvlText w:val="%2."/>
      <w:lvlJc w:val="left"/>
      <w:pPr>
        <w:ind w:left="1440" w:hanging="360"/>
      </w:pPr>
    </w:lvl>
    <w:lvl w:ilvl="2" w:tplc="957EA436" w:tentative="1">
      <w:start w:val="1"/>
      <w:numFmt w:val="lowerRoman"/>
      <w:lvlText w:val="%3."/>
      <w:lvlJc w:val="right"/>
      <w:pPr>
        <w:ind w:left="2160" w:hanging="180"/>
      </w:pPr>
    </w:lvl>
    <w:lvl w:ilvl="3" w:tplc="4B626A9A" w:tentative="1">
      <w:start w:val="1"/>
      <w:numFmt w:val="decimal"/>
      <w:lvlText w:val="%4."/>
      <w:lvlJc w:val="left"/>
      <w:pPr>
        <w:ind w:left="2880" w:hanging="360"/>
      </w:pPr>
    </w:lvl>
    <w:lvl w:ilvl="4" w:tplc="286401CE" w:tentative="1">
      <w:start w:val="1"/>
      <w:numFmt w:val="lowerLetter"/>
      <w:lvlText w:val="%5."/>
      <w:lvlJc w:val="left"/>
      <w:pPr>
        <w:ind w:left="3600" w:hanging="360"/>
      </w:pPr>
    </w:lvl>
    <w:lvl w:ilvl="5" w:tplc="AAE6D090" w:tentative="1">
      <w:start w:val="1"/>
      <w:numFmt w:val="lowerRoman"/>
      <w:lvlText w:val="%6."/>
      <w:lvlJc w:val="right"/>
      <w:pPr>
        <w:ind w:left="4320" w:hanging="180"/>
      </w:pPr>
    </w:lvl>
    <w:lvl w:ilvl="6" w:tplc="A35EDB20" w:tentative="1">
      <w:start w:val="1"/>
      <w:numFmt w:val="decimal"/>
      <w:lvlText w:val="%7."/>
      <w:lvlJc w:val="left"/>
      <w:pPr>
        <w:ind w:left="5040" w:hanging="360"/>
      </w:pPr>
    </w:lvl>
    <w:lvl w:ilvl="7" w:tplc="1098DFD0" w:tentative="1">
      <w:start w:val="1"/>
      <w:numFmt w:val="lowerLetter"/>
      <w:lvlText w:val="%8."/>
      <w:lvlJc w:val="left"/>
      <w:pPr>
        <w:ind w:left="5760" w:hanging="360"/>
      </w:pPr>
    </w:lvl>
    <w:lvl w:ilvl="8" w:tplc="AE14E0C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3FAB2E6">
      <w:start w:val="1"/>
      <w:numFmt w:val="lowerRoman"/>
      <w:lvlText w:val="(%1)"/>
      <w:lvlJc w:val="left"/>
      <w:pPr>
        <w:ind w:left="1080" w:hanging="720"/>
      </w:pPr>
      <w:rPr>
        <w:rFonts w:hint="default"/>
      </w:rPr>
    </w:lvl>
    <w:lvl w:ilvl="1" w:tplc="CEBEE014" w:tentative="1">
      <w:start w:val="1"/>
      <w:numFmt w:val="lowerLetter"/>
      <w:lvlText w:val="%2."/>
      <w:lvlJc w:val="left"/>
      <w:pPr>
        <w:ind w:left="1440" w:hanging="360"/>
      </w:pPr>
    </w:lvl>
    <w:lvl w:ilvl="2" w:tplc="FC8E7D12" w:tentative="1">
      <w:start w:val="1"/>
      <w:numFmt w:val="lowerRoman"/>
      <w:lvlText w:val="%3."/>
      <w:lvlJc w:val="right"/>
      <w:pPr>
        <w:ind w:left="2160" w:hanging="180"/>
      </w:pPr>
    </w:lvl>
    <w:lvl w:ilvl="3" w:tplc="9A38C668" w:tentative="1">
      <w:start w:val="1"/>
      <w:numFmt w:val="decimal"/>
      <w:lvlText w:val="%4."/>
      <w:lvlJc w:val="left"/>
      <w:pPr>
        <w:ind w:left="2880" w:hanging="360"/>
      </w:pPr>
    </w:lvl>
    <w:lvl w:ilvl="4" w:tplc="1E921532" w:tentative="1">
      <w:start w:val="1"/>
      <w:numFmt w:val="lowerLetter"/>
      <w:lvlText w:val="%5."/>
      <w:lvlJc w:val="left"/>
      <w:pPr>
        <w:ind w:left="3600" w:hanging="360"/>
      </w:pPr>
    </w:lvl>
    <w:lvl w:ilvl="5" w:tplc="8A821C40" w:tentative="1">
      <w:start w:val="1"/>
      <w:numFmt w:val="lowerRoman"/>
      <w:lvlText w:val="%6."/>
      <w:lvlJc w:val="right"/>
      <w:pPr>
        <w:ind w:left="4320" w:hanging="180"/>
      </w:pPr>
    </w:lvl>
    <w:lvl w:ilvl="6" w:tplc="11787242" w:tentative="1">
      <w:start w:val="1"/>
      <w:numFmt w:val="decimal"/>
      <w:lvlText w:val="%7."/>
      <w:lvlJc w:val="left"/>
      <w:pPr>
        <w:ind w:left="5040" w:hanging="360"/>
      </w:pPr>
    </w:lvl>
    <w:lvl w:ilvl="7" w:tplc="BF8CCE16" w:tentative="1">
      <w:start w:val="1"/>
      <w:numFmt w:val="lowerLetter"/>
      <w:lvlText w:val="%8."/>
      <w:lvlJc w:val="left"/>
      <w:pPr>
        <w:ind w:left="5760" w:hanging="360"/>
      </w:pPr>
    </w:lvl>
    <w:lvl w:ilvl="8" w:tplc="CD6093F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698E934">
      <w:start w:val="1"/>
      <w:numFmt w:val="lowerRoman"/>
      <w:lvlText w:val="(%1)"/>
      <w:lvlJc w:val="left"/>
      <w:pPr>
        <w:ind w:left="1080" w:hanging="720"/>
      </w:pPr>
      <w:rPr>
        <w:rFonts w:hint="default"/>
      </w:rPr>
    </w:lvl>
    <w:lvl w:ilvl="1" w:tplc="039CBBEE" w:tentative="1">
      <w:start w:val="1"/>
      <w:numFmt w:val="lowerLetter"/>
      <w:lvlText w:val="%2."/>
      <w:lvlJc w:val="left"/>
      <w:pPr>
        <w:ind w:left="1440" w:hanging="360"/>
      </w:pPr>
    </w:lvl>
    <w:lvl w:ilvl="2" w:tplc="17E4CDBE" w:tentative="1">
      <w:start w:val="1"/>
      <w:numFmt w:val="lowerRoman"/>
      <w:lvlText w:val="%3."/>
      <w:lvlJc w:val="right"/>
      <w:pPr>
        <w:ind w:left="2160" w:hanging="180"/>
      </w:pPr>
    </w:lvl>
    <w:lvl w:ilvl="3" w:tplc="947844CE" w:tentative="1">
      <w:start w:val="1"/>
      <w:numFmt w:val="decimal"/>
      <w:lvlText w:val="%4."/>
      <w:lvlJc w:val="left"/>
      <w:pPr>
        <w:ind w:left="2880" w:hanging="360"/>
      </w:pPr>
    </w:lvl>
    <w:lvl w:ilvl="4" w:tplc="1422AEA8" w:tentative="1">
      <w:start w:val="1"/>
      <w:numFmt w:val="lowerLetter"/>
      <w:lvlText w:val="%5."/>
      <w:lvlJc w:val="left"/>
      <w:pPr>
        <w:ind w:left="3600" w:hanging="360"/>
      </w:pPr>
    </w:lvl>
    <w:lvl w:ilvl="5" w:tplc="FAD2DC3A" w:tentative="1">
      <w:start w:val="1"/>
      <w:numFmt w:val="lowerRoman"/>
      <w:lvlText w:val="%6."/>
      <w:lvlJc w:val="right"/>
      <w:pPr>
        <w:ind w:left="4320" w:hanging="180"/>
      </w:pPr>
    </w:lvl>
    <w:lvl w:ilvl="6" w:tplc="42866414" w:tentative="1">
      <w:start w:val="1"/>
      <w:numFmt w:val="decimal"/>
      <w:lvlText w:val="%7."/>
      <w:lvlJc w:val="left"/>
      <w:pPr>
        <w:ind w:left="5040" w:hanging="360"/>
      </w:pPr>
    </w:lvl>
    <w:lvl w:ilvl="7" w:tplc="C6924A16" w:tentative="1">
      <w:start w:val="1"/>
      <w:numFmt w:val="lowerLetter"/>
      <w:lvlText w:val="%8."/>
      <w:lvlJc w:val="left"/>
      <w:pPr>
        <w:ind w:left="5760" w:hanging="360"/>
      </w:pPr>
    </w:lvl>
    <w:lvl w:ilvl="8" w:tplc="C32E56B4" w:tentative="1">
      <w:start w:val="1"/>
      <w:numFmt w:val="lowerRoman"/>
      <w:lvlText w:val="%9."/>
      <w:lvlJc w:val="right"/>
      <w:pPr>
        <w:ind w:left="6480" w:hanging="180"/>
      </w:pPr>
    </w:lvl>
  </w:abstractNum>
  <w:abstractNum w:abstractNumId="10" w15:restartNumberingAfterBreak="0">
    <w:nsid w:val="57482881"/>
    <w:multiLevelType w:val="hybridMultilevel"/>
    <w:tmpl w:val="10C81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6E7DB3"/>
    <w:multiLevelType w:val="hybridMultilevel"/>
    <w:tmpl w:val="287C7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F53A63"/>
    <w:multiLevelType w:val="hybridMultilevel"/>
    <w:tmpl w:val="62C47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F8346978">
      <w:start w:val="1"/>
      <w:numFmt w:val="lowerRoman"/>
      <w:lvlText w:val="(%1)"/>
      <w:lvlJc w:val="left"/>
      <w:pPr>
        <w:ind w:left="1080" w:hanging="720"/>
      </w:pPr>
      <w:rPr>
        <w:rFonts w:hint="default"/>
      </w:rPr>
    </w:lvl>
    <w:lvl w:ilvl="1" w:tplc="7D6ACF6C" w:tentative="1">
      <w:start w:val="1"/>
      <w:numFmt w:val="lowerLetter"/>
      <w:lvlText w:val="%2."/>
      <w:lvlJc w:val="left"/>
      <w:pPr>
        <w:ind w:left="1440" w:hanging="360"/>
      </w:pPr>
    </w:lvl>
    <w:lvl w:ilvl="2" w:tplc="EB26CA34" w:tentative="1">
      <w:start w:val="1"/>
      <w:numFmt w:val="lowerRoman"/>
      <w:lvlText w:val="%3."/>
      <w:lvlJc w:val="right"/>
      <w:pPr>
        <w:ind w:left="2160" w:hanging="180"/>
      </w:pPr>
    </w:lvl>
    <w:lvl w:ilvl="3" w:tplc="B80E86E4" w:tentative="1">
      <w:start w:val="1"/>
      <w:numFmt w:val="decimal"/>
      <w:lvlText w:val="%4."/>
      <w:lvlJc w:val="left"/>
      <w:pPr>
        <w:ind w:left="2880" w:hanging="360"/>
      </w:pPr>
    </w:lvl>
    <w:lvl w:ilvl="4" w:tplc="746A8A42" w:tentative="1">
      <w:start w:val="1"/>
      <w:numFmt w:val="lowerLetter"/>
      <w:lvlText w:val="%5."/>
      <w:lvlJc w:val="left"/>
      <w:pPr>
        <w:ind w:left="3600" w:hanging="360"/>
      </w:pPr>
    </w:lvl>
    <w:lvl w:ilvl="5" w:tplc="AA4E0F4C" w:tentative="1">
      <w:start w:val="1"/>
      <w:numFmt w:val="lowerRoman"/>
      <w:lvlText w:val="%6."/>
      <w:lvlJc w:val="right"/>
      <w:pPr>
        <w:ind w:left="4320" w:hanging="180"/>
      </w:pPr>
    </w:lvl>
    <w:lvl w:ilvl="6" w:tplc="1E70024E" w:tentative="1">
      <w:start w:val="1"/>
      <w:numFmt w:val="decimal"/>
      <w:lvlText w:val="%7."/>
      <w:lvlJc w:val="left"/>
      <w:pPr>
        <w:ind w:left="5040" w:hanging="360"/>
      </w:pPr>
    </w:lvl>
    <w:lvl w:ilvl="7" w:tplc="C04E167E" w:tentative="1">
      <w:start w:val="1"/>
      <w:numFmt w:val="lowerLetter"/>
      <w:lvlText w:val="%8."/>
      <w:lvlJc w:val="left"/>
      <w:pPr>
        <w:ind w:left="5760" w:hanging="360"/>
      </w:pPr>
    </w:lvl>
    <w:lvl w:ilvl="8" w:tplc="299C9986"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B6C24B0"/>
    <w:multiLevelType w:val="hybridMultilevel"/>
    <w:tmpl w:val="80780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4346291">
    <w:abstractNumId w:val="14"/>
  </w:num>
  <w:num w:numId="2" w16cid:durableId="181213878">
    <w:abstractNumId w:val="4"/>
  </w:num>
  <w:num w:numId="3" w16cid:durableId="2084375852">
    <w:abstractNumId w:val="2"/>
  </w:num>
  <w:num w:numId="4" w16cid:durableId="459687171">
    <w:abstractNumId w:val="7"/>
  </w:num>
  <w:num w:numId="5" w16cid:durableId="1856267406">
    <w:abstractNumId w:val="6"/>
  </w:num>
  <w:num w:numId="6" w16cid:durableId="188030910">
    <w:abstractNumId w:val="1"/>
  </w:num>
  <w:num w:numId="7" w16cid:durableId="2068913633">
    <w:abstractNumId w:val="9"/>
  </w:num>
  <w:num w:numId="8" w16cid:durableId="1520702137">
    <w:abstractNumId w:val="5"/>
  </w:num>
  <w:num w:numId="9" w16cid:durableId="1742093197">
    <w:abstractNumId w:val="8"/>
  </w:num>
  <w:num w:numId="10" w16cid:durableId="1725984240">
    <w:abstractNumId w:val="3"/>
  </w:num>
  <w:num w:numId="11" w16cid:durableId="494031545">
    <w:abstractNumId w:val="13"/>
  </w:num>
  <w:num w:numId="12" w16cid:durableId="1492210326">
    <w:abstractNumId w:val="0"/>
  </w:num>
  <w:num w:numId="13" w16cid:durableId="528638697">
    <w:abstractNumId w:val="14"/>
  </w:num>
  <w:num w:numId="14" w16cid:durableId="1497765295">
    <w:abstractNumId w:val="14"/>
  </w:num>
  <w:num w:numId="15" w16cid:durableId="148978676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69073">
    <w:abstractNumId w:val="11"/>
  </w:num>
  <w:num w:numId="17" w16cid:durableId="1549948615">
    <w:abstractNumId w:val="10"/>
  </w:num>
  <w:num w:numId="18" w16cid:durableId="338234958">
    <w:abstractNumId w:val="12"/>
  </w:num>
  <w:num w:numId="19" w16cid:durableId="1004162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B3"/>
    <w:rsid w:val="00000682"/>
    <w:rsid w:val="000019DD"/>
    <w:rsid w:val="00001C5D"/>
    <w:rsid w:val="00002CD2"/>
    <w:rsid w:val="00003D9B"/>
    <w:rsid w:val="00004CAD"/>
    <w:rsid w:val="00005808"/>
    <w:rsid w:val="00005A41"/>
    <w:rsid w:val="00012050"/>
    <w:rsid w:val="0001289A"/>
    <w:rsid w:val="0001308F"/>
    <w:rsid w:val="0001423E"/>
    <w:rsid w:val="000145F0"/>
    <w:rsid w:val="000159E5"/>
    <w:rsid w:val="00015EFF"/>
    <w:rsid w:val="000179ED"/>
    <w:rsid w:val="00020422"/>
    <w:rsid w:val="00020838"/>
    <w:rsid w:val="00022D49"/>
    <w:rsid w:val="00025973"/>
    <w:rsid w:val="00025B23"/>
    <w:rsid w:val="00032171"/>
    <w:rsid w:val="00032DF4"/>
    <w:rsid w:val="00035998"/>
    <w:rsid w:val="00036994"/>
    <w:rsid w:val="0003787F"/>
    <w:rsid w:val="000405CE"/>
    <w:rsid w:val="000531F7"/>
    <w:rsid w:val="00054823"/>
    <w:rsid w:val="00055B9C"/>
    <w:rsid w:val="00056DC3"/>
    <w:rsid w:val="000574ED"/>
    <w:rsid w:val="000575FD"/>
    <w:rsid w:val="00057798"/>
    <w:rsid w:val="00060078"/>
    <w:rsid w:val="00061F2A"/>
    <w:rsid w:val="0006217A"/>
    <w:rsid w:val="00067968"/>
    <w:rsid w:val="000727D9"/>
    <w:rsid w:val="00074C78"/>
    <w:rsid w:val="00076DE2"/>
    <w:rsid w:val="000851B2"/>
    <w:rsid w:val="00085AD4"/>
    <w:rsid w:val="00091D22"/>
    <w:rsid w:val="000934D5"/>
    <w:rsid w:val="00096646"/>
    <w:rsid w:val="000A077B"/>
    <w:rsid w:val="000A1081"/>
    <w:rsid w:val="000A182E"/>
    <w:rsid w:val="000A1FAC"/>
    <w:rsid w:val="000A5AE3"/>
    <w:rsid w:val="000B0313"/>
    <w:rsid w:val="000B10B6"/>
    <w:rsid w:val="000B13E8"/>
    <w:rsid w:val="000B2BCD"/>
    <w:rsid w:val="000B3007"/>
    <w:rsid w:val="000B45AE"/>
    <w:rsid w:val="000B48BD"/>
    <w:rsid w:val="000B7C1C"/>
    <w:rsid w:val="000C2406"/>
    <w:rsid w:val="000C791D"/>
    <w:rsid w:val="000C7B04"/>
    <w:rsid w:val="000D0743"/>
    <w:rsid w:val="000D2732"/>
    <w:rsid w:val="000D348E"/>
    <w:rsid w:val="000D411F"/>
    <w:rsid w:val="000D5C3B"/>
    <w:rsid w:val="000D5F31"/>
    <w:rsid w:val="000E0119"/>
    <w:rsid w:val="000E4E3B"/>
    <w:rsid w:val="000E7735"/>
    <w:rsid w:val="000E7A9B"/>
    <w:rsid w:val="000F0D96"/>
    <w:rsid w:val="000F3FA2"/>
    <w:rsid w:val="000F564E"/>
    <w:rsid w:val="000F68CA"/>
    <w:rsid w:val="001029B6"/>
    <w:rsid w:val="00103764"/>
    <w:rsid w:val="001066B2"/>
    <w:rsid w:val="00106E48"/>
    <w:rsid w:val="001073A4"/>
    <w:rsid w:val="00107537"/>
    <w:rsid w:val="001078D8"/>
    <w:rsid w:val="0011088A"/>
    <w:rsid w:val="00111932"/>
    <w:rsid w:val="00111EE3"/>
    <w:rsid w:val="00113FA4"/>
    <w:rsid w:val="00114770"/>
    <w:rsid w:val="00114E70"/>
    <w:rsid w:val="00114EC7"/>
    <w:rsid w:val="001155E1"/>
    <w:rsid w:val="00115A3C"/>
    <w:rsid w:val="00115C59"/>
    <w:rsid w:val="001160DB"/>
    <w:rsid w:val="001174BB"/>
    <w:rsid w:val="00121111"/>
    <w:rsid w:val="00124391"/>
    <w:rsid w:val="0012459A"/>
    <w:rsid w:val="00125833"/>
    <w:rsid w:val="00125F71"/>
    <w:rsid w:val="0012618B"/>
    <w:rsid w:val="00127BE9"/>
    <w:rsid w:val="001327C4"/>
    <w:rsid w:val="0013409F"/>
    <w:rsid w:val="00135D0F"/>
    <w:rsid w:val="001364F5"/>
    <w:rsid w:val="0013799B"/>
    <w:rsid w:val="00145B49"/>
    <w:rsid w:val="001508C2"/>
    <w:rsid w:val="00151678"/>
    <w:rsid w:val="00154A34"/>
    <w:rsid w:val="00156434"/>
    <w:rsid w:val="00156D1D"/>
    <w:rsid w:val="001605CE"/>
    <w:rsid w:val="0016289B"/>
    <w:rsid w:val="00162E59"/>
    <w:rsid w:val="001702F9"/>
    <w:rsid w:val="00170D20"/>
    <w:rsid w:val="00171440"/>
    <w:rsid w:val="00173DF9"/>
    <w:rsid w:val="00177E7D"/>
    <w:rsid w:val="00180ED8"/>
    <w:rsid w:val="00184BC4"/>
    <w:rsid w:val="00184E63"/>
    <w:rsid w:val="0018659E"/>
    <w:rsid w:val="00190EC3"/>
    <w:rsid w:val="00191692"/>
    <w:rsid w:val="001930E5"/>
    <w:rsid w:val="00194054"/>
    <w:rsid w:val="00194319"/>
    <w:rsid w:val="00194DA8"/>
    <w:rsid w:val="00197133"/>
    <w:rsid w:val="001A25A8"/>
    <w:rsid w:val="001A3082"/>
    <w:rsid w:val="001A358A"/>
    <w:rsid w:val="001A3F99"/>
    <w:rsid w:val="001A462F"/>
    <w:rsid w:val="001A4ADB"/>
    <w:rsid w:val="001A4CB3"/>
    <w:rsid w:val="001A5100"/>
    <w:rsid w:val="001B1633"/>
    <w:rsid w:val="001B173F"/>
    <w:rsid w:val="001B3B1E"/>
    <w:rsid w:val="001B4199"/>
    <w:rsid w:val="001B4F6F"/>
    <w:rsid w:val="001C0A25"/>
    <w:rsid w:val="001C274D"/>
    <w:rsid w:val="001C2E95"/>
    <w:rsid w:val="001C34F0"/>
    <w:rsid w:val="001C4076"/>
    <w:rsid w:val="001C4CCB"/>
    <w:rsid w:val="001C5201"/>
    <w:rsid w:val="001C5462"/>
    <w:rsid w:val="001C5710"/>
    <w:rsid w:val="001C59A3"/>
    <w:rsid w:val="001C60E6"/>
    <w:rsid w:val="001C689B"/>
    <w:rsid w:val="001D0EE4"/>
    <w:rsid w:val="001D1C55"/>
    <w:rsid w:val="001D2391"/>
    <w:rsid w:val="001D2881"/>
    <w:rsid w:val="001D2CA4"/>
    <w:rsid w:val="001D2CFA"/>
    <w:rsid w:val="001D4FA2"/>
    <w:rsid w:val="001D5B36"/>
    <w:rsid w:val="001D65D4"/>
    <w:rsid w:val="001D682F"/>
    <w:rsid w:val="001E1A9E"/>
    <w:rsid w:val="001E241C"/>
    <w:rsid w:val="001E30A8"/>
    <w:rsid w:val="001E3556"/>
    <w:rsid w:val="001E5369"/>
    <w:rsid w:val="001F1C5C"/>
    <w:rsid w:val="001F724F"/>
    <w:rsid w:val="00201EDC"/>
    <w:rsid w:val="002036A6"/>
    <w:rsid w:val="00205E96"/>
    <w:rsid w:val="00206734"/>
    <w:rsid w:val="00207C93"/>
    <w:rsid w:val="00210EA8"/>
    <w:rsid w:val="00211D57"/>
    <w:rsid w:val="0021515C"/>
    <w:rsid w:val="0022025B"/>
    <w:rsid w:val="0022140D"/>
    <w:rsid w:val="00224B50"/>
    <w:rsid w:val="00224C08"/>
    <w:rsid w:val="00227B85"/>
    <w:rsid w:val="0023154C"/>
    <w:rsid w:val="00232F65"/>
    <w:rsid w:val="002333DF"/>
    <w:rsid w:val="00234078"/>
    <w:rsid w:val="002370A9"/>
    <w:rsid w:val="00240405"/>
    <w:rsid w:val="00240AAC"/>
    <w:rsid w:val="00242D35"/>
    <w:rsid w:val="00243C20"/>
    <w:rsid w:val="0024486D"/>
    <w:rsid w:val="00245A05"/>
    <w:rsid w:val="00246377"/>
    <w:rsid w:val="002463CF"/>
    <w:rsid w:val="002467C0"/>
    <w:rsid w:val="00246C26"/>
    <w:rsid w:val="00247A00"/>
    <w:rsid w:val="00247D21"/>
    <w:rsid w:val="00254AD7"/>
    <w:rsid w:val="00260680"/>
    <w:rsid w:val="00263E6F"/>
    <w:rsid w:val="002736A1"/>
    <w:rsid w:val="0027550D"/>
    <w:rsid w:val="00275B61"/>
    <w:rsid w:val="00277D56"/>
    <w:rsid w:val="002820BC"/>
    <w:rsid w:val="0028629D"/>
    <w:rsid w:val="002869D0"/>
    <w:rsid w:val="00286D8E"/>
    <w:rsid w:val="002903D0"/>
    <w:rsid w:val="002919E9"/>
    <w:rsid w:val="0029202A"/>
    <w:rsid w:val="002931C3"/>
    <w:rsid w:val="00293664"/>
    <w:rsid w:val="00293B36"/>
    <w:rsid w:val="0029491E"/>
    <w:rsid w:val="002970DF"/>
    <w:rsid w:val="002A04EE"/>
    <w:rsid w:val="002A1216"/>
    <w:rsid w:val="002A5EBA"/>
    <w:rsid w:val="002A73AA"/>
    <w:rsid w:val="002A7878"/>
    <w:rsid w:val="002B0748"/>
    <w:rsid w:val="002B0865"/>
    <w:rsid w:val="002B11CD"/>
    <w:rsid w:val="002B18DD"/>
    <w:rsid w:val="002B4AE0"/>
    <w:rsid w:val="002B6326"/>
    <w:rsid w:val="002B64EA"/>
    <w:rsid w:val="002B6990"/>
    <w:rsid w:val="002B70D2"/>
    <w:rsid w:val="002B7DF8"/>
    <w:rsid w:val="002C10C1"/>
    <w:rsid w:val="002C1132"/>
    <w:rsid w:val="002C2E37"/>
    <w:rsid w:val="002C3BEF"/>
    <w:rsid w:val="002C56B8"/>
    <w:rsid w:val="002C609F"/>
    <w:rsid w:val="002C6601"/>
    <w:rsid w:val="002C679B"/>
    <w:rsid w:val="002D314F"/>
    <w:rsid w:val="002D5D32"/>
    <w:rsid w:val="002E41A0"/>
    <w:rsid w:val="002E4A49"/>
    <w:rsid w:val="002E7723"/>
    <w:rsid w:val="002F104F"/>
    <w:rsid w:val="002F4158"/>
    <w:rsid w:val="002F4A39"/>
    <w:rsid w:val="002F5C34"/>
    <w:rsid w:val="002F69C0"/>
    <w:rsid w:val="002F7D7B"/>
    <w:rsid w:val="003005EB"/>
    <w:rsid w:val="00301CBD"/>
    <w:rsid w:val="00301D43"/>
    <w:rsid w:val="00302782"/>
    <w:rsid w:val="00305141"/>
    <w:rsid w:val="003061E3"/>
    <w:rsid w:val="003075B3"/>
    <w:rsid w:val="00312B50"/>
    <w:rsid w:val="00314275"/>
    <w:rsid w:val="00316B09"/>
    <w:rsid w:val="00317760"/>
    <w:rsid w:val="003204A1"/>
    <w:rsid w:val="00321C3B"/>
    <w:rsid w:val="00323008"/>
    <w:rsid w:val="00323C17"/>
    <w:rsid w:val="0032555A"/>
    <w:rsid w:val="0032564C"/>
    <w:rsid w:val="003303D6"/>
    <w:rsid w:val="00331C08"/>
    <w:rsid w:val="00332CDC"/>
    <w:rsid w:val="00335A63"/>
    <w:rsid w:val="00336AE3"/>
    <w:rsid w:val="00341684"/>
    <w:rsid w:val="003423BB"/>
    <w:rsid w:val="00342BAA"/>
    <w:rsid w:val="003436F5"/>
    <w:rsid w:val="003451A2"/>
    <w:rsid w:val="00351316"/>
    <w:rsid w:val="003528FB"/>
    <w:rsid w:val="0035573D"/>
    <w:rsid w:val="00355A0F"/>
    <w:rsid w:val="0035638C"/>
    <w:rsid w:val="003573D4"/>
    <w:rsid w:val="003609B1"/>
    <w:rsid w:val="003634CB"/>
    <w:rsid w:val="00365C74"/>
    <w:rsid w:val="00365DDD"/>
    <w:rsid w:val="00366567"/>
    <w:rsid w:val="00367975"/>
    <w:rsid w:val="00367CF2"/>
    <w:rsid w:val="00372785"/>
    <w:rsid w:val="0037435C"/>
    <w:rsid w:val="00376733"/>
    <w:rsid w:val="00380CA8"/>
    <w:rsid w:val="003810BA"/>
    <w:rsid w:val="00381672"/>
    <w:rsid w:val="00381A6B"/>
    <w:rsid w:val="00381D08"/>
    <w:rsid w:val="00384613"/>
    <w:rsid w:val="00385CE1"/>
    <w:rsid w:val="00386094"/>
    <w:rsid w:val="00386BC1"/>
    <w:rsid w:val="003872DB"/>
    <w:rsid w:val="00387ADE"/>
    <w:rsid w:val="00390A16"/>
    <w:rsid w:val="00390AFE"/>
    <w:rsid w:val="00391632"/>
    <w:rsid w:val="00392F3E"/>
    <w:rsid w:val="003942FE"/>
    <w:rsid w:val="00394930"/>
    <w:rsid w:val="00394FE6"/>
    <w:rsid w:val="00395B82"/>
    <w:rsid w:val="00396002"/>
    <w:rsid w:val="003A0B96"/>
    <w:rsid w:val="003A105F"/>
    <w:rsid w:val="003A1162"/>
    <w:rsid w:val="003A544E"/>
    <w:rsid w:val="003A703A"/>
    <w:rsid w:val="003B00FB"/>
    <w:rsid w:val="003B1FE9"/>
    <w:rsid w:val="003B393A"/>
    <w:rsid w:val="003B57A5"/>
    <w:rsid w:val="003B581D"/>
    <w:rsid w:val="003B6413"/>
    <w:rsid w:val="003B6C26"/>
    <w:rsid w:val="003B750F"/>
    <w:rsid w:val="003C3491"/>
    <w:rsid w:val="003C4340"/>
    <w:rsid w:val="003C4514"/>
    <w:rsid w:val="003C63FC"/>
    <w:rsid w:val="003D0279"/>
    <w:rsid w:val="003D14AB"/>
    <w:rsid w:val="003D1D78"/>
    <w:rsid w:val="003D295D"/>
    <w:rsid w:val="003D42AB"/>
    <w:rsid w:val="003D4D0D"/>
    <w:rsid w:val="003D5883"/>
    <w:rsid w:val="003D60BF"/>
    <w:rsid w:val="003E306A"/>
    <w:rsid w:val="003E40A9"/>
    <w:rsid w:val="003E4D80"/>
    <w:rsid w:val="003E6042"/>
    <w:rsid w:val="003E7C3D"/>
    <w:rsid w:val="003F2286"/>
    <w:rsid w:val="003F391F"/>
    <w:rsid w:val="003F3AEE"/>
    <w:rsid w:val="003F3C07"/>
    <w:rsid w:val="003F5868"/>
    <w:rsid w:val="0040115F"/>
    <w:rsid w:val="004027ED"/>
    <w:rsid w:val="00406651"/>
    <w:rsid w:val="004105D7"/>
    <w:rsid w:val="00410C2A"/>
    <w:rsid w:val="00416F90"/>
    <w:rsid w:val="00417AB6"/>
    <w:rsid w:val="00423758"/>
    <w:rsid w:val="00423BA0"/>
    <w:rsid w:val="00430560"/>
    <w:rsid w:val="0043060A"/>
    <w:rsid w:val="00430953"/>
    <w:rsid w:val="00431A91"/>
    <w:rsid w:val="0043278E"/>
    <w:rsid w:val="004332B9"/>
    <w:rsid w:val="0043457C"/>
    <w:rsid w:val="00434C25"/>
    <w:rsid w:val="00434EE4"/>
    <w:rsid w:val="0043527E"/>
    <w:rsid w:val="00437354"/>
    <w:rsid w:val="004417EC"/>
    <w:rsid w:val="004422F9"/>
    <w:rsid w:val="0044435E"/>
    <w:rsid w:val="00444D86"/>
    <w:rsid w:val="0044517B"/>
    <w:rsid w:val="0044578E"/>
    <w:rsid w:val="004464D6"/>
    <w:rsid w:val="00451BCA"/>
    <w:rsid w:val="0045243D"/>
    <w:rsid w:val="00452C07"/>
    <w:rsid w:val="00454C03"/>
    <w:rsid w:val="00456526"/>
    <w:rsid w:val="004569CA"/>
    <w:rsid w:val="00456FF7"/>
    <w:rsid w:val="0045713D"/>
    <w:rsid w:val="00457EDF"/>
    <w:rsid w:val="00464D5E"/>
    <w:rsid w:val="004650DD"/>
    <w:rsid w:val="00465682"/>
    <w:rsid w:val="00465B47"/>
    <w:rsid w:val="00466EAE"/>
    <w:rsid w:val="004732C1"/>
    <w:rsid w:val="00474B07"/>
    <w:rsid w:val="0047551F"/>
    <w:rsid w:val="0047770A"/>
    <w:rsid w:val="004812D3"/>
    <w:rsid w:val="00482B97"/>
    <w:rsid w:val="0048756E"/>
    <w:rsid w:val="00490C84"/>
    <w:rsid w:val="00490E22"/>
    <w:rsid w:val="0049123F"/>
    <w:rsid w:val="0049240F"/>
    <w:rsid w:val="004949AD"/>
    <w:rsid w:val="00495085"/>
    <w:rsid w:val="00496650"/>
    <w:rsid w:val="00496673"/>
    <w:rsid w:val="00497E9F"/>
    <w:rsid w:val="00497EEF"/>
    <w:rsid w:val="004A034A"/>
    <w:rsid w:val="004A17A9"/>
    <w:rsid w:val="004A4B82"/>
    <w:rsid w:val="004A687E"/>
    <w:rsid w:val="004B24C9"/>
    <w:rsid w:val="004B65E2"/>
    <w:rsid w:val="004C322B"/>
    <w:rsid w:val="004C4102"/>
    <w:rsid w:val="004C58B2"/>
    <w:rsid w:val="004C5EF7"/>
    <w:rsid w:val="004C72FA"/>
    <w:rsid w:val="004D5CA7"/>
    <w:rsid w:val="004D6646"/>
    <w:rsid w:val="004D7C23"/>
    <w:rsid w:val="004E0F93"/>
    <w:rsid w:val="004E4A18"/>
    <w:rsid w:val="004E4A97"/>
    <w:rsid w:val="004E6EC8"/>
    <w:rsid w:val="004F00BA"/>
    <w:rsid w:val="004F43AB"/>
    <w:rsid w:val="004F4438"/>
    <w:rsid w:val="004F6067"/>
    <w:rsid w:val="004F6342"/>
    <w:rsid w:val="004F7BA8"/>
    <w:rsid w:val="005007D6"/>
    <w:rsid w:val="0050348C"/>
    <w:rsid w:val="00503C46"/>
    <w:rsid w:val="005043F3"/>
    <w:rsid w:val="00506002"/>
    <w:rsid w:val="00512F9E"/>
    <w:rsid w:val="005131C5"/>
    <w:rsid w:val="005144D5"/>
    <w:rsid w:val="005156D7"/>
    <w:rsid w:val="005161BA"/>
    <w:rsid w:val="00517C8C"/>
    <w:rsid w:val="00517D3B"/>
    <w:rsid w:val="00517ECE"/>
    <w:rsid w:val="00520670"/>
    <w:rsid w:val="005217FF"/>
    <w:rsid w:val="00522609"/>
    <w:rsid w:val="00523337"/>
    <w:rsid w:val="00524751"/>
    <w:rsid w:val="00524FE9"/>
    <w:rsid w:val="005255B4"/>
    <w:rsid w:val="005271D9"/>
    <w:rsid w:val="005318CD"/>
    <w:rsid w:val="00532547"/>
    <w:rsid w:val="00535464"/>
    <w:rsid w:val="00540E87"/>
    <w:rsid w:val="005512C1"/>
    <w:rsid w:val="00551BAD"/>
    <w:rsid w:val="005527B6"/>
    <w:rsid w:val="00552BD6"/>
    <w:rsid w:val="00553900"/>
    <w:rsid w:val="005553B9"/>
    <w:rsid w:val="005610EA"/>
    <w:rsid w:val="00562F05"/>
    <w:rsid w:val="005632E8"/>
    <w:rsid w:val="00564AB4"/>
    <w:rsid w:val="00571F44"/>
    <w:rsid w:val="00573E76"/>
    <w:rsid w:val="00575F96"/>
    <w:rsid w:val="00582281"/>
    <w:rsid w:val="00585E4E"/>
    <w:rsid w:val="00587AD2"/>
    <w:rsid w:val="00590209"/>
    <w:rsid w:val="005922AD"/>
    <w:rsid w:val="00592FB8"/>
    <w:rsid w:val="005931F4"/>
    <w:rsid w:val="005A1364"/>
    <w:rsid w:val="005A1F8F"/>
    <w:rsid w:val="005A307B"/>
    <w:rsid w:val="005A4255"/>
    <w:rsid w:val="005A5D07"/>
    <w:rsid w:val="005A6782"/>
    <w:rsid w:val="005A77B2"/>
    <w:rsid w:val="005B3D72"/>
    <w:rsid w:val="005B3DBB"/>
    <w:rsid w:val="005C1967"/>
    <w:rsid w:val="005C2ABB"/>
    <w:rsid w:val="005C2F60"/>
    <w:rsid w:val="005C4B30"/>
    <w:rsid w:val="005C6472"/>
    <w:rsid w:val="005C6DD7"/>
    <w:rsid w:val="005C7D2D"/>
    <w:rsid w:val="005D0ED5"/>
    <w:rsid w:val="005D1F0D"/>
    <w:rsid w:val="005D55D7"/>
    <w:rsid w:val="005D77C2"/>
    <w:rsid w:val="005E1549"/>
    <w:rsid w:val="005E2F68"/>
    <w:rsid w:val="005E44A7"/>
    <w:rsid w:val="005E4F78"/>
    <w:rsid w:val="005E652E"/>
    <w:rsid w:val="005F0DE9"/>
    <w:rsid w:val="005F173B"/>
    <w:rsid w:val="005F1C15"/>
    <w:rsid w:val="005F3F50"/>
    <w:rsid w:val="005F3F72"/>
    <w:rsid w:val="005F46DC"/>
    <w:rsid w:val="005F5AEE"/>
    <w:rsid w:val="005F5BC6"/>
    <w:rsid w:val="005F6BAE"/>
    <w:rsid w:val="005F7052"/>
    <w:rsid w:val="00601143"/>
    <w:rsid w:val="00603460"/>
    <w:rsid w:val="00604684"/>
    <w:rsid w:val="00610F3D"/>
    <w:rsid w:val="00612794"/>
    <w:rsid w:val="00617610"/>
    <w:rsid w:val="00620D53"/>
    <w:rsid w:val="00621367"/>
    <w:rsid w:val="00624BD5"/>
    <w:rsid w:val="006312AB"/>
    <w:rsid w:val="00632696"/>
    <w:rsid w:val="0063512B"/>
    <w:rsid w:val="006356E5"/>
    <w:rsid w:val="00640CBE"/>
    <w:rsid w:val="00640ED9"/>
    <w:rsid w:val="0064161C"/>
    <w:rsid w:val="006439B6"/>
    <w:rsid w:val="0064448C"/>
    <w:rsid w:val="00646443"/>
    <w:rsid w:val="0064679C"/>
    <w:rsid w:val="0064755C"/>
    <w:rsid w:val="00647C66"/>
    <w:rsid w:val="006506CE"/>
    <w:rsid w:val="00651158"/>
    <w:rsid w:val="00651EF6"/>
    <w:rsid w:val="00652CBF"/>
    <w:rsid w:val="00653E6F"/>
    <w:rsid w:val="00654281"/>
    <w:rsid w:val="00655474"/>
    <w:rsid w:val="00660CFB"/>
    <w:rsid w:val="00661D8A"/>
    <w:rsid w:val="00664409"/>
    <w:rsid w:val="00664D46"/>
    <w:rsid w:val="006655E8"/>
    <w:rsid w:val="0067284F"/>
    <w:rsid w:val="0067406F"/>
    <w:rsid w:val="00674443"/>
    <w:rsid w:val="006748F5"/>
    <w:rsid w:val="00674D96"/>
    <w:rsid w:val="006755B3"/>
    <w:rsid w:val="006762D4"/>
    <w:rsid w:val="006762EE"/>
    <w:rsid w:val="006810D8"/>
    <w:rsid w:val="0068159D"/>
    <w:rsid w:val="00685F2F"/>
    <w:rsid w:val="006925C0"/>
    <w:rsid w:val="006949D5"/>
    <w:rsid w:val="00694F3B"/>
    <w:rsid w:val="0069597A"/>
    <w:rsid w:val="00695D17"/>
    <w:rsid w:val="006A0FD5"/>
    <w:rsid w:val="006B03B6"/>
    <w:rsid w:val="006B29E7"/>
    <w:rsid w:val="006B33AD"/>
    <w:rsid w:val="006B3857"/>
    <w:rsid w:val="006B5B9B"/>
    <w:rsid w:val="006C0F61"/>
    <w:rsid w:val="006C16A5"/>
    <w:rsid w:val="006C1802"/>
    <w:rsid w:val="006C6F3F"/>
    <w:rsid w:val="006C7623"/>
    <w:rsid w:val="006D021D"/>
    <w:rsid w:val="006D42C7"/>
    <w:rsid w:val="006D5DE0"/>
    <w:rsid w:val="006D7B9C"/>
    <w:rsid w:val="006E0F77"/>
    <w:rsid w:val="006E15F5"/>
    <w:rsid w:val="006E39CB"/>
    <w:rsid w:val="006E4CFE"/>
    <w:rsid w:val="006E7B31"/>
    <w:rsid w:val="006E7DDE"/>
    <w:rsid w:val="006F02CA"/>
    <w:rsid w:val="006F2FAC"/>
    <w:rsid w:val="006F3CB2"/>
    <w:rsid w:val="006F44BD"/>
    <w:rsid w:val="007012CA"/>
    <w:rsid w:val="0070245B"/>
    <w:rsid w:val="007025AD"/>
    <w:rsid w:val="00702E3E"/>
    <w:rsid w:val="007048F2"/>
    <w:rsid w:val="0070546C"/>
    <w:rsid w:val="00705D73"/>
    <w:rsid w:val="00705D76"/>
    <w:rsid w:val="00706CC3"/>
    <w:rsid w:val="00710052"/>
    <w:rsid w:val="00711E00"/>
    <w:rsid w:val="007152DC"/>
    <w:rsid w:val="00717308"/>
    <w:rsid w:val="00720EAE"/>
    <w:rsid w:val="00721F12"/>
    <w:rsid w:val="00722314"/>
    <w:rsid w:val="00723D6A"/>
    <w:rsid w:val="00723DD3"/>
    <w:rsid w:val="00724B08"/>
    <w:rsid w:val="007255F9"/>
    <w:rsid w:val="00725E65"/>
    <w:rsid w:val="0073096D"/>
    <w:rsid w:val="007309E9"/>
    <w:rsid w:val="00733CE3"/>
    <w:rsid w:val="00734555"/>
    <w:rsid w:val="00735435"/>
    <w:rsid w:val="007370A2"/>
    <w:rsid w:val="00743079"/>
    <w:rsid w:val="00743D66"/>
    <w:rsid w:val="00744CC6"/>
    <w:rsid w:val="00747768"/>
    <w:rsid w:val="00753817"/>
    <w:rsid w:val="00753E37"/>
    <w:rsid w:val="007568E5"/>
    <w:rsid w:val="0075770D"/>
    <w:rsid w:val="00760446"/>
    <w:rsid w:val="00760A22"/>
    <w:rsid w:val="00762AFB"/>
    <w:rsid w:val="00763727"/>
    <w:rsid w:val="007641B2"/>
    <w:rsid w:val="007643FE"/>
    <w:rsid w:val="00764B25"/>
    <w:rsid w:val="00765097"/>
    <w:rsid w:val="0076513C"/>
    <w:rsid w:val="0076531F"/>
    <w:rsid w:val="007675D8"/>
    <w:rsid w:val="0077143D"/>
    <w:rsid w:val="0077295E"/>
    <w:rsid w:val="00774E83"/>
    <w:rsid w:val="007802C8"/>
    <w:rsid w:val="00781C84"/>
    <w:rsid w:val="0078251F"/>
    <w:rsid w:val="007825B1"/>
    <w:rsid w:val="00783617"/>
    <w:rsid w:val="00783F24"/>
    <w:rsid w:val="00785F8E"/>
    <w:rsid w:val="007876AC"/>
    <w:rsid w:val="00795ADC"/>
    <w:rsid w:val="007A1257"/>
    <w:rsid w:val="007A22CE"/>
    <w:rsid w:val="007B21F6"/>
    <w:rsid w:val="007B41FA"/>
    <w:rsid w:val="007B6128"/>
    <w:rsid w:val="007C0480"/>
    <w:rsid w:val="007C0A39"/>
    <w:rsid w:val="007C330C"/>
    <w:rsid w:val="007C3DDF"/>
    <w:rsid w:val="007C4DA7"/>
    <w:rsid w:val="007C5346"/>
    <w:rsid w:val="007C7A8E"/>
    <w:rsid w:val="007D09CF"/>
    <w:rsid w:val="007D3591"/>
    <w:rsid w:val="007D3BED"/>
    <w:rsid w:val="007D441F"/>
    <w:rsid w:val="007E0A83"/>
    <w:rsid w:val="007E3EC0"/>
    <w:rsid w:val="007E4722"/>
    <w:rsid w:val="007E4E23"/>
    <w:rsid w:val="007E5021"/>
    <w:rsid w:val="007E71AD"/>
    <w:rsid w:val="007E7615"/>
    <w:rsid w:val="007F019D"/>
    <w:rsid w:val="007F2DBC"/>
    <w:rsid w:val="007F575A"/>
    <w:rsid w:val="007F6D1D"/>
    <w:rsid w:val="007F7D6C"/>
    <w:rsid w:val="00801D1E"/>
    <w:rsid w:val="00802EC5"/>
    <w:rsid w:val="00803271"/>
    <w:rsid w:val="0080337B"/>
    <w:rsid w:val="00803CAA"/>
    <w:rsid w:val="008042AF"/>
    <w:rsid w:val="00804FBC"/>
    <w:rsid w:val="00806A93"/>
    <w:rsid w:val="00807D8F"/>
    <w:rsid w:val="00810242"/>
    <w:rsid w:val="0081412C"/>
    <w:rsid w:val="00815B0C"/>
    <w:rsid w:val="00815C15"/>
    <w:rsid w:val="00820404"/>
    <w:rsid w:val="0082157A"/>
    <w:rsid w:val="00827C90"/>
    <w:rsid w:val="00831E48"/>
    <w:rsid w:val="00832E02"/>
    <w:rsid w:val="00833A32"/>
    <w:rsid w:val="00833FD9"/>
    <w:rsid w:val="0083469A"/>
    <w:rsid w:val="00834CEF"/>
    <w:rsid w:val="00836F1C"/>
    <w:rsid w:val="0083732C"/>
    <w:rsid w:val="008375EA"/>
    <w:rsid w:val="008405E9"/>
    <w:rsid w:val="00842848"/>
    <w:rsid w:val="0084427D"/>
    <w:rsid w:val="008448B2"/>
    <w:rsid w:val="00850BA5"/>
    <w:rsid w:val="00851F40"/>
    <w:rsid w:val="008567C5"/>
    <w:rsid w:val="00856C1E"/>
    <w:rsid w:val="00857173"/>
    <w:rsid w:val="008639E1"/>
    <w:rsid w:val="00865209"/>
    <w:rsid w:val="008652D5"/>
    <w:rsid w:val="008661BF"/>
    <w:rsid w:val="008668E9"/>
    <w:rsid w:val="008676B7"/>
    <w:rsid w:val="008706EC"/>
    <w:rsid w:val="00870A03"/>
    <w:rsid w:val="00870FDC"/>
    <w:rsid w:val="0087232F"/>
    <w:rsid w:val="0087538E"/>
    <w:rsid w:val="00876D8D"/>
    <w:rsid w:val="0087748E"/>
    <w:rsid w:val="00880ED0"/>
    <w:rsid w:val="00882322"/>
    <w:rsid w:val="00882736"/>
    <w:rsid w:val="008848EB"/>
    <w:rsid w:val="00885E1C"/>
    <w:rsid w:val="00891336"/>
    <w:rsid w:val="00891C06"/>
    <w:rsid w:val="00892644"/>
    <w:rsid w:val="008934B5"/>
    <w:rsid w:val="0089400F"/>
    <w:rsid w:val="0089408F"/>
    <w:rsid w:val="008947A5"/>
    <w:rsid w:val="0089481B"/>
    <w:rsid w:val="0089572C"/>
    <w:rsid w:val="00895D3E"/>
    <w:rsid w:val="00896CD2"/>
    <w:rsid w:val="008A3085"/>
    <w:rsid w:val="008A58FF"/>
    <w:rsid w:val="008A5F25"/>
    <w:rsid w:val="008A5F4C"/>
    <w:rsid w:val="008A62FF"/>
    <w:rsid w:val="008B067C"/>
    <w:rsid w:val="008B081F"/>
    <w:rsid w:val="008B0A48"/>
    <w:rsid w:val="008B1480"/>
    <w:rsid w:val="008B1AE5"/>
    <w:rsid w:val="008B1CF7"/>
    <w:rsid w:val="008B3786"/>
    <w:rsid w:val="008C1070"/>
    <w:rsid w:val="008C28D4"/>
    <w:rsid w:val="008C2FC3"/>
    <w:rsid w:val="008C3425"/>
    <w:rsid w:val="008C5282"/>
    <w:rsid w:val="008C6119"/>
    <w:rsid w:val="008C63AC"/>
    <w:rsid w:val="008C684F"/>
    <w:rsid w:val="008C729C"/>
    <w:rsid w:val="008C79C1"/>
    <w:rsid w:val="008D2AF9"/>
    <w:rsid w:val="008D53A2"/>
    <w:rsid w:val="008D59E3"/>
    <w:rsid w:val="008D622A"/>
    <w:rsid w:val="008D6734"/>
    <w:rsid w:val="008D7DFA"/>
    <w:rsid w:val="008E3702"/>
    <w:rsid w:val="008E3A4A"/>
    <w:rsid w:val="008E667B"/>
    <w:rsid w:val="008F0B16"/>
    <w:rsid w:val="00900D43"/>
    <w:rsid w:val="00900F1A"/>
    <w:rsid w:val="009041CC"/>
    <w:rsid w:val="00904C90"/>
    <w:rsid w:val="00904F6C"/>
    <w:rsid w:val="00905460"/>
    <w:rsid w:val="00906E40"/>
    <w:rsid w:val="009119D0"/>
    <w:rsid w:val="00911A85"/>
    <w:rsid w:val="00914377"/>
    <w:rsid w:val="0091556B"/>
    <w:rsid w:val="0091684F"/>
    <w:rsid w:val="00920700"/>
    <w:rsid w:val="00922F82"/>
    <w:rsid w:val="00923598"/>
    <w:rsid w:val="00923CFC"/>
    <w:rsid w:val="00925776"/>
    <w:rsid w:val="00925CA7"/>
    <w:rsid w:val="00925EAF"/>
    <w:rsid w:val="0092691C"/>
    <w:rsid w:val="0092730F"/>
    <w:rsid w:val="009276BC"/>
    <w:rsid w:val="00931503"/>
    <w:rsid w:val="00932BE8"/>
    <w:rsid w:val="0093480D"/>
    <w:rsid w:val="00934E19"/>
    <w:rsid w:val="00935477"/>
    <w:rsid w:val="00935EE4"/>
    <w:rsid w:val="00936CD5"/>
    <w:rsid w:val="00945C53"/>
    <w:rsid w:val="0094759E"/>
    <w:rsid w:val="0095177B"/>
    <w:rsid w:val="00952304"/>
    <w:rsid w:val="009537D1"/>
    <w:rsid w:val="00953E35"/>
    <w:rsid w:val="00955F40"/>
    <w:rsid w:val="00964196"/>
    <w:rsid w:val="0096616F"/>
    <w:rsid w:val="0096764D"/>
    <w:rsid w:val="009720EE"/>
    <w:rsid w:val="00972C52"/>
    <w:rsid w:val="00973536"/>
    <w:rsid w:val="00974E84"/>
    <w:rsid w:val="00976738"/>
    <w:rsid w:val="00977630"/>
    <w:rsid w:val="00977EF9"/>
    <w:rsid w:val="009803BC"/>
    <w:rsid w:val="009819EB"/>
    <w:rsid w:val="009829D0"/>
    <w:rsid w:val="00984A5D"/>
    <w:rsid w:val="00985637"/>
    <w:rsid w:val="00985B33"/>
    <w:rsid w:val="0098601E"/>
    <w:rsid w:val="0098710C"/>
    <w:rsid w:val="00987AE9"/>
    <w:rsid w:val="009919BC"/>
    <w:rsid w:val="00992030"/>
    <w:rsid w:val="0099349D"/>
    <w:rsid w:val="00994E29"/>
    <w:rsid w:val="00994FC1"/>
    <w:rsid w:val="00996A31"/>
    <w:rsid w:val="009A0360"/>
    <w:rsid w:val="009A074B"/>
    <w:rsid w:val="009A080B"/>
    <w:rsid w:val="009A2567"/>
    <w:rsid w:val="009B0AD5"/>
    <w:rsid w:val="009B2E6D"/>
    <w:rsid w:val="009B2F27"/>
    <w:rsid w:val="009B3AA0"/>
    <w:rsid w:val="009B518C"/>
    <w:rsid w:val="009B5278"/>
    <w:rsid w:val="009B7BE4"/>
    <w:rsid w:val="009C05AE"/>
    <w:rsid w:val="009C220B"/>
    <w:rsid w:val="009C395D"/>
    <w:rsid w:val="009C3D9C"/>
    <w:rsid w:val="009C5CF6"/>
    <w:rsid w:val="009C64D6"/>
    <w:rsid w:val="009C6975"/>
    <w:rsid w:val="009C7290"/>
    <w:rsid w:val="009C7680"/>
    <w:rsid w:val="009C7C93"/>
    <w:rsid w:val="009D1C64"/>
    <w:rsid w:val="009D6C01"/>
    <w:rsid w:val="009D6D26"/>
    <w:rsid w:val="009D7A8C"/>
    <w:rsid w:val="009E1110"/>
    <w:rsid w:val="009E16A6"/>
    <w:rsid w:val="009E4D72"/>
    <w:rsid w:val="009E72F0"/>
    <w:rsid w:val="009E7FA7"/>
    <w:rsid w:val="009F2FA6"/>
    <w:rsid w:val="009F4263"/>
    <w:rsid w:val="009F54C5"/>
    <w:rsid w:val="009F5D1A"/>
    <w:rsid w:val="009F5DA3"/>
    <w:rsid w:val="009F5E45"/>
    <w:rsid w:val="009F646A"/>
    <w:rsid w:val="00A014C7"/>
    <w:rsid w:val="00A01F2D"/>
    <w:rsid w:val="00A0227E"/>
    <w:rsid w:val="00A02A81"/>
    <w:rsid w:val="00A04B36"/>
    <w:rsid w:val="00A05188"/>
    <w:rsid w:val="00A05293"/>
    <w:rsid w:val="00A0679F"/>
    <w:rsid w:val="00A107B7"/>
    <w:rsid w:val="00A11699"/>
    <w:rsid w:val="00A12B4F"/>
    <w:rsid w:val="00A12DDE"/>
    <w:rsid w:val="00A13C81"/>
    <w:rsid w:val="00A140E4"/>
    <w:rsid w:val="00A15279"/>
    <w:rsid w:val="00A15C86"/>
    <w:rsid w:val="00A20855"/>
    <w:rsid w:val="00A220F0"/>
    <w:rsid w:val="00A229AE"/>
    <w:rsid w:val="00A2316C"/>
    <w:rsid w:val="00A24505"/>
    <w:rsid w:val="00A247E0"/>
    <w:rsid w:val="00A24A19"/>
    <w:rsid w:val="00A26B70"/>
    <w:rsid w:val="00A272F9"/>
    <w:rsid w:val="00A2759B"/>
    <w:rsid w:val="00A307A0"/>
    <w:rsid w:val="00A314A2"/>
    <w:rsid w:val="00A31835"/>
    <w:rsid w:val="00A31CD8"/>
    <w:rsid w:val="00A3337C"/>
    <w:rsid w:val="00A33772"/>
    <w:rsid w:val="00A33BC4"/>
    <w:rsid w:val="00A37531"/>
    <w:rsid w:val="00A4127A"/>
    <w:rsid w:val="00A45217"/>
    <w:rsid w:val="00A46726"/>
    <w:rsid w:val="00A60BD8"/>
    <w:rsid w:val="00A60ED5"/>
    <w:rsid w:val="00A63A23"/>
    <w:rsid w:val="00A645FE"/>
    <w:rsid w:val="00A6592B"/>
    <w:rsid w:val="00A65A57"/>
    <w:rsid w:val="00A668DB"/>
    <w:rsid w:val="00A75308"/>
    <w:rsid w:val="00A75E7F"/>
    <w:rsid w:val="00A764D5"/>
    <w:rsid w:val="00A8006F"/>
    <w:rsid w:val="00A82B77"/>
    <w:rsid w:val="00A84DA7"/>
    <w:rsid w:val="00A85FAE"/>
    <w:rsid w:val="00A94974"/>
    <w:rsid w:val="00A953B0"/>
    <w:rsid w:val="00A9714A"/>
    <w:rsid w:val="00A9798A"/>
    <w:rsid w:val="00A979EF"/>
    <w:rsid w:val="00AA1635"/>
    <w:rsid w:val="00AA1736"/>
    <w:rsid w:val="00AA32EC"/>
    <w:rsid w:val="00AA7102"/>
    <w:rsid w:val="00AB1F97"/>
    <w:rsid w:val="00AB2C84"/>
    <w:rsid w:val="00AB2C87"/>
    <w:rsid w:val="00AB2D31"/>
    <w:rsid w:val="00AB3E80"/>
    <w:rsid w:val="00AB4148"/>
    <w:rsid w:val="00AB6546"/>
    <w:rsid w:val="00AB7256"/>
    <w:rsid w:val="00AC06E5"/>
    <w:rsid w:val="00AC22E8"/>
    <w:rsid w:val="00AC3B5F"/>
    <w:rsid w:val="00AC5B69"/>
    <w:rsid w:val="00AD0B88"/>
    <w:rsid w:val="00AD1EBD"/>
    <w:rsid w:val="00AD453D"/>
    <w:rsid w:val="00AE0C0B"/>
    <w:rsid w:val="00AE2D54"/>
    <w:rsid w:val="00AE552E"/>
    <w:rsid w:val="00AE6067"/>
    <w:rsid w:val="00AE7F45"/>
    <w:rsid w:val="00AF0CD3"/>
    <w:rsid w:val="00AF77F1"/>
    <w:rsid w:val="00AF7C04"/>
    <w:rsid w:val="00B00224"/>
    <w:rsid w:val="00B007B8"/>
    <w:rsid w:val="00B00AE1"/>
    <w:rsid w:val="00B032F5"/>
    <w:rsid w:val="00B06170"/>
    <w:rsid w:val="00B101EC"/>
    <w:rsid w:val="00B13D5D"/>
    <w:rsid w:val="00B17F7A"/>
    <w:rsid w:val="00B20F86"/>
    <w:rsid w:val="00B251D8"/>
    <w:rsid w:val="00B26135"/>
    <w:rsid w:val="00B263CE"/>
    <w:rsid w:val="00B276A1"/>
    <w:rsid w:val="00B277D4"/>
    <w:rsid w:val="00B308ED"/>
    <w:rsid w:val="00B3133B"/>
    <w:rsid w:val="00B31E47"/>
    <w:rsid w:val="00B32D61"/>
    <w:rsid w:val="00B348B6"/>
    <w:rsid w:val="00B34D0F"/>
    <w:rsid w:val="00B3699F"/>
    <w:rsid w:val="00B3713C"/>
    <w:rsid w:val="00B37A3F"/>
    <w:rsid w:val="00B37D6D"/>
    <w:rsid w:val="00B40004"/>
    <w:rsid w:val="00B40790"/>
    <w:rsid w:val="00B42491"/>
    <w:rsid w:val="00B431A3"/>
    <w:rsid w:val="00B451A1"/>
    <w:rsid w:val="00B45742"/>
    <w:rsid w:val="00B47285"/>
    <w:rsid w:val="00B4757D"/>
    <w:rsid w:val="00B51835"/>
    <w:rsid w:val="00B54BD2"/>
    <w:rsid w:val="00B55B54"/>
    <w:rsid w:val="00B57253"/>
    <w:rsid w:val="00B607E3"/>
    <w:rsid w:val="00B6104C"/>
    <w:rsid w:val="00B6427B"/>
    <w:rsid w:val="00B64D03"/>
    <w:rsid w:val="00B709F9"/>
    <w:rsid w:val="00B73069"/>
    <w:rsid w:val="00B73481"/>
    <w:rsid w:val="00B73719"/>
    <w:rsid w:val="00B75933"/>
    <w:rsid w:val="00B75AD3"/>
    <w:rsid w:val="00B82129"/>
    <w:rsid w:val="00B8533B"/>
    <w:rsid w:val="00B85909"/>
    <w:rsid w:val="00B859F7"/>
    <w:rsid w:val="00B86868"/>
    <w:rsid w:val="00B900EF"/>
    <w:rsid w:val="00B9051D"/>
    <w:rsid w:val="00B93A27"/>
    <w:rsid w:val="00B9686E"/>
    <w:rsid w:val="00BA1266"/>
    <w:rsid w:val="00BA4F80"/>
    <w:rsid w:val="00BA5D8D"/>
    <w:rsid w:val="00BA73E0"/>
    <w:rsid w:val="00BB108C"/>
    <w:rsid w:val="00BB28F3"/>
    <w:rsid w:val="00BB2C7E"/>
    <w:rsid w:val="00BB311F"/>
    <w:rsid w:val="00BC21FF"/>
    <w:rsid w:val="00BC232B"/>
    <w:rsid w:val="00BD187F"/>
    <w:rsid w:val="00BD1D44"/>
    <w:rsid w:val="00BD43D1"/>
    <w:rsid w:val="00BD6BC5"/>
    <w:rsid w:val="00BD7EC6"/>
    <w:rsid w:val="00BE1B8F"/>
    <w:rsid w:val="00BE3CF4"/>
    <w:rsid w:val="00BE4C6F"/>
    <w:rsid w:val="00BE53B3"/>
    <w:rsid w:val="00BE633F"/>
    <w:rsid w:val="00BE7638"/>
    <w:rsid w:val="00BE7732"/>
    <w:rsid w:val="00BE7740"/>
    <w:rsid w:val="00BF3450"/>
    <w:rsid w:val="00BF4031"/>
    <w:rsid w:val="00BF54A3"/>
    <w:rsid w:val="00BF6D2F"/>
    <w:rsid w:val="00BF7A0C"/>
    <w:rsid w:val="00C0363D"/>
    <w:rsid w:val="00C0425B"/>
    <w:rsid w:val="00C04495"/>
    <w:rsid w:val="00C04AAD"/>
    <w:rsid w:val="00C069D6"/>
    <w:rsid w:val="00C0797B"/>
    <w:rsid w:val="00C11B57"/>
    <w:rsid w:val="00C1202E"/>
    <w:rsid w:val="00C16250"/>
    <w:rsid w:val="00C17720"/>
    <w:rsid w:val="00C20392"/>
    <w:rsid w:val="00C20A49"/>
    <w:rsid w:val="00C20B25"/>
    <w:rsid w:val="00C22AD6"/>
    <w:rsid w:val="00C244E7"/>
    <w:rsid w:val="00C249F2"/>
    <w:rsid w:val="00C24A2D"/>
    <w:rsid w:val="00C24D7D"/>
    <w:rsid w:val="00C262E1"/>
    <w:rsid w:val="00C3036B"/>
    <w:rsid w:val="00C34F6E"/>
    <w:rsid w:val="00C35591"/>
    <w:rsid w:val="00C35E9C"/>
    <w:rsid w:val="00C37974"/>
    <w:rsid w:val="00C37CA0"/>
    <w:rsid w:val="00C40958"/>
    <w:rsid w:val="00C41368"/>
    <w:rsid w:val="00C41E91"/>
    <w:rsid w:val="00C432C7"/>
    <w:rsid w:val="00C437F0"/>
    <w:rsid w:val="00C45B3F"/>
    <w:rsid w:val="00C47D1E"/>
    <w:rsid w:val="00C52892"/>
    <w:rsid w:val="00C577BA"/>
    <w:rsid w:val="00C60991"/>
    <w:rsid w:val="00C62232"/>
    <w:rsid w:val="00C6374C"/>
    <w:rsid w:val="00C638AD"/>
    <w:rsid w:val="00C670A9"/>
    <w:rsid w:val="00C67D36"/>
    <w:rsid w:val="00C71395"/>
    <w:rsid w:val="00C717EE"/>
    <w:rsid w:val="00C71A64"/>
    <w:rsid w:val="00C74695"/>
    <w:rsid w:val="00C77BCE"/>
    <w:rsid w:val="00C804EA"/>
    <w:rsid w:val="00C829F2"/>
    <w:rsid w:val="00C8341F"/>
    <w:rsid w:val="00C8463F"/>
    <w:rsid w:val="00C86D4F"/>
    <w:rsid w:val="00C87FBA"/>
    <w:rsid w:val="00C90574"/>
    <w:rsid w:val="00C90BD1"/>
    <w:rsid w:val="00C918F2"/>
    <w:rsid w:val="00C94C1D"/>
    <w:rsid w:val="00C95D6D"/>
    <w:rsid w:val="00C96BDC"/>
    <w:rsid w:val="00CA16C4"/>
    <w:rsid w:val="00CA5039"/>
    <w:rsid w:val="00CB2BE5"/>
    <w:rsid w:val="00CB57D4"/>
    <w:rsid w:val="00CC399C"/>
    <w:rsid w:val="00CC699E"/>
    <w:rsid w:val="00CD1347"/>
    <w:rsid w:val="00CD41CF"/>
    <w:rsid w:val="00CD5483"/>
    <w:rsid w:val="00CD6DF2"/>
    <w:rsid w:val="00CE039A"/>
    <w:rsid w:val="00CE10E9"/>
    <w:rsid w:val="00CE55BE"/>
    <w:rsid w:val="00CE7C1F"/>
    <w:rsid w:val="00CF3B64"/>
    <w:rsid w:val="00CF4455"/>
    <w:rsid w:val="00CF445F"/>
    <w:rsid w:val="00CF4994"/>
    <w:rsid w:val="00CF6E89"/>
    <w:rsid w:val="00CF74FB"/>
    <w:rsid w:val="00CF7573"/>
    <w:rsid w:val="00D03527"/>
    <w:rsid w:val="00D0689A"/>
    <w:rsid w:val="00D10FCD"/>
    <w:rsid w:val="00D125AC"/>
    <w:rsid w:val="00D13A65"/>
    <w:rsid w:val="00D13A73"/>
    <w:rsid w:val="00D15275"/>
    <w:rsid w:val="00D154DB"/>
    <w:rsid w:val="00D170B4"/>
    <w:rsid w:val="00D17C12"/>
    <w:rsid w:val="00D21CFD"/>
    <w:rsid w:val="00D25305"/>
    <w:rsid w:val="00D25464"/>
    <w:rsid w:val="00D2714F"/>
    <w:rsid w:val="00D27D5B"/>
    <w:rsid w:val="00D27E8D"/>
    <w:rsid w:val="00D30AD9"/>
    <w:rsid w:val="00D339AF"/>
    <w:rsid w:val="00D33EC8"/>
    <w:rsid w:val="00D348A4"/>
    <w:rsid w:val="00D355E7"/>
    <w:rsid w:val="00D41E55"/>
    <w:rsid w:val="00D429FD"/>
    <w:rsid w:val="00D42C21"/>
    <w:rsid w:val="00D43A1D"/>
    <w:rsid w:val="00D44091"/>
    <w:rsid w:val="00D52CC1"/>
    <w:rsid w:val="00D62F73"/>
    <w:rsid w:val="00D643C4"/>
    <w:rsid w:val="00D6485D"/>
    <w:rsid w:val="00D6519D"/>
    <w:rsid w:val="00D65758"/>
    <w:rsid w:val="00D66338"/>
    <w:rsid w:val="00D716BB"/>
    <w:rsid w:val="00D72BB6"/>
    <w:rsid w:val="00D73A4B"/>
    <w:rsid w:val="00D74575"/>
    <w:rsid w:val="00D76E3B"/>
    <w:rsid w:val="00D8050E"/>
    <w:rsid w:val="00D8153B"/>
    <w:rsid w:val="00D81A09"/>
    <w:rsid w:val="00D84D96"/>
    <w:rsid w:val="00D85E81"/>
    <w:rsid w:val="00D862AD"/>
    <w:rsid w:val="00D87003"/>
    <w:rsid w:val="00D875F9"/>
    <w:rsid w:val="00D958A8"/>
    <w:rsid w:val="00D97968"/>
    <w:rsid w:val="00DA0D12"/>
    <w:rsid w:val="00DA188E"/>
    <w:rsid w:val="00DA3354"/>
    <w:rsid w:val="00DA3F60"/>
    <w:rsid w:val="00DA4167"/>
    <w:rsid w:val="00DA5132"/>
    <w:rsid w:val="00DA5960"/>
    <w:rsid w:val="00DA6CF3"/>
    <w:rsid w:val="00DA7B6B"/>
    <w:rsid w:val="00DB27E9"/>
    <w:rsid w:val="00DB3E70"/>
    <w:rsid w:val="00DB45A7"/>
    <w:rsid w:val="00DB4885"/>
    <w:rsid w:val="00DB48F0"/>
    <w:rsid w:val="00DB5BA7"/>
    <w:rsid w:val="00DB5CCA"/>
    <w:rsid w:val="00DB6802"/>
    <w:rsid w:val="00DC00B5"/>
    <w:rsid w:val="00DC2752"/>
    <w:rsid w:val="00DC43B2"/>
    <w:rsid w:val="00DC5820"/>
    <w:rsid w:val="00DC7DEE"/>
    <w:rsid w:val="00DD48D2"/>
    <w:rsid w:val="00DD4E64"/>
    <w:rsid w:val="00DD580E"/>
    <w:rsid w:val="00DE0CBA"/>
    <w:rsid w:val="00DE143F"/>
    <w:rsid w:val="00DE192E"/>
    <w:rsid w:val="00DE1A31"/>
    <w:rsid w:val="00DE1AD6"/>
    <w:rsid w:val="00DF0651"/>
    <w:rsid w:val="00DF070A"/>
    <w:rsid w:val="00DF6343"/>
    <w:rsid w:val="00DF66A4"/>
    <w:rsid w:val="00DF6A8C"/>
    <w:rsid w:val="00DF6F85"/>
    <w:rsid w:val="00DF7423"/>
    <w:rsid w:val="00DF76CA"/>
    <w:rsid w:val="00E01516"/>
    <w:rsid w:val="00E01556"/>
    <w:rsid w:val="00E019DD"/>
    <w:rsid w:val="00E029E6"/>
    <w:rsid w:val="00E04E5E"/>
    <w:rsid w:val="00E10EC1"/>
    <w:rsid w:val="00E112E7"/>
    <w:rsid w:val="00E12290"/>
    <w:rsid w:val="00E1276C"/>
    <w:rsid w:val="00E129C0"/>
    <w:rsid w:val="00E13565"/>
    <w:rsid w:val="00E14450"/>
    <w:rsid w:val="00E15441"/>
    <w:rsid w:val="00E16003"/>
    <w:rsid w:val="00E16D3B"/>
    <w:rsid w:val="00E17540"/>
    <w:rsid w:val="00E24333"/>
    <w:rsid w:val="00E24939"/>
    <w:rsid w:val="00E26DF7"/>
    <w:rsid w:val="00E271C0"/>
    <w:rsid w:val="00E300FE"/>
    <w:rsid w:val="00E30AFF"/>
    <w:rsid w:val="00E31216"/>
    <w:rsid w:val="00E31282"/>
    <w:rsid w:val="00E31284"/>
    <w:rsid w:val="00E32EDF"/>
    <w:rsid w:val="00E353A5"/>
    <w:rsid w:val="00E37FDD"/>
    <w:rsid w:val="00E420A2"/>
    <w:rsid w:val="00E464AE"/>
    <w:rsid w:val="00E47138"/>
    <w:rsid w:val="00E55166"/>
    <w:rsid w:val="00E56B0D"/>
    <w:rsid w:val="00E61016"/>
    <w:rsid w:val="00E61656"/>
    <w:rsid w:val="00E62222"/>
    <w:rsid w:val="00E6322E"/>
    <w:rsid w:val="00E63A3E"/>
    <w:rsid w:val="00E63D37"/>
    <w:rsid w:val="00E63E8E"/>
    <w:rsid w:val="00E64099"/>
    <w:rsid w:val="00E67061"/>
    <w:rsid w:val="00E6768F"/>
    <w:rsid w:val="00E70983"/>
    <w:rsid w:val="00E7111E"/>
    <w:rsid w:val="00E74021"/>
    <w:rsid w:val="00E75210"/>
    <w:rsid w:val="00E7523D"/>
    <w:rsid w:val="00E771D3"/>
    <w:rsid w:val="00E80CD6"/>
    <w:rsid w:val="00E81700"/>
    <w:rsid w:val="00E827FD"/>
    <w:rsid w:val="00E83DBA"/>
    <w:rsid w:val="00E8545C"/>
    <w:rsid w:val="00E85714"/>
    <w:rsid w:val="00E85773"/>
    <w:rsid w:val="00E858F6"/>
    <w:rsid w:val="00E85E20"/>
    <w:rsid w:val="00E865E4"/>
    <w:rsid w:val="00E902D1"/>
    <w:rsid w:val="00E91471"/>
    <w:rsid w:val="00E91BDE"/>
    <w:rsid w:val="00E92E7B"/>
    <w:rsid w:val="00E93D0A"/>
    <w:rsid w:val="00E94147"/>
    <w:rsid w:val="00E94693"/>
    <w:rsid w:val="00E9713C"/>
    <w:rsid w:val="00EA1BBF"/>
    <w:rsid w:val="00EA2128"/>
    <w:rsid w:val="00EA2986"/>
    <w:rsid w:val="00EA71F0"/>
    <w:rsid w:val="00EB1AEC"/>
    <w:rsid w:val="00EB2758"/>
    <w:rsid w:val="00EB29FF"/>
    <w:rsid w:val="00EC50C7"/>
    <w:rsid w:val="00EC5671"/>
    <w:rsid w:val="00ED075F"/>
    <w:rsid w:val="00ED178D"/>
    <w:rsid w:val="00ED21E5"/>
    <w:rsid w:val="00ED2D84"/>
    <w:rsid w:val="00ED7D6C"/>
    <w:rsid w:val="00EE2DB5"/>
    <w:rsid w:val="00EE4F64"/>
    <w:rsid w:val="00EE514E"/>
    <w:rsid w:val="00EE64AB"/>
    <w:rsid w:val="00EE73CC"/>
    <w:rsid w:val="00EF28A4"/>
    <w:rsid w:val="00EF2BB4"/>
    <w:rsid w:val="00EF2E45"/>
    <w:rsid w:val="00EF3ED0"/>
    <w:rsid w:val="00F01597"/>
    <w:rsid w:val="00F01912"/>
    <w:rsid w:val="00F04757"/>
    <w:rsid w:val="00F066F7"/>
    <w:rsid w:val="00F10BA1"/>
    <w:rsid w:val="00F11806"/>
    <w:rsid w:val="00F11A43"/>
    <w:rsid w:val="00F128E8"/>
    <w:rsid w:val="00F155D0"/>
    <w:rsid w:val="00F2393E"/>
    <w:rsid w:val="00F30872"/>
    <w:rsid w:val="00F312EE"/>
    <w:rsid w:val="00F32121"/>
    <w:rsid w:val="00F3213F"/>
    <w:rsid w:val="00F32FA0"/>
    <w:rsid w:val="00F32FF7"/>
    <w:rsid w:val="00F36542"/>
    <w:rsid w:val="00F4039F"/>
    <w:rsid w:val="00F416B8"/>
    <w:rsid w:val="00F42E08"/>
    <w:rsid w:val="00F441D7"/>
    <w:rsid w:val="00F44227"/>
    <w:rsid w:val="00F504A3"/>
    <w:rsid w:val="00F54BB2"/>
    <w:rsid w:val="00F55ED1"/>
    <w:rsid w:val="00F57D4A"/>
    <w:rsid w:val="00F60A91"/>
    <w:rsid w:val="00F6188F"/>
    <w:rsid w:val="00F66467"/>
    <w:rsid w:val="00F70415"/>
    <w:rsid w:val="00F74673"/>
    <w:rsid w:val="00F77505"/>
    <w:rsid w:val="00F77AE9"/>
    <w:rsid w:val="00F810A6"/>
    <w:rsid w:val="00F82F8F"/>
    <w:rsid w:val="00F82FC5"/>
    <w:rsid w:val="00F83660"/>
    <w:rsid w:val="00F83F23"/>
    <w:rsid w:val="00F847A9"/>
    <w:rsid w:val="00F9179A"/>
    <w:rsid w:val="00F92F77"/>
    <w:rsid w:val="00F965BD"/>
    <w:rsid w:val="00FA6750"/>
    <w:rsid w:val="00FA70F5"/>
    <w:rsid w:val="00FB1B5A"/>
    <w:rsid w:val="00FB1C4B"/>
    <w:rsid w:val="00FB22A2"/>
    <w:rsid w:val="00FB2D5D"/>
    <w:rsid w:val="00FB3BB9"/>
    <w:rsid w:val="00FB6802"/>
    <w:rsid w:val="00FC1448"/>
    <w:rsid w:val="00FC1B0D"/>
    <w:rsid w:val="00FC5448"/>
    <w:rsid w:val="00FC753B"/>
    <w:rsid w:val="00FD29D0"/>
    <w:rsid w:val="00FD42D1"/>
    <w:rsid w:val="00FD5D97"/>
    <w:rsid w:val="00FD7591"/>
    <w:rsid w:val="00FD7D11"/>
    <w:rsid w:val="00FE2C15"/>
    <w:rsid w:val="00FE2D68"/>
    <w:rsid w:val="00FE321D"/>
    <w:rsid w:val="00FE48FC"/>
    <w:rsid w:val="00FE62A5"/>
    <w:rsid w:val="00FF0003"/>
    <w:rsid w:val="00FF0799"/>
    <w:rsid w:val="00FF29EE"/>
    <w:rsid w:val="00FF49C4"/>
    <w:rsid w:val="00FF6DC4"/>
    <w:rsid w:val="00FF73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7AEB"/>
  <w15:docId w15:val="{BAD836D3-9543-40D2-9A7F-D65E17C4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708">
      <w:bodyDiv w:val="1"/>
      <w:marLeft w:val="0"/>
      <w:marRight w:val="0"/>
      <w:marTop w:val="0"/>
      <w:marBottom w:val="0"/>
      <w:divBdr>
        <w:top w:val="none" w:sz="0" w:space="0" w:color="auto"/>
        <w:left w:val="none" w:sz="0" w:space="0" w:color="auto"/>
        <w:bottom w:val="none" w:sz="0" w:space="0" w:color="auto"/>
        <w:right w:val="none" w:sz="0" w:space="0" w:color="auto"/>
      </w:divBdr>
    </w:div>
    <w:div w:id="611325468">
      <w:bodyDiv w:val="1"/>
      <w:marLeft w:val="0"/>
      <w:marRight w:val="0"/>
      <w:marTop w:val="0"/>
      <w:marBottom w:val="0"/>
      <w:divBdr>
        <w:top w:val="none" w:sz="0" w:space="0" w:color="auto"/>
        <w:left w:val="none" w:sz="0" w:space="0" w:color="auto"/>
        <w:bottom w:val="none" w:sz="0" w:space="0" w:color="auto"/>
        <w:right w:val="none" w:sz="0" w:space="0" w:color="auto"/>
      </w:divBdr>
    </w:div>
    <w:div w:id="1083336615">
      <w:bodyDiv w:val="1"/>
      <w:marLeft w:val="0"/>
      <w:marRight w:val="0"/>
      <w:marTop w:val="0"/>
      <w:marBottom w:val="0"/>
      <w:divBdr>
        <w:top w:val="none" w:sz="0" w:space="0" w:color="auto"/>
        <w:left w:val="none" w:sz="0" w:space="0" w:color="auto"/>
        <w:bottom w:val="none" w:sz="0" w:space="0" w:color="auto"/>
        <w:right w:val="none" w:sz="0" w:space="0" w:color="auto"/>
      </w:divBdr>
    </w:div>
    <w:div w:id="1098067360">
      <w:bodyDiv w:val="1"/>
      <w:marLeft w:val="0"/>
      <w:marRight w:val="0"/>
      <w:marTop w:val="0"/>
      <w:marBottom w:val="0"/>
      <w:divBdr>
        <w:top w:val="none" w:sz="0" w:space="0" w:color="auto"/>
        <w:left w:val="none" w:sz="0" w:space="0" w:color="auto"/>
        <w:bottom w:val="none" w:sz="0" w:space="0" w:color="auto"/>
        <w:right w:val="none" w:sz="0" w:space="0" w:color="auto"/>
      </w:divBdr>
    </w:div>
    <w:div w:id="1341466514">
      <w:bodyDiv w:val="1"/>
      <w:marLeft w:val="0"/>
      <w:marRight w:val="0"/>
      <w:marTop w:val="0"/>
      <w:marBottom w:val="0"/>
      <w:divBdr>
        <w:top w:val="none" w:sz="0" w:space="0" w:color="auto"/>
        <w:left w:val="none" w:sz="0" w:space="0" w:color="auto"/>
        <w:bottom w:val="none" w:sz="0" w:space="0" w:color="auto"/>
        <w:right w:val="none" w:sz="0" w:space="0" w:color="auto"/>
      </w:divBdr>
    </w:div>
    <w:div w:id="1413703137">
      <w:bodyDiv w:val="1"/>
      <w:marLeft w:val="0"/>
      <w:marRight w:val="0"/>
      <w:marTop w:val="0"/>
      <w:marBottom w:val="0"/>
      <w:divBdr>
        <w:top w:val="none" w:sz="0" w:space="0" w:color="auto"/>
        <w:left w:val="none" w:sz="0" w:space="0" w:color="auto"/>
        <w:bottom w:val="none" w:sz="0" w:space="0" w:color="auto"/>
        <w:right w:val="none" w:sz="0" w:space="0" w:color="auto"/>
      </w:divBdr>
    </w:div>
    <w:div w:id="1446924718">
      <w:bodyDiv w:val="1"/>
      <w:marLeft w:val="0"/>
      <w:marRight w:val="0"/>
      <w:marTop w:val="0"/>
      <w:marBottom w:val="0"/>
      <w:divBdr>
        <w:top w:val="none" w:sz="0" w:space="0" w:color="auto"/>
        <w:left w:val="none" w:sz="0" w:space="0" w:color="auto"/>
        <w:bottom w:val="none" w:sz="0" w:space="0" w:color="auto"/>
        <w:right w:val="none" w:sz="0" w:space="0" w:color="auto"/>
      </w:divBdr>
    </w:div>
    <w:div w:id="1620792498">
      <w:bodyDiv w:val="1"/>
      <w:marLeft w:val="0"/>
      <w:marRight w:val="0"/>
      <w:marTop w:val="0"/>
      <w:marBottom w:val="0"/>
      <w:divBdr>
        <w:top w:val="none" w:sz="0" w:space="0" w:color="auto"/>
        <w:left w:val="none" w:sz="0" w:space="0" w:color="auto"/>
        <w:bottom w:val="none" w:sz="0" w:space="0" w:color="auto"/>
        <w:right w:val="none" w:sz="0" w:space="0" w:color="auto"/>
      </w:divBdr>
    </w:div>
    <w:div w:id="1958217810">
      <w:bodyDiv w:val="1"/>
      <w:marLeft w:val="0"/>
      <w:marRight w:val="0"/>
      <w:marTop w:val="0"/>
      <w:marBottom w:val="0"/>
      <w:divBdr>
        <w:top w:val="none" w:sz="0" w:space="0" w:color="auto"/>
        <w:left w:val="none" w:sz="0" w:space="0" w:color="auto"/>
        <w:bottom w:val="none" w:sz="0" w:space="0" w:color="auto"/>
        <w:right w:val="none" w:sz="0" w:space="0" w:color="auto"/>
      </w:divBdr>
    </w:div>
    <w:div w:id="21313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61E033F7B14F8F811FEE8D2AABD251"/>
        <w:category>
          <w:name w:val="General"/>
          <w:gallery w:val="placeholder"/>
        </w:category>
        <w:types>
          <w:type w:val="bbPlcHdr"/>
        </w:types>
        <w:behaviors>
          <w:behavior w:val="content"/>
        </w:behaviors>
        <w:guid w:val="{25543F11-6898-4591-871C-22546DB516FF}"/>
      </w:docPartPr>
      <w:docPartBody>
        <w:p w:rsidR="00E61B5F" w:rsidRDefault="00E61B5F" w:rsidP="0076019D">
          <w:pPr>
            <w:pStyle w:val="0D61E033F7B14F8F811FEE8D2AABD251"/>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61B5F" w:rsidRDefault="00E61B5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61B5F" w:rsidRDefault="00E61B5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61B5F" w:rsidRDefault="00E61B5F" w:rsidP="00AF0AC5">
          <w:pPr>
            <w:pStyle w:val="D6903D02D7CB4A26959385EE7707C951"/>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61B5F" w:rsidRDefault="00E61B5F"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61B5F" w:rsidRDefault="00E61B5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61B5F" w:rsidRDefault="00E61B5F" w:rsidP="00AF0AC5">
          <w:pPr>
            <w:pStyle w:val="39029122E116421E9EE19D2FCE4517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61B5F" w:rsidRDefault="00E61B5F" w:rsidP="00AF0AC5">
          <w:pPr>
            <w:pStyle w:val="0796204703484FAD9B1778A33922F94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1B5F"/>
    <w:rsid w:val="001E1A9E"/>
    <w:rsid w:val="003F0FE4"/>
    <w:rsid w:val="00490C84"/>
    <w:rsid w:val="00521228"/>
    <w:rsid w:val="006623DA"/>
    <w:rsid w:val="006E7DDE"/>
    <w:rsid w:val="0089408F"/>
    <w:rsid w:val="00900F1A"/>
    <w:rsid w:val="00E61B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0D61E033F7B14F8F811FEE8D2AABD251">
    <w:name w:val="0D61E033F7B14F8F811FEE8D2AABD251"/>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0796204703484FAD9B1778A33922F943">
    <w:name w:val="0796204703484FAD9B1778A33922F94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7806</Words>
  <Characters>44500</Characters>
  <Application>Microsoft Office Word</Application>
  <DocSecurity>12</DocSecurity>
  <Lines>370</Lines>
  <Paragraphs>104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2025-09-05T05:48:00Z</dcterms:created>
  <dcterms:modified xsi:type="dcterms:W3CDTF">2025-09-05T05:48:00Z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