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92B6" w14:textId="5581DF8E" w:rsidR="00602F73" w:rsidRDefault="009676E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221E386" wp14:editId="287617F5">
                <wp:simplePos x="0" y="0"/>
                <wp:positionH relativeFrom="column">
                  <wp:posOffset>-895350</wp:posOffset>
                </wp:positionH>
                <wp:positionV relativeFrom="paragraph">
                  <wp:posOffset>722630</wp:posOffset>
                </wp:positionV>
                <wp:extent cx="5686425" cy="1727200"/>
                <wp:effectExtent l="0" t="0" r="0" b="0"/>
                <wp:wrapSquare wrapText="bothSides"/>
                <wp:docPr id="1394967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46EB3" w14:textId="77777777" w:rsidR="00602F73" w:rsidRDefault="009676E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76797A1" w14:textId="77777777" w:rsidR="00602F73" w:rsidRPr="001E694D" w:rsidRDefault="009676E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C30C3B8" w14:textId="77777777" w:rsidR="00602F73" w:rsidRPr="001E694D" w:rsidRDefault="009676EA" w:rsidP="009504D0">
                            <w:pPr>
                              <w:pStyle w:val="ContactNumber"/>
                              <w:spacing w:after="600"/>
                              <w:rPr>
                                <w:rFonts w:ascii="Open Sans" w:hAnsi="Open Sans" w:cs="Open Sans"/>
                              </w:rPr>
                            </w:pPr>
                            <w:r w:rsidRPr="001E694D">
                              <w:rPr>
                                <w:rFonts w:ascii="Open Sans" w:hAnsi="Open Sans" w:cs="Open Sans"/>
                              </w:rPr>
                              <w:t>Agedcarequality.gov.au</w:t>
                            </w:r>
                          </w:p>
                          <w:p w14:paraId="05D14795" w14:textId="77777777" w:rsidR="00602F73" w:rsidRDefault="00602F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21E38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6946EB3" w14:textId="77777777" w:rsidR="00602F73" w:rsidRDefault="009676E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76797A1" w14:textId="77777777" w:rsidR="00602F73" w:rsidRPr="001E694D" w:rsidRDefault="009676E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C30C3B8" w14:textId="77777777" w:rsidR="00602F73" w:rsidRPr="001E694D" w:rsidRDefault="009676EA" w:rsidP="009504D0">
                      <w:pPr>
                        <w:pStyle w:val="ContactNumber"/>
                        <w:spacing w:after="600"/>
                        <w:rPr>
                          <w:rFonts w:ascii="Open Sans" w:hAnsi="Open Sans" w:cs="Open Sans"/>
                        </w:rPr>
                      </w:pPr>
                      <w:r w:rsidRPr="001E694D">
                        <w:rPr>
                          <w:rFonts w:ascii="Open Sans" w:hAnsi="Open Sans" w:cs="Open Sans"/>
                        </w:rPr>
                        <w:t>Agedcarequality.gov.au</w:t>
                      </w:r>
                    </w:p>
                    <w:p w14:paraId="05D14795" w14:textId="77777777" w:rsidR="00602F73" w:rsidRDefault="00602F73"/>
                  </w:txbxContent>
                </v:textbox>
                <w10:wrap type="square"/>
              </v:shape>
            </w:pict>
          </mc:Fallback>
        </mc:AlternateContent>
      </w:r>
      <w:r>
        <w:rPr>
          <w:noProof/>
        </w:rPr>
        <w:drawing>
          <wp:anchor distT="360045" distB="180340" distL="114300" distR="114300" simplePos="0" relativeHeight="251659264" behindDoc="1" locked="0" layoutInCell="1" allowOverlap="1" wp14:anchorId="5922678A" wp14:editId="17EB0D8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DD521DD" w14:textId="77777777" w:rsidR="00602F73" w:rsidRPr="001E694D" w:rsidRDefault="00602F73" w:rsidP="001E694D">
      <w:pPr>
        <w:tabs>
          <w:tab w:val="left" w:pos="4569"/>
        </w:tabs>
        <w:rPr>
          <w:rFonts w:ascii="Open Sans" w:hAnsi="Open Sans" w:cs="Open Sans"/>
          <w:color w:val="FFFFFF" w:themeColor="background1"/>
          <w:sz w:val="66"/>
          <w:szCs w:val="66"/>
        </w:rPr>
      </w:pPr>
    </w:p>
    <w:p w14:paraId="0480FBA6" w14:textId="77777777" w:rsidR="00602F73" w:rsidRDefault="00602F73" w:rsidP="00372ED2">
      <w:pPr>
        <w:spacing w:after="0"/>
        <w:rPr>
          <w:rFonts w:ascii="Open Sans" w:hAnsi="Open Sans" w:cs="Open Sans"/>
          <w:b/>
          <w:bCs/>
          <w:color w:val="FFFFFF" w:themeColor="background1"/>
          <w:sz w:val="66"/>
          <w:szCs w:val="66"/>
        </w:rPr>
      </w:pPr>
    </w:p>
    <w:p w14:paraId="6342B30B" w14:textId="77777777" w:rsidR="00602F73" w:rsidRDefault="00602F73" w:rsidP="00372ED2">
      <w:pPr>
        <w:spacing w:after="0"/>
        <w:rPr>
          <w:rFonts w:ascii="Open Sans" w:hAnsi="Open Sans" w:cs="Open Sans"/>
          <w:b/>
          <w:bCs/>
          <w:color w:val="FFFFFF" w:themeColor="background1"/>
          <w:sz w:val="66"/>
          <w:szCs w:val="66"/>
        </w:rPr>
      </w:pPr>
    </w:p>
    <w:p w14:paraId="10DB9F7D" w14:textId="77777777" w:rsidR="00602F73" w:rsidRPr="00412FC5" w:rsidRDefault="00602F7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042"/>
        <w:gridCol w:w="6433"/>
      </w:tblGrid>
      <w:tr w:rsidR="00C67221" w14:paraId="1343207E" w14:textId="77777777" w:rsidTr="00C67221">
        <w:tc>
          <w:tcPr>
            <w:cnfStyle w:val="001000000000" w:firstRow="0" w:lastRow="0" w:firstColumn="1" w:lastColumn="0" w:oddVBand="0" w:evenVBand="0" w:oddHBand="0" w:evenHBand="0" w:firstRowFirstColumn="0" w:firstRowLastColumn="0" w:lastRowFirstColumn="0" w:lastRowLastColumn="0"/>
            <w:tcW w:w="3227" w:type="dxa"/>
          </w:tcPr>
          <w:p w14:paraId="548246DD" w14:textId="77777777" w:rsidR="00602F73" w:rsidRPr="001E694D" w:rsidRDefault="009676EA" w:rsidP="00062A16">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4E57EED" w14:textId="77777777" w:rsidR="00602F73" w:rsidRPr="001E694D" w:rsidRDefault="009676EA" w:rsidP="00062A16">
            <w:pPr>
              <w:pStyle w:val="ListBullet"/>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Guildford Village</w:t>
            </w:r>
          </w:p>
        </w:tc>
      </w:tr>
      <w:tr w:rsidR="00C67221" w14:paraId="71AA05F5" w14:textId="77777777" w:rsidTr="00C672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4245D0" w14:textId="77777777" w:rsidR="00602F73" w:rsidRPr="001E694D" w:rsidRDefault="009676EA" w:rsidP="00062A16">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67CED57" w14:textId="77777777" w:rsidR="00602F73" w:rsidRPr="001E694D" w:rsidRDefault="009676EA" w:rsidP="00062A16">
            <w:pPr>
              <w:pStyle w:val="ListBullet"/>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7204</w:t>
            </w:r>
          </w:p>
        </w:tc>
      </w:tr>
      <w:tr w:rsidR="00C67221" w14:paraId="688CE372" w14:textId="77777777" w:rsidTr="00C6722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B382AA" w14:textId="77777777" w:rsidR="00602F73" w:rsidRPr="001E694D" w:rsidRDefault="009676EA" w:rsidP="00062A16">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BA87492" w14:textId="77777777" w:rsidR="00602F73" w:rsidRPr="001E694D" w:rsidRDefault="009676EA" w:rsidP="00062A16">
            <w:pPr>
              <w:pStyle w:val="ListBullet"/>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34 Swan</w:t>
            </w:r>
            <w:r w:rsidRPr="001E694D">
              <w:rPr>
                <w:rFonts w:ascii="Open Sans" w:eastAsia="Times New Roman" w:hAnsi="Open Sans" w:cs="Open Sans"/>
                <w:lang w:eastAsia="en-AU"/>
              </w:rPr>
              <w:t xml:space="preserve"> Street East, GUILDFORD, Western Australia, 6055</w:t>
            </w:r>
          </w:p>
        </w:tc>
      </w:tr>
      <w:tr w:rsidR="00C67221" w14:paraId="77AF7A83" w14:textId="77777777" w:rsidTr="00C672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FFE8785" w14:textId="77777777" w:rsidR="00602F73" w:rsidRPr="001E694D" w:rsidRDefault="009676EA" w:rsidP="00062A16">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2A1E3DD" w14:textId="77777777" w:rsidR="00602F73" w:rsidRPr="001E694D" w:rsidRDefault="009676EA" w:rsidP="00062A16">
            <w:pPr>
              <w:pStyle w:val="ListBullet"/>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C67221" w14:paraId="4820C5C9" w14:textId="77777777" w:rsidTr="00C6722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FBDCA4" w14:textId="77777777" w:rsidR="00602F73" w:rsidRPr="001E694D" w:rsidRDefault="009676EA" w:rsidP="00062A16">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64C4C87" w14:textId="77777777" w:rsidR="00602F73" w:rsidRPr="001E694D" w:rsidRDefault="009676EA" w:rsidP="00062A16">
            <w:pPr>
              <w:pStyle w:val="ListBullet"/>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February 2025 to 12 February 2025</w:t>
            </w:r>
          </w:p>
        </w:tc>
      </w:tr>
      <w:tr w:rsidR="00C67221" w14:paraId="4372A896" w14:textId="77777777" w:rsidTr="00C672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C509BB1" w14:textId="77777777" w:rsidR="00602F73" w:rsidRPr="001E694D" w:rsidRDefault="009676EA" w:rsidP="00062A16">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24729411"/>
            <w:placeholder>
              <w:docPart w:val="DefaultPlaceholder_-1854013437"/>
            </w:placeholder>
            <w:date w:fullDate="2025-03-21T00:00:00Z">
              <w:dateFormat w:val="d MMMM yyyy"/>
              <w:lid w:val="en-AU"/>
              <w:storeMappedDataAs w:val="dateTime"/>
              <w:calendar w:val="gregorian"/>
            </w:date>
          </w:sdtPr>
          <w:sdtEndPr/>
          <w:sdtContent>
            <w:tc>
              <w:tcPr>
                <w:tcW w:w="7114" w:type="dxa"/>
                <w:shd w:val="clear" w:color="auto" w:fill="FFFFFF" w:themeFill="background1"/>
              </w:tcPr>
              <w:p w14:paraId="2B71AFD1" w14:textId="5B11348C" w:rsidR="00602F73" w:rsidRPr="001E694D" w:rsidRDefault="00EE036C" w:rsidP="00062A16">
                <w:pPr>
                  <w:pStyle w:val="ListBullet"/>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21 March 2025</w:t>
                </w:r>
              </w:p>
            </w:tc>
          </w:sdtContent>
        </w:sdt>
      </w:tr>
      <w:tr w:rsidR="00C67221" w14:paraId="4C49E37E" w14:textId="77777777" w:rsidTr="00C6722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0BA5D28" w14:textId="77777777" w:rsidR="00602F73" w:rsidRPr="001E694D" w:rsidRDefault="009676EA" w:rsidP="00062A16">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8949921" w14:textId="77777777" w:rsidR="00602F73" w:rsidRPr="001E694D" w:rsidRDefault="009676EA" w:rsidP="00062A16">
            <w:pPr>
              <w:pStyle w:val="ListBullet"/>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1120 Pu-Fam Pty Ltd </w:t>
            </w:r>
          </w:p>
          <w:p w14:paraId="67C35968" w14:textId="77777777" w:rsidR="00602F73" w:rsidRPr="001E694D" w:rsidRDefault="009676EA" w:rsidP="00062A16">
            <w:pPr>
              <w:pStyle w:val="ListBullet"/>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4732 Guildford Village</w:t>
            </w:r>
          </w:p>
        </w:tc>
      </w:tr>
    </w:tbl>
    <w:bookmarkEnd w:id="0"/>
    <w:p w14:paraId="49A92427" w14:textId="77777777" w:rsidR="00602F73" w:rsidRPr="001E694D" w:rsidRDefault="009676EA" w:rsidP="00062A16">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8DCBBAA" w14:textId="77777777" w:rsidR="00602F73" w:rsidRPr="003E162B" w:rsidRDefault="009676E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7185E3F" w14:textId="4E9F1381" w:rsidR="00602F73" w:rsidRPr="00062A16" w:rsidRDefault="009676EA" w:rsidP="00EF6BEB">
      <w:pPr>
        <w:pStyle w:val="NormalArial"/>
        <w:rPr>
          <w:rFonts w:ascii="Open Sans" w:hAnsi="Open Sans" w:cs="Open Sans"/>
        </w:rPr>
      </w:pPr>
      <w:r w:rsidRPr="00062A16">
        <w:rPr>
          <w:rFonts w:ascii="Open Sans" w:hAnsi="Open Sans" w:cs="Open Sans"/>
        </w:rPr>
        <w:t xml:space="preserve">This performance report for </w:t>
      </w:r>
      <w:r w:rsidRPr="00062A16">
        <w:rPr>
          <w:rFonts w:ascii="Open Sans" w:hAnsi="Open Sans" w:cs="Open Sans"/>
          <w:color w:val="auto"/>
        </w:rPr>
        <w:t>Guildford Village (</w:t>
      </w:r>
      <w:r w:rsidRPr="00062A16">
        <w:rPr>
          <w:rFonts w:ascii="Open Sans" w:hAnsi="Open Sans" w:cs="Open Sans"/>
          <w:b/>
          <w:color w:val="auto"/>
        </w:rPr>
        <w:t>the service</w:t>
      </w:r>
      <w:r w:rsidRPr="00062A16">
        <w:rPr>
          <w:rFonts w:ascii="Open Sans" w:hAnsi="Open Sans" w:cs="Open Sans"/>
          <w:color w:val="auto"/>
        </w:rPr>
        <w:t xml:space="preserve">) has been prepared by </w:t>
      </w:r>
      <w:r w:rsidR="00EE036C" w:rsidRPr="00062A16">
        <w:rPr>
          <w:rFonts w:ascii="Open Sans" w:hAnsi="Open Sans" w:cs="Open Sans"/>
        </w:rPr>
        <w:t>M Glenn,</w:t>
      </w:r>
      <w:r w:rsidRPr="00062A16">
        <w:rPr>
          <w:rFonts w:ascii="Open Sans" w:hAnsi="Open Sans" w:cs="Open Sans"/>
          <w:color w:val="0000FF"/>
        </w:rPr>
        <w:t xml:space="preserve"> </w:t>
      </w:r>
      <w:r w:rsidRPr="00062A16">
        <w:rPr>
          <w:rFonts w:ascii="Open Sans" w:hAnsi="Open Sans" w:cs="Open Sans"/>
        </w:rPr>
        <w:t>delegate of the Aged Care Quality and Safety Commissioner (Commissioner)</w:t>
      </w:r>
      <w:r w:rsidRPr="00062A16">
        <w:rPr>
          <w:rStyle w:val="FootnoteReference"/>
          <w:rFonts w:ascii="Open Sans" w:hAnsi="Open Sans" w:cs="Open Sans"/>
          <w:sz w:val="24"/>
        </w:rPr>
        <w:footnoteReference w:id="1"/>
      </w:r>
      <w:r w:rsidRPr="00062A16">
        <w:rPr>
          <w:rFonts w:ascii="Open Sans" w:hAnsi="Open Sans" w:cs="Open Sans"/>
        </w:rPr>
        <w:t xml:space="preserve">. </w:t>
      </w:r>
    </w:p>
    <w:p w14:paraId="0CE46989" w14:textId="77777777" w:rsidR="00602F73" w:rsidRPr="00062A16" w:rsidRDefault="009676EA" w:rsidP="00EF6BEB">
      <w:pPr>
        <w:pStyle w:val="NormalArial"/>
        <w:rPr>
          <w:rFonts w:ascii="Open Sans" w:hAnsi="Open Sans" w:cs="Open Sans"/>
        </w:rPr>
      </w:pPr>
      <w:r w:rsidRPr="00062A16">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1B16DA9" w14:textId="77777777" w:rsidR="00602F73" w:rsidRPr="00062A16" w:rsidRDefault="009676EA" w:rsidP="00EF6BEB">
      <w:pPr>
        <w:pStyle w:val="NormalArial"/>
        <w:rPr>
          <w:rFonts w:ascii="Open Sans" w:hAnsi="Open Sans" w:cs="Open Sans"/>
        </w:rPr>
      </w:pPr>
      <w:r w:rsidRPr="00062A16">
        <w:rPr>
          <w:rFonts w:ascii="Open Sans" w:hAnsi="Open Sans" w:cs="Open Sans"/>
        </w:rPr>
        <w:t>The report also specifies any areas in which improvements must be made to ensure the Quality Standards are complied with.</w:t>
      </w:r>
    </w:p>
    <w:p w14:paraId="7EC8AB68" w14:textId="77777777" w:rsidR="00602F73" w:rsidRPr="003E162B" w:rsidRDefault="009676E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364ABC4" w14:textId="77777777" w:rsidR="00602F73" w:rsidRPr="001E694D" w:rsidRDefault="009676EA" w:rsidP="00EF6BEB">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81E691F" w14:textId="4CD6A5C4" w:rsidR="00602F73" w:rsidRPr="001E694D" w:rsidRDefault="009676EA" w:rsidP="00062A16">
      <w:pPr>
        <w:pStyle w:val="ListBullet"/>
        <w:numPr>
          <w:ilvl w:val="0"/>
          <w:numId w:val="2"/>
        </w:numPr>
        <w:spacing w:before="0" w:after="120" w:line="276" w:lineRule="auto"/>
        <w:ind w:left="425" w:hanging="425"/>
        <w:rPr>
          <w:rFonts w:ascii="Open Sans" w:hAnsi="Open Sans" w:cs="Open Sans"/>
          <w:color w:val="0000FF"/>
        </w:rPr>
      </w:pPr>
      <w:r w:rsidRPr="001E694D">
        <w:rPr>
          <w:rFonts w:ascii="Open Sans" w:hAnsi="Open Sans" w:cs="Open Sans"/>
        </w:rPr>
        <w:t xml:space="preserve">the </w:t>
      </w:r>
      <w:r w:rsidR="00662124">
        <w:rPr>
          <w:rFonts w:ascii="Open Sans" w:hAnsi="Open Sans" w:cs="Open Sans"/>
        </w:rPr>
        <w:t>A</w:t>
      </w:r>
      <w:r w:rsidR="00662124" w:rsidRPr="001E694D">
        <w:rPr>
          <w:rFonts w:ascii="Open Sans" w:hAnsi="Open Sans" w:cs="Open Sans"/>
        </w:rPr>
        <w:t xml:space="preserve">ssessment </w:t>
      </w:r>
      <w:r w:rsidR="00662124">
        <w:rPr>
          <w:rFonts w:ascii="Open Sans" w:hAnsi="Open Sans" w:cs="Open Sans"/>
        </w:rPr>
        <w:t>T</w:t>
      </w:r>
      <w:r w:rsidR="00662124" w:rsidRPr="001E694D">
        <w:rPr>
          <w:rFonts w:ascii="Open Sans" w:hAnsi="Open Sans" w:cs="Open Sans"/>
        </w:rPr>
        <w:t xml:space="preserve">eam’s </w:t>
      </w:r>
      <w:r w:rsidRPr="001E694D">
        <w:rPr>
          <w:rFonts w:ascii="Open Sans" w:hAnsi="Open Sans" w:cs="Open Sans"/>
        </w:rPr>
        <w:t xml:space="preserve">report for </w:t>
      </w:r>
      <w:r w:rsidRPr="001E694D">
        <w:rPr>
          <w:rFonts w:ascii="Open Sans" w:hAnsi="Open Sans" w:cs="Open Sans"/>
          <w:color w:val="auto"/>
        </w:rPr>
        <w:t xml:space="preserve">the </w:t>
      </w:r>
      <w:r w:rsidR="00662124">
        <w:rPr>
          <w:rFonts w:ascii="Open Sans" w:hAnsi="Open Sans" w:cs="Open Sans"/>
          <w:color w:val="auto"/>
        </w:rPr>
        <w:t>a</w:t>
      </w:r>
      <w:r w:rsidR="00662124" w:rsidRPr="001E694D">
        <w:rPr>
          <w:rFonts w:ascii="Open Sans" w:hAnsi="Open Sans" w:cs="Open Sans"/>
          <w:color w:val="auto"/>
        </w:rPr>
        <w:t xml:space="preserve">ssessment </w:t>
      </w:r>
      <w:r w:rsidRPr="001E694D">
        <w:rPr>
          <w:rFonts w:ascii="Open Sans" w:hAnsi="Open Sans" w:cs="Open Sans"/>
          <w:color w:val="auto"/>
        </w:rPr>
        <w:t>contact (performance assessment) – site report</w:t>
      </w:r>
      <w:r w:rsidR="00662124">
        <w:rPr>
          <w:rFonts w:ascii="Open Sans" w:hAnsi="Open Sans" w:cs="Open Sans"/>
          <w:color w:val="auto"/>
        </w:rPr>
        <w:t>, which</w:t>
      </w:r>
      <w:r w:rsidRPr="001E694D">
        <w:rPr>
          <w:rFonts w:ascii="Open Sans" w:hAnsi="Open Sans" w:cs="Open Sans"/>
          <w:color w:val="auto"/>
        </w:rPr>
        <w:t xml:space="preserve"> was informed by </w:t>
      </w:r>
      <w:r w:rsidRPr="00E33764">
        <w:rPr>
          <w:rFonts w:ascii="Open Sans" w:hAnsi="Open Sans" w:cs="Open Sans"/>
          <w:color w:val="auto"/>
        </w:rPr>
        <w:t xml:space="preserve">a site assessment, observations at the service, review of documents and interviews with </w:t>
      </w:r>
      <w:r w:rsidR="00EE036C">
        <w:rPr>
          <w:rFonts w:ascii="Open Sans" w:hAnsi="Open Sans" w:cs="Open Sans"/>
          <w:color w:val="auto"/>
        </w:rPr>
        <w:t>consumers</w:t>
      </w:r>
      <w:r w:rsidRPr="00E33764">
        <w:rPr>
          <w:rFonts w:ascii="Open Sans" w:hAnsi="Open Sans" w:cs="Open Sans"/>
          <w:color w:val="auto"/>
        </w:rPr>
        <w:t>/representatives</w:t>
      </w:r>
      <w:r w:rsidR="00EE036C">
        <w:rPr>
          <w:rFonts w:ascii="Open Sans" w:hAnsi="Open Sans" w:cs="Open Sans"/>
          <w:color w:val="auto"/>
        </w:rPr>
        <w:t>, staff, management</w:t>
      </w:r>
      <w:r w:rsidRPr="00E33764">
        <w:rPr>
          <w:rFonts w:ascii="Open Sans" w:hAnsi="Open Sans" w:cs="Open Sans"/>
          <w:color w:val="auto"/>
        </w:rPr>
        <w:t xml:space="preserve"> and other</w:t>
      </w:r>
      <w:r w:rsidRPr="00EE036C">
        <w:rPr>
          <w:rFonts w:ascii="Open Sans" w:hAnsi="Open Sans" w:cs="Open Sans"/>
          <w:color w:val="auto"/>
        </w:rPr>
        <w:t>s</w:t>
      </w:r>
      <w:r w:rsidR="00662124" w:rsidRPr="00EE036C">
        <w:rPr>
          <w:rFonts w:ascii="Open Sans" w:hAnsi="Open Sans" w:cs="Open Sans"/>
          <w:color w:val="auto"/>
        </w:rPr>
        <w:t>;</w:t>
      </w:r>
    </w:p>
    <w:p w14:paraId="41B3D242" w14:textId="6D363745" w:rsidR="00602F73" w:rsidRPr="00E33764" w:rsidRDefault="009676EA" w:rsidP="00062A16">
      <w:pPr>
        <w:pStyle w:val="ListBullet"/>
        <w:numPr>
          <w:ilvl w:val="0"/>
          <w:numId w:val="2"/>
        </w:numPr>
        <w:spacing w:before="0" w:after="120" w:line="276" w:lineRule="auto"/>
        <w:ind w:left="425" w:hanging="425"/>
        <w:rPr>
          <w:rFonts w:ascii="Open Sans" w:hAnsi="Open Sans" w:cs="Open Sans"/>
          <w:color w:val="FF0000"/>
        </w:rPr>
      </w:pPr>
      <w:r w:rsidRPr="001E694D">
        <w:rPr>
          <w:rFonts w:ascii="Open Sans" w:hAnsi="Open Sans" w:cs="Open Sans"/>
        </w:rPr>
        <w:t xml:space="preserve">the provider’s response to the </w:t>
      </w:r>
      <w:r w:rsidR="00662124">
        <w:rPr>
          <w:rFonts w:ascii="Open Sans" w:hAnsi="Open Sans" w:cs="Open Sans"/>
        </w:rPr>
        <w:t>A</w:t>
      </w:r>
      <w:r w:rsidR="00662124" w:rsidRPr="001E694D">
        <w:rPr>
          <w:rFonts w:ascii="Open Sans" w:hAnsi="Open Sans" w:cs="Open Sans"/>
        </w:rPr>
        <w:t xml:space="preserve">ssessment </w:t>
      </w:r>
      <w:r w:rsidR="00662124">
        <w:rPr>
          <w:rFonts w:ascii="Open Sans" w:hAnsi="Open Sans" w:cs="Open Sans"/>
        </w:rPr>
        <w:t>T</w:t>
      </w:r>
      <w:r w:rsidR="00662124" w:rsidRPr="001E694D">
        <w:rPr>
          <w:rFonts w:ascii="Open Sans" w:hAnsi="Open Sans" w:cs="Open Sans"/>
        </w:rPr>
        <w:t xml:space="preserve">eam’s </w:t>
      </w:r>
      <w:r w:rsidRPr="001E694D">
        <w:rPr>
          <w:rFonts w:ascii="Open Sans" w:hAnsi="Open Sans" w:cs="Open Sans"/>
        </w:rPr>
        <w:t>report received</w:t>
      </w:r>
      <w:r w:rsidR="00E33764">
        <w:rPr>
          <w:rFonts w:ascii="Open Sans" w:hAnsi="Open Sans" w:cs="Open Sans"/>
        </w:rPr>
        <w:t xml:space="preserve"> 10 March 2025</w:t>
      </w:r>
      <w:r w:rsidR="00662124">
        <w:rPr>
          <w:rFonts w:ascii="Open Sans" w:hAnsi="Open Sans" w:cs="Open Sans"/>
        </w:rPr>
        <w:t xml:space="preserve">; </w:t>
      </w:r>
      <w:r w:rsidR="00E33764">
        <w:rPr>
          <w:rFonts w:ascii="Open Sans" w:hAnsi="Open Sans" w:cs="Open Sans"/>
        </w:rPr>
        <w:t>and</w:t>
      </w:r>
    </w:p>
    <w:p w14:paraId="72671045" w14:textId="665E84AA" w:rsidR="00E33764" w:rsidRPr="001E694D" w:rsidRDefault="00EE036C" w:rsidP="00062A16">
      <w:pPr>
        <w:pStyle w:val="ListBullet"/>
        <w:numPr>
          <w:ilvl w:val="0"/>
          <w:numId w:val="2"/>
        </w:numPr>
        <w:spacing w:before="0" w:after="120" w:line="276" w:lineRule="auto"/>
        <w:ind w:left="425" w:hanging="425"/>
        <w:rPr>
          <w:rFonts w:ascii="Open Sans" w:hAnsi="Open Sans" w:cs="Open Sans"/>
          <w:color w:val="FF0000"/>
        </w:rPr>
      </w:pPr>
      <w:r>
        <w:rPr>
          <w:rFonts w:ascii="Open Sans" w:hAnsi="Open Sans" w:cs="Open Sans"/>
        </w:rPr>
        <w:t>a</w:t>
      </w:r>
      <w:r w:rsidR="00E33764">
        <w:rPr>
          <w:rFonts w:ascii="Open Sans" w:hAnsi="Open Sans" w:cs="Open Sans"/>
        </w:rPr>
        <w:t xml:space="preserve"> performance report dated </w:t>
      </w:r>
      <w:r>
        <w:rPr>
          <w:rFonts w:ascii="Open Sans" w:hAnsi="Open Sans" w:cs="Open Sans"/>
        </w:rPr>
        <w:t xml:space="preserve">21 August 2024 </w:t>
      </w:r>
      <w:r w:rsidR="00E33764">
        <w:rPr>
          <w:rFonts w:ascii="Open Sans" w:hAnsi="Open Sans" w:cs="Open Sans"/>
        </w:rPr>
        <w:t xml:space="preserve">for </w:t>
      </w:r>
      <w:r>
        <w:rPr>
          <w:rFonts w:ascii="Open Sans" w:hAnsi="Open Sans" w:cs="Open Sans"/>
        </w:rPr>
        <w:t>an</w:t>
      </w:r>
      <w:r w:rsidR="00E33764">
        <w:rPr>
          <w:rFonts w:ascii="Open Sans" w:hAnsi="Open Sans" w:cs="Open Sans"/>
        </w:rPr>
        <w:t xml:space="preserve"> </w:t>
      </w:r>
      <w:r w:rsidR="00662124">
        <w:rPr>
          <w:rFonts w:ascii="Open Sans" w:hAnsi="Open Sans" w:cs="Open Sans"/>
        </w:rPr>
        <w:t xml:space="preserve">assessment </w:t>
      </w:r>
      <w:r w:rsidR="00E33764">
        <w:rPr>
          <w:rFonts w:ascii="Open Sans" w:hAnsi="Open Sans" w:cs="Open Sans"/>
        </w:rPr>
        <w:t>contact undertaken 23 July 2024.</w:t>
      </w:r>
    </w:p>
    <w:p w14:paraId="4E3926E7" w14:textId="72CD32B9" w:rsidR="00602F73" w:rsidRPr="001E694D" w:rsidRDefault="009676E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196496F" w14:textId="77777777" w:rsidR="00602F73" w:rsidRPr="003E162B" w:rsidRDefault="009676E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505"/>
        <w:gridCol w:w="2019"/>
      </w:tblGrid>
      <w:tr w:rsidR="00C67221" w14:paraId="3B21C8D2" w14:textId="77777777" w:rsidTr="00C6722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D83551" w14:textId="77777777" w:rsidR="00602F73" w:rsidRPr="001E694D" w:rsidRDefault="009676EA"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EE036C">
              <w:rPr>
                <w:rFonts w:ascii="Open Sans" w:hAnsi="Open Sans" w:cs="Open Sans"/>
                <w:b w:val="0"/>
                <w:bCs/>
              </w:rPr>
              <w:t>Ongoing assessment and planning with consumers</w:t>
            </w:r>
          </w:p>
        </w:tc>
        <w:tc>
          <w:tcPr>
            <w:tcW w:w="1060" w:type="pct"/>
            <w:shd w:val="clear" w:color="auto" w:fill="auto"/>
          </w:tcPr>
          <w:p w14:paraId="0E826322" w14:textId="1B4687F7" w:rsidR="00602F73" w:rsidRPr="001E694D" w:rsidRDefault="00A43E2A" w:rsidP="002C5FA9">
            <w:pPr>
              <w:pStyle w:val="ListBullet"/>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125420206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33764">
                  <w:rPr>
                    <w:rFonts w:ascii="Open Sans" w:hAnsi="Open Sans" w:cs="Open Sans"/>
                    <w:bCs/>
                  </w:rPr>
                  <w:t>Not Compliant</w:t>
                </w:r>
              </w:sdtContent>
            </w:sdt>
          </w:p>
        </w:tc>
      </w:tr>
      <w:tr w:rsidR="00C67221" w14:paraId="6AA0B9F6" w14:textId="77777777" w:rsidTr="00C6722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220658" w14:textId="77777777" w:rsidR="00602F73" w:rsidRPr="001E694D" w:rsidRDefault="009676E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65A2095" w14:textId="11F78153" w:rsidR="00602F73" w:rsidRPr="001E694D" w:rsidRDefault="00A43E2A"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334008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33764">
                  <w:rPr>
                    <w:rFonts w:ascii="Open Sans" w:hAnsi="Open Sans" w:cs="Open Sans"/>
                    <w:b/>
                    <w:bCs/>
                  </w:rPr>
                  <w:t>Not Compliant</w:t>
                </w:r>
              </w:sdtContent>
            </w:sdt>
          </w:p>
        </w:tc>
      </w:tr>
      <w:tr w:rsidR="00C67221" w14:paraId="2E53569A" w14:textId="77777777" w:rsidTr="00C6722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F2F06F" w14:textId="77777777" w:rsidR="00602F73" w:rsidRPr="001E694D" w:rsidRDefault="009676E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DFEAD82" w14:textId="47CC3739" w:rsidR="00602F73" w:rsidRPr="001E694D" w:rsidRDefault="00A43E2A" w:rsidP="002C5FA9">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407507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33764">
                  <w:rPr>
                    <w:rFonts w:ascii="Open Sans" w:hAnsi="Open Sans" w:cs="Open Sans"/>
                    <w:b/>
                    <w:bCs/>
                  </w:rPr>
                  <w:t>Not Compliant</w:t>
                </w:r>
              </w:sdtContent>
            </w:sdt>
          </w:p>
        </w:tc>
      </w:tr>
    </w:tbl>
    <w:p w14:paraId="4E2E2DE2" w14:textId="77777777" w:rsidR="00602F73" w:rsidRPr="001E694D" w:rsidRDefault="009676EA" w:rsidP="00EF6BEB">
      <w:pPr>
        <w:rPr>
          <w:rFonts w:ascii="Open Sans" w:hAnsi="Open Sans" w:cs="Open Sans"/>
        </w:rPr>
      </w:pPr>
      <w:r w:rsidRPr="001E694D">
        <w:rPr>
          <w:rFonts w:ascii="Open Sans" w:hAnsi="Open Sans" w:cs="Open Sans"/>
        </w:rPr>
        <w:t>A detailed assessment is provided later in this report for each assessed Standard.</w:t>
      </w:r>
    </w:p>
    <w:p w14:paraId="7612E7A0" w14:textId="2C06422D" w:rsidR="00602F73" w:rsidRPr="00E33764" w:rsidRDefault="009676EA" w:rsidP="00E33764">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29E1EA2" w14:textId="77777777" w:rsidR="00E33764" w:rsidRDefault="00E33764" w:rsidP="00EF6BEB">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E4CE434" w14:textId="6519C633" w:rsidR="00602F73" w:rsidRDefault="00F54A0D" w:rsidP="00EF6BEB">
      <w:pPr>
        <w:pStyle w:val="NormalArial"/>
        <w:rPr>
          <w:rFonts w:ascii="Open Sans" w:hAnsi="Open Sans" w:cs="Open Sans"/>
          <w:b/>
          <w:bCs/>
        </w:rPr>
      </w:pPr>
      <w:r w:rsidRPr="009A28C2">
        <w:rPr>
          <w:rFonts w:ascii="Open Sans" w:hAnsi="Open Sans" w:cs="Open Sans"/>
          <w:b/>
          <w:bCs/>
        </w:rPr>
        <w:t>Standard 2 requirement (3)(a)</w:t>
      </w:r>
    </w:p>
    <w:p w14:paraId="02D73751" w14:textId="20DA28D5" w:rsidR="009A28C2" w:rsidRDefault="009A28C2" w:rsidP="00EF6BEB">
      <w:pPr>
        <w:pStyle w:val="NormalArial"/>
        <w:rPr>
          <w:rFonts w:ascii="Open Sans" w:hAnsi="Open Sans" w:cs="Open Sans"/>
        </w:rPr>
      </w:pPr>
      <w:r w:rsidRPr="009A28C2">
        <w:rPr>
          <w:rFonts w:ascii="Open Sans" w:hAnsi="Open Sans" w:cs="Open Sans"/>
        </w:rPr>
        <w:t>The provider ensures:</w:t>
      </w:r>
    </w:p>
    <w:p w14:paraId="72434B0F" w14:textId="6CD92E17" w:rsidR="009A28C2" w:rsidRPr="00EF6BEB" w:rsidRDefault="009A28C2" w:rsidP="00EF6BEB">
      <w:pPr>
        <w:pStyle w:val="ListBullet"/>
        <w:numPr>
          <w:ilvl w:val="0"/>
          <w:numId w:val="2"/>
        </w:numPr>
        <w:spacing w:before="0" w:after="120" w:line="276" w:lineRule="auto"/>
        <w:ind w:left="425" w:hanging="425"/>
        <w:rPr>
          <w:rFonts w:ascii="Open Sans" w:hAnsi="Open Sans" w:cs="Open Sans"/>
        </w:rPr>
      </w:pPr>
      <w:r w:rsidRPr="00EF6BEB">
        <w:rPr>
          <w:rFonts w:ascii="Open Sans" w:hAnsi="Open Sans" w:cs="Open Sans"/>
        </w:rPr>
        <w:t xml:space="preserve">assessment and planning considers risks related to consumer health and wellbeing and informs the delivery of safe and effective care and services. </w:t>
      </w:r>
    </w:p>
    <w:p w14:paraId="7E831EB6" w14:textId="406C4AD0" w:rsidR="009A28C2" w:rsidRPr="009A28C2" w:rsidRDefault="009A28C2" w:rsidP="00EF6BEB">
      <w:pPr>
        <w:rPr>
          <w:rFonts w:ascii="Open Sans" w:hAnsi="Open Sans" w:cs="Open Sans"/>
          <w:b/>
          <w:bCs/>
          <w:color w:val="auto"/>
        </w:rPr>
      </w:pPr>
      <w:r w:rsidRPr="009A28C2">
        <w:rPr>
          <w:rFonts w:ascii="Open Sans" w:hAnsi="Open Sans" w:cs="Open Sans"/>
          <w:b/>
          <w:bCs/>
          <w:color w:val="auto"/>
        </w:rPr>
        <w:t>Standard 3 requirement (3)(b)</w:t>
      </w:r>
    </w:p>
    <w:p w14:paraId="40CAE8BA" w14:textId="5FD9CF06" w:rsidR="009A28C2" w:rsidRDefault="009A28C2" w:rsidP="00EF6BEB">
      <w:pPr>
        <w:rPr>
          <w:rFonts w:ascii="Open Sans" w:hAnsi="Open Sans" w:cs="Open Sans"/>
          <w:color w:val="auto"/>
        </w:rPr>
      </w:pPr>
      <w:r>
        <w:rPr>
          <w:rFonts w:ascii="Open Sans" w:hAnsi="Open Sans" w:cs="Open Sans"/>
          <w:color w:val="auto"/>
        </w:rPr>
        <w:t>The provider ensures:</w:t>
      </w:r>
    </w:p>
    <w:p w14:paraId="131E74B2" w14:textId="6CD36FFD" w:rsidR="009A28C2" w:rsidRPr="00EF6BEB" w:rsidRDefault="009A28C2" w:rsidP="00EF6BEB">
      <w:pPr>
        <w:pStyle w:val="ListBullet"/>
        <w:numPr>
          <w:ilvl w:val="0"/>
          <w:numId w:val="2"/>
        </w:numPr>
        <w:spacing w:before="0" w:after="120" w:line="276" w:lineRule="auto"/>
        <w:ind w:left="425" w:hanging="425"/>
        <w:rPr>
          <w:rFonts w:ascii="Open Sans" w:hAnsi="Open Sans" w:cs="Open Sans"/>
        </w:rPr>
      </w:pPr>
      <w:r w:rsidRPr="00EF6BEB">
        <w:rPr>
          <w:rFonts w:ascii="Open Sans" w:hAnsi="Open Sans" w:cs="Open Sans"/>
        </w:rPr>
        <w:t>high impact or high prevalence risks associated with consumers’ care are identified, managed, planned for, and monitored, including risks relating to falls, diabetes, wound management and restrictive practices</w:t>
      </w:r>
      <w:r w:rsidR="00062A16" w:rsidRPr="00EF6BEB">
        <w:rPr>
          <w:rFonts w:ascii="Open Sans" w:hAnsi="Open Sans" w:cs="Open Sans"/>
        </w:rPr>
        <w:t xml:space="preserve">. </w:t>
      </w:r>
    </w:p>
    <w:p w14:paraId="04AE6251" w14:textId="5BDE7F1A" w:rsidR="009A28C2" w:rsidRPr="00A25E02" w:rsidRDefault="009A28C2" w:rsidP="00A25E02">
      <w:pPr>
        <w:pStyle w:val="ListBullet"/>
        <w:spacing w:before="0" w:after="120" w:line="276" w:lineRule="auto"/>
        <w:rPr>
          <w:rFonts w:ascii="Open Sans" w:hAnsi="Open Sans" w:cs="Open Sans"/>
          <w:b/>
          <w:bCs/>
        </w:rPr>
      </w:pPr>
      <w:r w:rsidRPr="00A25E02">
        <w:rPr>
          <w:rFonts w:ascii="Open Sans" w:hAnsi="Open Sans" w:cs="Open Sans"/>
          <w:b/>
          <w:bCs/>
        </w:rPr>
        <w:t>Standard 8 requirements (3)(d) and (3)(e)</w:t>
      </w:r>
    </w:p>
    <w:p w14:paraId="3EA59BE8" w14:textId="67CF50F4" w:rsidR="009A28C2" w:rsidRDefault="009A28C2" w:rsidP="00EF6BEB">
      <w:pPr>
        <w:pStyle w:val="ListBullet"/>
        <w:spacing w:before="0" w:after="120"/>
        <w:rPr>
          <w:rFonts w:ascii="Open Sans" w:hAnsi="Open Sans" w:cs="Open Sans"/>
          <w:color w:val="auto"/>
        </w:rPr>
      </w:pPr>
      <w:r>
        <w:rPr>
          <w:rFonts w:ascii="Open Sans" w:hAnsi="Open Sans" w:cs="Open Sans"/>
          <w:color w:val="auto"/>
        </w:rPr>
        <w:t>The provider ensures:</w:t>
      </w:r>
    </w:p>
    <w:p w14:paraId="438B8E08" w14:textId="2E395E8D" w:rsidR="009A28C2" w:rsidRPr="00647FED" w:rsidRDefault="009A28C2" w:rsidP="00EF6BEB">
      <w:pPr>
        <w:pStyle w:val="ListBullet"/>
        <w:numPr>
          <w:ilvl w:val="0"/>
          <w:numId w:val="2"/>
        </w:numPr>
        <w:spacing w:before="0" w:after="120" w:line="276" w:lineRule="auto"/>
        <w:ind w:left="425" w:right="-755" w:hanging="425"/>
        <w:rPr>
          <w:rFonts w:ascii="Open Sans" w:hAnsi="Open Sans" w:cs="Open Sans"/>
        </w:rPr>
      </w:pPr>
      <w:r w:rsidRPr="00EF6BEB">
        <w:rPr>
          <w:rFonts w:ascii="Open Sans" w:hAnsi="Open Sans" w:cs="Open Sans"/>
        </w:rPr>
        <w:t xml:space="preserve">the organisation’s risk management systems and practices, including in relation to managing high impact or high prevalence risks, and managing and preventing incidents are reviewed to ensure effectiveness; and   </w:t>
      </w:r>
    </w:p>
    <w:p w14:paraId="51B3172A" w14:textId="587E436E" w:rsidR="009A28C2" w:rsidRPr="009A28C2" w:rsidRDefault="009A28C2" w:rsidP="00EF6BEB">
      <w:pPr>
        <w:pStyle w:val="ListBullet"/>
        <w:numPr>
          <w:ilvl w:val="0"/>
          <w:numId w:val="2"/>
        </w:numPr>
        <w:spacing w:before="0" w:after="120" w:line="276" w:lineRule="auto"/>
        <w:ind w:left="425" w:right="-755" w:hanging="425"/>
        <w:rPr>
          <w:rFonts w:ascii="Open Sans" w:hAnsi="Open Sans" w:cs="Open Sans"/>
        </w:rPr>
      </w:pPr>
      <w:r w:rsidRPr="00EF6BEB">
        <w:rPr>
          <w:rFonts w:ascii="Open Sans" w:hAnsi="Open Sans" w:cs="Open Sans"/>
        </w:rPr>
        <w:t>the organisational clinical governance framework, including in relation to minimising use of restrictive practices and high impact high prevalence risks and non-compliance identified in Standards 2 and 3 are reviewed to ensure effectiveness.</w:t>
      </w:r>
    </w:p>
    <w:p w14:paraId="2638C7CC" w14:textId="77777777" w:rsidR="00EF6BEB" w:rsidRDefault="00EF6BEB">
      <w:pPr>
        <w:spacing w:after="160" w:line="259" w:lineRule="auto"/>
        <w:rPr>
          <w:rFonts w:ascii="Open Sans" w:eastAsia="Yu Gothic Light" w:hAnsi="Open Sans" w:cs="Open Sans"/>
          <w:b/>
          <w:bCs/>
          <w:sz w:val="30"/>
          <w:szCs w:val="28"/>
        </w:rPr>
      </w:pPr>
      <w:r>
        <w:rPr>
          <w:rFonts w:ascii="Open Sans" w:hAnsi="Open Sans" w:cs="Open Sans"/>
        </w:rPr>
        <w:br w:type="page"/>
      </w:r>
    </w:p>
    <w:p w14:paraId="6B7FC643" w14:textId="2B779917" w:rsidR="00602F73" w:rsidRPr="001E694D" w:rsidRDefault="009676E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9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2"/>
        <w:gridCol w:w="5931"/>
        <w:gridCol w:w="1870"/>
      </w:tblGrid>
      <w:tr w:rsidR="00C1376A" w14:paraId="4DF535B5" w14:textId="77777777" w:rsidTr="003A10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5" w:type="pct"/>
            <w:gridSpan w:val="2"/>
            <w:shd w:val="clear" w:color="auto" w:fill="781E77"/>
          </w:tcPr>
          <w:p w14:paraId="2AE8DD15" w14:textId="77777777" w:rsidR="00C1376A" w:rsidRPr="001E694D" w:rsidRDefault="00C1376A" w:rsidP="00EA12C6">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85" w:type="pct"/>
            <w:shd w:val="clear" w:color="auto" w:fill="781E77"/>
          </w:tcPr>
          <w:p w14:paraId="42764300" w14:textId="77777777" w:rsidR="00C1376A" w:rsidRPr="001E694D" w:rsidRDefault="00C1376A" w:rsidP="00EA12C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1376A" w14:paraId="495E5E36" w14:textId="77777777" w:rsidTr="003A1001">
        <w:tc>
          <w:tcPr>
            <w:cnfStyle w:val="001000000000" w:firstRow="0" w:lastRow="0" w:firstColumn="1" w:lastColumn="0" w:oddVBand="0" w:evenVBand="0" w:oddHBand="0" w:evenHBand="0" w:firstRowFirstColumn="0" w:firstRowLastColumn="0" w:lastRowFirstColumn="0" w:lastRowLastColumn="0"/>
            <w:tcW w:w="891" w:type="pct"/>
            <w:shd w:val="clear" w:color="auto" w:fill="auto"/>
          </w:tcPr>
          <w:p w14:paraId="531A515F" w14:textId="77777777" w:rsidR="00C1376A" w:rsidRPr="001E694D" w:rsidRDefault="00C1376A" w:rsidP="00EA12C6">
            <w:pPr>
              <w:spacing w:line="22" w:lineRule="atLeast"/>
              <w:rPr>
                <w:rFonts w:ascii="Open Sans" w:hAnsi="Open Sans" w:cs="Open Sans"/>
              </w:rPr>
            </w:pPr>
            <w:r w:rsidRPr="001E694D">
              <w:rPr>
                <w:rFonts w:ascii="Open Sans" w:hAnsi="Open Sans" w:cs="Open Sans"/>
              </w:rPr>
              <w:t>Requirement 2(3)(a)</w:t>
            </w:r>
          </w:p>
        </w:tc>
        <w:tc>
          <w:tcPr>
            <w:tcW w:w="3124" w:type="pct"/>
            <w:shd w:val="clear" w:color="auto" w:fill="auto"/>
          </w:tcPr>
          <w:p w14:paraId="33B08394" w14:textId="77777777" w:rsidR="00C1376A" w:rsidRPr="001E694D" w:rsidRDefault="00C1376A" w:rsidP="00EA12C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85" w:type="pct"/>
            <w:shd w:val="clear" w:color="auto" w:fill="auto"/>
          </w:tcPr>
          <w:p w14:paraId="15B484FB" w14:textId="0FC13A40" w:rsidR="00C1376A" w:rsidRPr="001E694D" w:rsidRDefault="00A43E2A" w:rsidP="00EA12C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6350513"/>
                <w:placeholder>
                  <w:docPart w:val="30A2EDED7DBB48E9BDB05452523750B6"/>
                </w:placeholder>
                <w:dropDownList>
                  <w:listItem w:displayText="choose a rating" w:value="choose a rating"/>
                  <w:listItem w:displayText="Compliant" w:value="Compliant"/>
                  <w:listItem w:displayText="Not Compliant" w:value="Not Compliant"/>
                </w:dropDownList>
              </w:sdtPr>
              <w:sdtEndPr/>
              <w:sdtContent>
                <w:r w:rsidR="00A003DC">
                  <w:rPr>
                    <w:rFonts w:ascii="Open Sans" w:hAnsi="Open Sans" w:cs="Open Sans"/>
                    <w:color w:val="auto"/>
                  </w:rPr>
                  <w:t>Not Compliant</w:t>
                </w:r>
              </w:sdtContent>
            </w:sdt>
          </w:p>
        </w:tc>
      </w:tr>
    </w:tbl>
    <w:p w14:paraId="290218F9" w14:textId="75A623FC" w:rsidR="00602F73" w:rsidRPr="003E162B" w:rsidRDefault="009676EA" w:rsidP="00D87E7C">
      <w:pPr>
        <w:pStyle w:val="Heading20"/>
        <w:rPr>
          <w:rFonts w:ascii="Open Sans" w:hAnsi="Open Sans" w:cs="Open Sans"/>
          <w:color w:val="781E77"/>
        </w:rPr>
      </w:pPr>
      <w:r w:rsidRPr="003E162B">
        <w:rPr>
          <w:rFonts w:ascii="Open Sans" w:hAnsi="Open Sans" w:cs="Open Sans"/>
          <w:color w:val="781E77"/>
        </w:rPr>
        <w:t>Findings</w:t>
      </w:r>
    </w:p>
    <w:p w14:paraId="5084DD33" w14:textId="64EB9A9E" w:rsidR="00602F73" w:rsidRDefault="00C1376A" w:rsidP="00B1417C">
      <w:pPr>
        <w:pStyle w:val="NormalArial"/>
        <w:rPr>
          <w:rFonts w:ascii="Open Sans" w:hAnsi="Open Sans" w:cs="Open Sans"/>
        </w:rPr>
      </w:pPr>
      <w:r>
        <w:rPr>
          <w:rFonts w:ascii="Open Sans" w:hAnsi="Open Sans" w:cs="Open Sans"/>
        </w:rPr>
        <w:t>Th</w:t>
      </w:r>
      <w:r w:rsidR="007D708B">
        <w:rPr>
          <w:rFonts w:ascii="Open Sans" w:hAnsi="Open Sans" w:cs="Open Sans"/>
        </w:rPr>
        <w:t>e</w:t>
      </w:r>
      <w:r>
        <w:rPr>
          <w:rFonts w:ascii="Open Sans" w:hAnsi="Open Sans" w:cs="Open Sans"/>
        </w:rPr>
        <w:t xml:space="preserve"> Quality Standard is non-compliant as requirement 2(3)(a) has been found non-compliant. </w:t>
      </w:r>
      <w:r w:rsidR="00EE036C">
        <w:rPr>
          <w:rFonts w:ascii="Open Sans" w:hAnsi="Open Sans" w:cs="Open Sans"/>
        </w:rPr>
        <w:t>R</w:t>
      </w:r>
      <w:r>
        <w:rPr>
          <w:rFonts w:ascii="Open Sans" w:hAnsi="Open Sans" w:cs="Open Sans"/>
        </w:rPr>
        <w:t xml:space="preserve">equirement </w:t>
      </w:r>
      <w:r w:rsidR="00EE036C">
        <w:rPr>
          <w:rFonts w:ascii="Open Sans" w:hAnsi="Open Sans" w:cs="Open Sans"/>
        </w:rPr>
        <w:t xml:space="preserve">2(3)(a) </w:t>
      </w:r>
      <w:r>
        <w:rPr>
          <w:rFonts w:ascii="Open Sans" w:hAnsi="Open Sans" w:cs="Open Sans"/>
        </w:rPr>
        <w:t>was found non-compliant</w:t>
      </w:r>
      <w:r w:rsidR="00715283">
        <w:rPr>
          <w:rFonts w:ascii="Open Sans" w:hAnsi="Open Sans" w:cs="Open Sans"/>
        </w:rPr>
        <w:t xml:space="preserve"> following an </w:t>
      </w:r>
      <w:r w:rsidR="00662124">
        <w:rPr>
          <w:rFonts w:ascii="Open Sans" w:hAnsi="Open Sans" w:cs="Open Sans"/>
        </w:rPr>
        <w:t xml:space="preserve">assessment contact </w:t>
      </w:r>
      <w:r w:rsidR="00715283">
        <w:rPr>
          <w:rFonts w:ascii="Open Sans" w:hAnsi="Open Sans" w:cs="Open Sans"/>
        </w:rPr>
        <w:t xml:space="preserve">undertaken in July 2024 as assessment and planning was </w:t>
      </w:r>
      <w:r w:rsidR="00662124">
        <w:rPr>
          <w:rFonts w:ascii="Open Sans" w:hAnsi="Open Sans" w:cs="Open Sans"/>
        </w:rPr>
        <w:t xml:space="preserve">not </w:t>
      </w:r>
      <w:r w:rsidR="00715283">
        <w:rPr>
          <w:rFonts w:ascii="Open Sans" w:hAnsi="Open Sans" w:cs="Open Sans"/>
        </w:rPr>
        <w:t>undertaken with consideration of risk</w:t>
      </w:r>
      <w:r w:rsidR="00EE036C">
        <w:rPr>
          <w:rFonts w:ascii="Open Sans" w:hAnsi="Open Sans" w:cs="Open Sans"/>
        </w:rPr>
        <w:t>s</w:t>
      </w:r>
      <w:r w:rsidR="00715283">
        <w:rPr>
          <w:rFonts w:ascii="Open Sans" w:hAnsi="Open Sans" w:cs="Open Sans"/>
        </w:rPr>
        <w:t xml:space="preserve"> to inform delivery of safe care and services. The </w:t>
      </w:r>
      <w:r w:rsidR="007D708B">
        <w:rPr>
          <w:rFonts w:ascii="Open Sans" w:hAnsi="Open Sans" w:cs="Open Sans"/>
        </w:rPr>
        <w:t>provider has</w:t>
      </w:r>
      <w:r w:rsidR="00715283">
        <w:rPr>
          <w:rFonts w:ascii="Open Sans" w:hAnsi="Open Sans" w:cs="Open Sans"/>
        </w:rPr>
        <w:t xml:space="preserve"> implemented </w:t>
      </w:r>
      <w:r w:rsidR="007D708B">
        <w:rPr>
          <w:rFonts w:ascii="Open Sans" w:hAnsi="Open Sans" w:cs="Open Sans"/>
        </w:rPr>
        <w:t xml:space="preserve">a range of </w:t>
      </w:r>
      <w:r w:rsidR="00715283">
        <w:rPr>
          <w:rFonts w:ascii="Open Sans" w:hAnsi="Open Sans" w:cs="Open Sans"/>
        </w:rPr>
        <w:t xml:space="preserve">actions to address the </w:t>
      </w:r>
      <w:r w:rsidR="007D708B">
        <w:rPr>
          <w:rFonts w:ascii="Open Sans" w:hAnsi="Open Sans" w:cs="Open Sans"/>
        </w:rPr>
        <w:t>non-compliance,</w:t>
      </w:r>
      <w:r w:rsidR="00715283">
        <w:rPr>
          <w:rFonts w:ascii="Open Sans" w:hAnsi="Open Sans" w:cs="Open Sans"/>
        </w:rPr>
        <w:t xml:space="preserve"> including</w:t>
      </w:r>
      <w:r w:rsidR="00662124">
        <w:rPr>
          <w:rFonts w:ascii="Open Sans" w:hAnsi="Open Sans" w:cs="Open Sans"/>
        </w:rPr>
        <w:t>,</w:t>
      </w:r>
      <w:r w:rsidR="00715283">
        <w:rPr>
          <w:rFonts w:ascii="Open Sans" w:hAnsi="Open Sans" w:cs="Open Sans"/>
        </w:rPr>
        <w:t xml:space="preserve"> but not limited to</w:t>
      </w:r>
      <w:r w:rsidR="00662124">
        <w:rPr>
          <w:rFonts w:ascii="Open Sans" w:hAnsi="Open Sans" w:cs="Open Sans"/>
        </w:rPr>
        <w:t xml:space="preserve">, </w:t>
      </w:r>
      <w:r w:rsidR="00715283">
        <w:rPr>
          <w:rFonts w:ascii="Open Sans" w:hAnsi="Open Sans" w:cs="Open Sans"/>
        </w:rPr>
        <w:t>a comprehensive review of current risk assessment procedures</w:t>
      </w:r>
      <w:r w:rsidR="007D708B">
        <w:rPr>
          <w:rFonts w:ascii="Open Sans" w:hAnsi="Open Sans" w:cs="Open Sans"/>
        </w:rPr>
        <w:t>;</w:t>
      </w:r>
      <w:r w:rsidR="00715283">
        <w:rPr>
          <w:rFonts w:ascii="Open Sans" w:hAnsi="Open Sans" w:cs="Open Sans"/>
        </w:rPr>
        <w:t xml:space="preserve"> regular review of risks and audit risk assessments to identify and address any gaps</w:t>
      </w:r>
      <w:r w:rsidR="007D708B">
        <w:rPr>
          <w:rFonts w:ascii="Open Sans" w:hAnsi="Open Sans" w:cs="Open Sans"/>
        </w:rPr>
        <w:t>;</w:t>
      </w:r>
      <w:r w:rsidR="00715283">
        <w:rPr>
          <w:rFonts w:ascii="Open Sans" w:hAnsi="Open Sans" w:cs="Open Sans"/>
        </w:rPr>
        <w:t xml:space="preserve"> a weekly clinical team meeting</w:t>
      </w:r>
      <w:r w:rsidR="007D708B">
        <w:rPr>
          <w:rFonts w:ascii="Open Sans" w:hAnsi="Open Sans" w:cs="Open Sans"/>
        </w:rPr>
        <w:t>;</w:t>
      </w:r>
      <w:r w:rsidR="00715283">
        <w:rPr>
          <w:rFonts w:ascii="Open Sans" w:hAnsi="Open Sans" w:cs="Open Sans"/>
        </w:rPr>
        <w:t xml:space="preserve"> </w:t>
      </w:r>
      <w:r w:rsidR="007D708B">
        <w:rPr>
          <w:rFonts w:ascii="Open Sans" w:hAnsi="Open Sans" w:cs="Open Sans"/>
        </w:rPr>
        <w:t>development of</w:t>
      </w:r>
      <w:r w:rsidR="00715283">
        <w:rPr>
          <w:rFonts w:ascii="Open Sans" w:hAnsi="Open Sans" w:cs="Open Sans"/>
        </w:rPr>
        <w:t xml:space="preserve"> detailed behaviour support plans</w:t>
      </w:r>
      <w:r w:rsidR="007D708B">
        <w:rPr>
          <w:rFonts w:ascii="Open Sans" w:hAnsi="Open Sans" w:cs="Open Sans"/>
        </w:rPr>
        <w:t>;</w:t>
      </w:r>
      <w:r w:rsidR="00715283">
        <w:rPr>
          <w:rFonts w:ascii="Open Sans" w:hAnsi="Open Sans" w:cs="Open Sans"/>
        </w:rPr>
        <w:t xml:space="preserve"> and education for staff on risk assessment.</w:t>
      </w:r>
    </w:p>
    <w:p w14:paraId="4CF1EDDD" w14:textId="7A048DA2" w:rsidR="00715283" w:rsidRDefault="007D708B" w:rsidP="00B1417C">
      <w:pPr>
        <w:pStyle w:val="NormalArial"/>
        <w:rPr>
          <w:rFonts w:ascii="Open Sans" w:hAnsi="Open Sans" w:cs="Open Sans"/>
        </w:rPr>
      </w:pPr>
      <w:r>
        <w:rPr>
          <w:rFonts w:ascii="Open Sans" w:hAnsi="Open Sans" w:cs="Open Sans"/>
        </w:rPr>
        <w:t>At</w:t>
      </w:r>
      <w:r w:rsidR="00715283">
        <w:rPr>
          <w:rFonts w:ascii="Open Sans" w:hAnsi="Open Sans" w:cs="Open Sans"/>
        </w:rPr>
        <w:t xml:space="preserve"> the </w:t>
      </w:r>
      <w:r w:rsidR="00662124">
        <w:rPr>
          <w:rFonts w:ascii="Open Sans" w:hAnsi="Open Sans" w:cs="Open Sans"/>
        </w:rPr>
        <w:t xml:space="preserve">assessment contact </w:t>
      </w:r>
      <w:r w:rsidR="00715283">
        <w:rPr>
          <w:rFonts w:ascii="Open Sans" w:hAnsi="Open Sans" w:cs="Open Sans"/>
        </w:rPr>
        <w:t>in February 2025</w:t>
      </w:r>
      <w:r w:rsidR="00662124">
        <w:rPr>
          <w:rFonts w:ascii="Open Sans" w:hAnsi="Open Sans" w:cs="Open Sans"/>
        </w:rPr>
        <w:t>,</w:t>
      </w:r>
      <w:r w:rsidR="00715283">
        <w:rPr>
          <w:rFonts w:ascii="Open Sans" w:hAnsi="Open Sans" w:cs="Open Sans"/>
        </w:rPr>
        <w:t xml:space="preserve"> the Assessment Team recommended this requirement not met as they were not satisfied the actions to address </w:t>
      </w:r>
      <w:r w:rsidR="00421019">
        <w:rPr>
          <w:rFonts w:ascii="Open Sans" w:hAnsi="Open Sans" w:cs="Open Sans"/>
        </w:rPr>
        <w:t>the deficits</w:t>
      </w:r>
      <w:r w:rsidR="00715283">
        <w:rPr>
          <w:rFonts w:ascii="Open Sans" w:hAnsi="Open Sans" w:cs="Open Sans"/>
        </w:rPr>
        <w:t xml:space="preserve"> were effective, </w:t>
      </w:r>
      <w:r w:rsidR="00662124">
        <w:rPr>
          <w:rFonts w:ascii="Open Sans" w:hAnsi="Open Sans" w:cs="Open Sans"/>
        </w:rPr>
        <w:t>or</w:t>
      </w:r>
      <w:r w:rsidR="00715283">
        <w:rPr>
          <w:rFonts w:ascii="Open Sans" w:hAnsi="Open Sans" w:cs="Open Sans"/>
        </w:rPr>
        <w:t xml:space="preserve"> </w:t>
      </w:r>
      <w:r>
        <w:rPr>
          <w:rFonts w:ascii="Open Sans" w:hAnsi="Open Sans" w:cs="Open Sans"/>
        </w:rPr>
        <w:t xml:space="preserve">that </w:t>
      </w:r>
      <w:r w:rsidR="00715283">
        <w:rPr>
          <w:rFonts w:ascii="Open Sans" w:hAnsi="Open Sans" w:cs="Open Sans"/>
        </w:rPr>
        <w:t>assessment and planning was completed with the consideration of risks to consumer health and wellbeing, specifically in relation to changed behaviours, medication</w:t>
      </w:r>
      <w:r>
        <w:rPr>
          <w:rFonts w:ascii="Open Sans" w:hAnsi="Open Sans" w:cs="Open Sans"/>
        </w:rPr>
        <w:t>s management</w:t>
      </w:r>
      <w:r w:rsidR="00715283">
        <w:rPr>
          <w:rFonts w:ascii="Open Sans" w:hAnsi="Open Sans" w:cs="Open Sans"/>
        </w:rPr>
        <w:t>, and incident</w:t>
      </w:r>
      <w:r>
        <w:rPr>
          <w:rFonts w:ascii="Open Sans" w:hAnsi="Open Sans" w:cs="Open Sans"/>
        </w:rPr>
        <w:t>s</w:t>
      </w:r>
      <w:r w:rsidR="00715283">
        <w:rPr>
          <w:rFonts w:ascii="Open Sans" w:hAnsi="Open Sans" w:cs="Open Sans"/>
        </w:rPr>
        <w:t>.</w:t>
      </w:r>
      <w:r>
        <w:rPr>
          <w:rFonts w:ascii="Open Sans" w:hAnsi="Open Sans" w:cs="Open Sans"/>
        </w:rPr>
        <w:t xml:space="preserve"> </w:t>
      </w:r>
      <w:r>
        <w:rPr>
          <w:rFonts w:ascii="Open Sans" w:hAnsi="Open Sans" w:cs="Open Sans"/>
          <w:color w:val="auto"/>
        </w:rPr>
        <w:t>The Assessment Team provided the following information gathered through interviews</w:t>
      </w:r>
      <w:r w:rsidR="004218C7">
        <w:rPr>
          <w:rFonts w:ascii="Open Sans" w:hAnsi="Open Sans" w:cs="Open Sans"/>
          <w:color w:val="auto"/>
        </w:rPr>
        <w:t>, observations</w:t>
      </w:r>
      <w:r>
        <w:rPr>
          <w:rFonts w:ascii="Open Sans" w:hAnsi="Open Sans" w:cs="Open Sans"/>
          <w:color w:val="auto"/>
        </w:rPr>
        <w:t xml:space="preserve"> and document review.</w:t>
      </w:r>
    </w:p>
    <w:p w14:paraId="00106790" w14:textId="29036D6D" w:rsidR="00715283" w:rsidRDefault="0042682B" w:rsidP="00B1417C">
      <w:pPr>
        <w:pStyle w:val="NormalArial"/>
        <w:rPr>
          <w:rFonts w:ascii="Open Sans" w:hAnsi="Open Sans" w:cs="Open Sans"/>
        </w:rPr>
      </w:pPr>
      <w:r>
        <w:rPr>
          <w:rFonts w:ascii="Open Sans" w:hAnsi="Open Sans" w:cs="Open Sans"/>
        </w:rPr>
        <w:t>Staff did not record or report an incident of choking for one consumer in line with the service’s incident management policy. The clinical manager advised they</w:t>
      </w:r>
      <w:r w:rsidR="009B3E60">
        <w:rPr>
          <w:rFonts w:ascii="Open Sans" w:hAnsi="Open Sans" w:cs="Open Sans"/>
        </w:rPr>
        <w:t xml:space="preserve"> were only aware of the incident after reviewing progress notes. Staff did not complete a swallowing assessment or record any discussion of risk. Staff confirmed the consumer often coughs whilst intaking fluids and does not like</w:t>
      </w:r>
      <w:r w:rsidR="00662124">
        <w:rPr>
          <w:rFonts w:ascii="Open Sans" w:hAnsi="Open Sans" w:cs="Open Sans"/>
        </w:rPr>
        <w:t xml:space="preserve"> the</w:t>
      </w:r>
      <w:r w:rsidR="009B3E60">
        <w:rPr>
          <w:rFonts w:ascii="Open Sans" w:hAnsi="Open Sans" w:cs="Open Sans"/>
        </w:rPr>
        <w:t xml:space="preserve"> soft meal as recommended and </w:t>
      </w:r>
      <w:r w:rsidR="007D708B">
        <w:rPr>
          <w:rFonts w:ascii="Open Sans" w:hAnsi="Open Sans" w:cs="Open Sans"/>
        </w:rPr>
        <w:t xml:space="preserve">has </w:t>
      </w:r>
      <w:r w:rsidR="009B3E60">
        <w:rPr>
          <w:rFonts w:ascii="Open Sans" w:hAnsi="Open Sans" w:cs="Open Sans"/>
        </w:rPr>
        <w:t>request</w:t>
      </w:r>
      <w:r w:rsidR="00662124">
        <w:rPr>
          <w:rFonts w:ascii="Open Sans" w:hAnsi="Open Sans" w:cs="Open Sans"/>
        </w:rPr>
        <w:t>ed</w:t>
      </w:r>
      <w:r w:rsidR="009B3E60">
        <w:rPr>
          <w:rFonts w:ascii="Open Sans" w:hAnsi="Open Sans" w:cs="Open Sans"/>
        </w:rPr>
        <w:t xml:space="preserve"> a normal diet which staff comply with. Staff confirmed this had not been escalated to the registered nurse</w:t>
      </w:r>
      <w:r w:rsidR="007D708B">
        <w:rPr>
          <w:rFonts w:ascii="Open Sans" w:hAnsi="Open Sans" w:cs="Open Sans"/>
        </w:rPr>
        <w:t xml:space="preserve">, and have </w:t>
      </w:r>
      <w:r w:rsidR="009B3E60">
        <w:rPr>
          <w:rFonts w:ascii="Open Sans" w:hAnsi="Open Sans" w:cs="Open Sans"/>
        </w:rPr>
        <w:t>not record</w:t>
      </w:r>
      <w:r w:rsidR="007D708B">
        <w:rPr>
          <w:rFonts w:ascii="Open Sans" w:hAnsi="Open Sans" w:cs="Open Sans"/>
        </w:rPr>
        <w:t>ed</w:t>
      </w:r>
      <w:r w:rsidR="009B3E60">
        <w:rPr>
          <w:rFonts w:ascii="Open Sans" w:hAnsi="Open Sans" w:cs="Open Sans"/>
        </w:rPr>
        <w:t xml:space="preserve"> the consumer refused the recommended diet and they were being provided a normal diet. The clinical manager </w:t>
      </w:r>
      <w:r w:rsidR="007D708B">
        <w:rPr>
          <w:rFonts w:ascii="Open Sans" w:hAnsi="Open Sans" w:cs="Open Sans"/>
        </w:rPr>
        <w:t>implemented a</w:t>
      </w:r>
      <w:r w:rsidR="009B3E60">
        <w:rPr>
          <w:rFonts w:ascii="Open Sans" w:hAnsi="Open Sans" w:cs="Open Sans"/>
        </w:rPr>
        <w:t xml:space="preserve"> process for registered staff to be present in the dining area during meal service to mitigate risks to consumers</w:t>
      </w:r>
      <w:r w:rsidR="007D708B">
        <w:rPr>
          <w:rFonts w:ascii="Open Sans" w:hAnsi="Open Sans" w:cs="Open Sans"/>
        </w:rPr>
        <w:t>, however, o</w:t>
      </w:r>
      <w:r w:rsidR="009B3E60">
        <w:rPr>
          <w:rFonts w:ascii="Open Sans" w:hAnsi="Open Sans" w:cs="Open Sans"/>
        </w:rPr>
        <w:t xml:space="preserve">bservations </w:t>
      </w:r>
      <w:r w:rsidR="00D5533D">
        <w:rPr>
          <w:rFonts w:ascii="Open Sans" w:hAnsi="Open Sans" w:cs="Open Sans"/>
        </w:rPr>
        <w:t>confirmed</w:t>
      </w:r>
      <w:r w:rsidR="009B3E60">
        <w:rPr>
          <w:rFonts w:ascii="Open Sans" w:hAnsi="Open Sans" w:cs="Open Sans"/>
        </w:rPr>
        <w:t xml:space="preserve"> there </w:t>
      </w:r>
      <w:r w:rsidR="007D708B">
        <w:rPr>
          <w:rFonts w:ascii="Open Sans" w:hAnsi="Open Sans" w:cs="Open Sans"/>
        </w:rPr>
        <w:t>were</w:t>
      </w:r>
      <w:r w:rsidR="009B3E60">
        <w:rPr>
          <w:rFonts w:ascii="Open Sans" w:hAnsi="Open Sans" w:cs="Open Sans"/>
        </w:rPr>
        <w:t xml:space="preserve"> no clinical staff supervising meal service.</w:t>
      </w:r>
    </w:p>
    <w:p w14:paraId="1426D814" w14:textId="0BA92C1C" w:rsidR="00602F73" w:rsidRDefault="00C3310F" w:rsidP="00B1417C">
      <w:pPr>
        <w:pStyle w:val="NormalArial"/>
        <w:rPr>
          <w:rFonts w:ascii="Open Sans" w:hAnsi="Open Sans" w:cs="Open Sans"/>
        </w:rPr>
      </w:pPr>
      <w:r>
        <w:rPr>
          <w:rFonts w:ascii="Open Sans" w:hAnsi="Open Sans" w:cs="Open Sans"/>
        </w:rPr>
        <w:t>Four consumers identified with changed behaviours did not have updated assessment</w:t>
      </w:r>
      <w:r w:rsidR="007D708B">
        <w:rPr>
          <w:rFonts w:ascii="Open Sans" w:hAnsi="Open Sans" w:cs="Open Sans"/>
        </w:rPr>
        <w:t>s or</w:t>
      </w:r>
      <w:r>
        <w:rPr>
          <w:rFonts w:ascii="Open Sans" w:hAnsi="Open Sans" w:cs="Open Sans"/>
        </w:rPr>
        <w:t xml:space="preserve"> planning undertaken</w:t>
      </w:r>
      <w:r w:rsidR="00662124">
        <w:rPr>
          <w:rFonts w:ascii="Open Sans" w:hAnsi="Open Sans" w:cs="Open Sans"/>
        </w:rPr>
        <w:t>,</w:t>
      </w:r>
      <w:r>
        <w:rPr>
          <w:rFonts w:ascii="Open Sans" w:hAnsi="Open Sans" w:cs="Open Sans"/>
        </w:rPr>
        <w:t xml:space="preserve"> specifically </w:t>
      </w:r>
      <w:r w:rsidR="00B674B4">
        <w:rPr>
          <w:rFonts w:ascii="Open Sans" w:hAnsi="Open Sans" w:cs="Open Sans"/>
        </w:rPr>
        <w:t>behaviour</w:t>
      </w:r>
      <w:r>
        <w:rPr>
          <w:rFonts w:ascii="Open Sans" w:hAnsi="Open Sans" w:cs="Open Sans"/>
        </w:rPr>
        <w:t xml:space="preserve"> support plans</w:t>
      </w:r>
      <w:r w:rsidR="001E248E">
        <w:rPr>
          <w:rFonts w:ascii="Open Sans" w:hAnsi="Open Sans" w:cs="Open Sans"/>
        </w:rPr>
        <w:t xml:space="preserve"> (BSP)</w:t>
      </w:r>
      <w:r>
        <w:rPr>
          <w:rFonts w:ascii="Open Sans" w:hAnsi="Open Sans" w:cs="Open Sans"/>
        </w:rPr>
        <w:t xml:space="preserve">. </w:t>
      </w:r>
      <w:r w:rsidR="007D708B">
        <w:rPr>
          <w:rFonts w:ascii="Open Sans" w:hAnsi="Open Sans" w:cs="Open Sans"/>
        </w:rPr>
        <w:t>Documentation for o</w:t>
      </w:r>
      <w:r w:rsidR="001E248E">
        <w:rPr>
          <w:rFonts w:ascii="Open Sans" w:hAnsi="Open Sans" w:cs="Open Sans"/>
        </w:rPr>
        <w:t>ne consumer shows they have verbal aggression. Staff confirmed the consumer takes their continence aid off constantly and throw</w:t>
      </w:r>
      <w:r w:rsidR="00662124">
        <w:rPr>
          <w:rFonts w:ascii="Open Sans" w:hAnsi="Open Sans" w:cs="Open Sans"/>
        </w:rPr>
        <w:t>s it</w:t>
      </w:r>
      <w:r w:rsidR="001E248E">
        <w:rPr>
          <w:rFonts w:ascii="Open Sans" w:hAnsi="Open Sans" w:cs="Open Sans"/>
        </w:rPr>
        <w:t xml:space="preserve"> </w:t>
      </w:r>
      <w:r w:rsidR="001E248E">
        <w:rPr>
          <w:rFonts w:ascii="Open Sans" w:hAnsi="Open Sans" w:cs="Open Sans"/>
        </w:rPr>
        <w:lastRenderedPageBreak/>
        <w:t xml:space="preserve">under bed or in the communal area, and documentation </w:t>
      </w:r>
      <w:r w:rsidR="007D708B">
        <w:rPr>
          <w:rFonts w:ascii="Open Sans" w:hAnsi="Open Sans" w:cs="Open Sans"/>
        </w:rPr>
        <w:t>for the week prior to the assessment contact, this behaviour</w:t>
      </w:r>
      <w:r w:rsidR="001E248E">
        <w:rPr>
          <w:rFonts w:ascii="Open Sans" w:hAnsi="Open Sans" w:cs="Open Sans"/>
        </w:rPr>
        <w:t xml:space="preserve"> was consistently recorded. The </w:t>
      </w:r>
      <w:r w:rsidR="00662124">
        <w:rPr>
          <w:rFonts w:ascii="Open Sans" w:hAnsi="Open Sans" w:cs="Open Sans"/>
        </w:rPr>
        <w:t>BSP</w:t>
      </w:r>
      <w:r w:rsidR="001E248E">
        <w:rPr>
          <w:rFonts w:ascii="Open Sans" w:hAnsi="Open Sans" w:cs="Open Sans"/>
        </w:rPr>
        <w:t xml:space="preserve"> did not reflect </w:t>
      </w:r>
      <w:r w:rsidR="007D708B">
        <w:rPr>
          <w:rFonts w:ascii="Open Sans" w:hAnsi="Open Sans" w:cs="Open Sans"/>
        </w:rPr>
        <w:t xml:space="preserve">the consumer’s </w:t>
      </w:r>
      <w:r w:rsidR="001E248E">
        <w:rPr>
          <w:rFonts w:ascii="Open Sans" w:hAnsi="Open Sans" w:cs="Open Sans"/>
        </w:rPr>
        <w:t>changed behaviours or strategies to manage the</w:t>
      </w:r>
      <w:r w:rsidR="007D708B">
        <w:rPr>
          <w:rFonts w:ascii="Open Sans" w:hAnsi="Open Sans" w:cs="Open Sans"/>
        </w:rPr>
        <w:t>ir</w:t>
      </w:r>
      <w:r w:rsidR="001E248E">
        <w:rPr>
          <w:rFonts w:ascii="Open Sans" w:hAnsi="Open Sans" w:cs="Open Sans"/>
        </w:rPr>
        <w:t xml:space="preserve"> health and safety. </w:t>
      </w:r>
      <w:r w:rsidR="007D708B">
        <w:rPr>
          <w:rFonts w:ascii="Open Sans" w:hAnsi="Open Sans" w:cs="Open Sans"/>
        </w:rPr>
        <w:t>For another consumer with cognitive impairment, d</w:t>
      </w:r>
      <w:r w:rsidR="001E248E">
        <w:rPr>
          <w:rFonts w:ascii="Open Sans" w:hAnsi="Open Sans" w:cs="Open Sans"/>
        </w:rPr>
        <w:t xml:space="preserve">ocumentation confirmed they display physical and verbal aggression </w:t>
      </w:r>
      <w:r w:rsidR="00662124">
        <w:rPr>
          <w:rFonts w:ascii="Open Sans" w:hAnsi="Open Sans" w:cs="Open Sans"/>
        </w:rPr>
        <w:t xml:space="preserve">during </w:t>
      </w:r>
      <w:r w:rsidR="001E248E">
        <w:rPr>
          <w:rFonts w:ascii="Open Sans" w:hAnsi="Open Sans" w:cs="Open Sans"/>
        </w:rPr>
        <w:t>personal care</w:t>
      </w:r>
      <w:r w:rsidR="007D708B">
        <w:rPr>
          <w:rFonts w:ascii="Open Sans" w:hAnsi="Open Sans" w:cs="Open Sans"/>
        </w:rPr>
        <w:t xml:space="preserve"> </w:t>
      </w:r>
      <w:r w:rsidR="001E248E">
        <w:rPr>
          <w:rFonts w:ascii="Open Sans" w:hAnsi="Open Sans" w:cs="Open Sans"/>
        </w:rPr>
        <w:t>and medication administration. The consumer</w:t>
      </w:r>
      <w:r w:rsidR="00662124">
        <w:rPr>
          <w:rFonts w:ascii="Open Sans" w:hAnsi="Open Sans" w:cs="Open Sans"/>
        </w:rPr>
        <w:t>’</w:t>
      </w:r>
      <w:r w:rsidR="001E248E">
        <w:rPr>
          <w:rFonts w:ascii="Open Sans" w:hAnsi="Open Sans" w:cs="Open Sans"/>
        </w:rPr>
        <w:t xml:space="preserve">s BSP did not </w:t>
      </w:r>
      <w:r w:rsidR="00804BC6">
        <w:rPr>
          <w:rFonts w:ascii="Open Sans" w:hAnsi="Open Sans" w:cs="Open Sans"/>
        </w:rPr>
        <w:t>include</w:t>
      </w:r>
      <w:r w:rsidR="001E248E">
        <w:rPr>
          <w:rFonts w:ascii="Open Sans" w:hAnsi="Open Sans" w:cs="Open Sans"/>
        </w:rPr>
        <w:t xml:space="preserve"> successful interventions </w:t>
      </w:r>
      <w:r w:rsidR="00662124">
        <w:rPr>
          <w:rFonts w:ascii="Open Sans" w:hAnsi="Open Sans" w:cs="Open Sans"/>
        </w:rPr>
        <w:t xml:space="preserve">relating to </w:t>
      </w:r>
      <w:r w:rsidR="001E248E">
        <w:rPr>
          <w:rFonts w:ascii="Open Sans" w:hAnsi="Open Sans" w:cs="Open Sans"/>
        </w:rPr>
        <w:t xml:space="preserve">personal care to </w:t>
      </w:r>
      <w:r w:rsidR="00804BC6">
        <w:rPr>
          <w:rFonts w:ascii="Open Sans" w:hAnsi="Open Sans" w:cs="Open Sans"/>
        </w:rPr>
        <w:t>guide staff</w:t>
      </w:r>
      <w:r w:rsidR="007D708B">
        <w:rPr>
          <w:rFonts w:ascii="Open Sans" w:hAnsi="Open Sans" w:cs="Open Sans"/>
        </w:rPr>
        <w:t xml:space="preserve"> with</w:t>
      </w:r>
      <w:r w:rsidR="00804BC6">
        <w:rPr>
          <w:rFonts w:ascii="Open Sans" w:hAnsi="Open Sans" w:cs="Open Sans"/>
        </w:rPr>
        <w:t xml:space="preserve"> delivering care</w:t>
      </w:r>
      <w:r w:rsidR="00662124">
        <w:rPr>
          <w:rFonts w:ascii="Open Sans" w:hAnsi="Open Sans" w:cs="Open Sans"/>
        </w:rPr>
        <w:t>. A</w:t>
      </w:r>
      <w:r w:rsidR="00804BC6">
        <w:rPr>
          <w:rFonts w:ascii="Open Sans" w:hAnsi="Open Sans" w:cs="Open Sans"/>
        </w:rPr>
        <w:t xml:space="preserve"> dignity of risk completed in January 2025 to respect the consumer</w:t>
      </w:r>
      <w:r w:rsidR="00662124">
        <w:rPr>
          <w:rFonts w:ascii="Open Sans" w:hAnsi="Open Sans" w:cs="Open Sans"/>
        </w:rPr>
        <w:t>’</w:t>
      </w:r>
      <w:r w:rsidR="00804BC6">
        <w:rPr>
          <w:rFonts w:ascii="Open Sans" w:hAnsi="Open Sans" w:cs="Open Sans"/>
        </w:rPr>
        <w:t xml:space="preserve">s choice of not receiving personal </w:t>
      </w:r>
      <w:r w:rsidR="00173CC5">
        <w:rPr>
          <w:rFonts w:ascii="Open Sans" w:hAnsi="Open Sans" w:cs="Open Sans"/>
        </w:rPr>
        <w:t>care did</w:t>
      </w:r>
      <w:r w:rsidR="008D3C56">
        <w:rPr>
          <w:rFonts w:ascii="Open Sans" w:hAnsi="Open Sans" w:cs="Open Sans"/>
        </w:rPr>
        <w:t xml:space="preserve"> not evidence a substitute decision maker or registered nurse had been involved in the assessment. Management confirmed the lifestyle coordinator completed all dignity of risk assessments</w:t>
      </w:r>
      <w:r w:rsidR="00662124">
        <w:rPr>
          <w:rFonts w:ascii="Open Sans" w:hAnsi="Open Sans" w:cs="Open Sans"/>
        </w:rPr>
        <w:t>,</w:t>
      </w:r>
      <w:r w:rsidR="008D3C56">
        <w:rPr>
          <w:rFonts w:ascii="Open Sans" w:hAnsi="Open Sans" w:cs="Open Sans"/>
        </w:rPr>
        <w:t xml:space="preserve"> </w:t>
      </w:r>
      <w:r w:rsidR="00662124">
        <w:rPr>
          <w:rFonts w:ascii="Open Sans" w:hAnsi="Open Sans" w:cs="Open Sans"/>
        </w:rPr>
        <w:t>including</w:t>
      </w:r>
      <w:r w:rsidR="008D3C56">
        <w:rPr>
          <w:rFonts w:ascii="Open Sans" w:hAnsi="Open Sans" w:cs="Open Sans"/>
        </w:rPr>
        <w:t xml:space="preserve"> clinical dignity of risk.</w:t>
      </w:r>
      <w:r w:rsidR="00772745">
        <w:rPr>
          <w:rFonts w:ascii="Open Sans" w:hAnsi="Open Sans" w:cs="Open Sans"/>
        </w:rPr>
        <w:t xml:space="preserve"> Two consumers refuse medications</w:t>
      </w:r>
      <w:r w:rsidR="00662124">
        <w:rPr>
          <w:rFonts w:ascii="Open Sans" w:hAnsi="Open Sans" w:cs="Open Sans"/>
        </w:rPr>
        <w:t xml:space="preserve">; </w:t>
      </w:r>
      <w:r w:rsidR="00772745">
        <w:rPr>
          <w:rFonts w:ascii="Open Sans" w:hAnsi="Open Sans" w:cs="Open Sans"/>
        </w:rPr>
        <w:t>for one consumer</w:t>
      </w:r>
      <w:r w:rsidR="00662124">
        <w:rPr>
          <w:rFonts w:ascii="Open Sans" w:hAnsi="Open Sans" w:cs="Open Sans"/>
        </w:rPr>
        <w:t>,</w:t>
      </w:r>
      <w:r w:rsidR="00772745">
        <w:rPr>
          <w:rFonts w:ascii="Open Sans" w:hAnsi="Open Sans" w:cs="Open Sans"/>
        </w:rPr>
        <w:t xml:space="preserve"> staff </w:t>
      </w:r>
      <w:r w:rsidR="004218C7">
        <w:rPr>
          <w:rFonts w:ascii="Open Sans" w:hAnsi="Open Sans" w:cs="Open Sans"/>
        </w:rPr>
        <w:t>said</w:t>
      </w:r>
      <w:r w:rsidR="00772745">
        <w:rPr>
          <w:rFonts w:ascii="Open Sans" w:hAnsi="Open Sans" w:cs="Open Sans"/>
        </w:rPr>
        <w:t xml:space="preserve"> they prefer to take medications from female </w:t>
      </w:r>
      <w:r w:rsidR="00421019">
        <w:rPr>
          <w:rFonts w:ascii="Open Sans" w:hAnsi="Open Sans" w:cs="Open Sans"/>
        </w:rPr>
        <w:t>staff,</w:t>
      </w:r>
      <w:r w:rsidR="00772745">
        <w:rPr>
          <w:rFonts w:ascii="Open Sans" w:hAnsi="Open Sans" w:cs="Open Sans"/>
        </w:rPr>
        <w:t xml:space="preserve"> which was not included in their BSP</w:t>
      </w:r>
      <w:r w:rsidR="00662124">
        <w:rPr>
          <w:rFonts w:ascii="Open Sans" w:hAnsi="Open Sans" w:cs="Open Sans"/>
        </w:rPr>
        <w:t xml:space="preserve">; and </w:t>
      </w:r>
      <w:r w:rsidR="00772745">
        <w:rPr>
          <w:rFonts w:ascii="Open Sans" w:hAnsi="Open Sans" w:cs="Open Sans"/>
        </w:rPr>
        <w:t>for the other consumer</w:t>
      </w:r>
      <w:r w:rsidR="00662124">
        <w:rPr>
          <w:rFonts w:ascii="Open Sans" w:hAnsi="Open Sans" w:cs="Open Sans"/>
        </w:rPr>
        <w:t>,</w:t>
      </w:r>
      <w:r w:rsidR="00772745">
        <w:rPr>
          <w:rFonts w:ascii="Open Sans" w:hAnsi="Open Sans" w:cs="Open Sans"/>
        </w:rPr>
        <w:t xml:space="preserve"> refusal was recorded 16 times</w:t>
      </w:r>
      <w:r w:rsidR="00662124">
        <w:rPr>
          <w:rFonts w:ascii="Open Sans" w:hAnsi="Open Sans" w:cs="Open Sans"/>
        </w:rPr>
        <w:t xml:space="preserve"> in a </w:t>
      </w:r>
      <w:r w:rsidR="00062A16">
        <w:rPr>
          <w:rFonts w:ascii="Open Sans" w:hAnsi="Open Sans" w:cs="Open Sans"/>
        </w:rPr>
        <w:t>7-day</w:t>
      </w:r>
      <w:r w:rsidR="00662124">
        <w:rPr>
          <w:rFonts w:ascii="Open Sans" w:hAnsi="Open Sans" w:cs="Open Sans"/>
        </w:rPr>
        <w:t xml:space="preserve"> period in January 2025,</w:t>
      </w:r>
      <w:r w:rsidR="00772745">
        <w:rPr>
          <w:rFonts w:ascii="Open Sans" w:hAnsi="Open Sans" w:cs="Open Sans"/>
        </w:rPr>
        <w:t xml:space="preserve"> with no root cause analysis completed to determine triggers or interventions</w:t>
      </w:r>
      <w:r w:rsidR="00662124">
        <w:rPr>
          <w:rFonts w:ascii="Open Sans" w:hAnsi="Open Sans" w:cs="Open Sans"/>
        </w:rPr>
        <w:t xml:space="preserve">. The </w:t>
      </w:r>
      <w:r w:rsidR="00772745">
        <w:rPr>
          <w:rFonts w:ascii="Open Sans" w:hAnsi="Open Sans" w:cs="Open Sans"/>
        </w:rPr>
        <w:t>consumer</w:t>
      </w:r>
      <w:r w:rsidR="00662124">
        <w:rPr>
          <w:rFonts w:ascii="Open Sans" w:hAnsi="Open Sans" w:cs="Open Sans"/>
        </w:rPr>
        <w:t>’</w:t>
      </w:r>
      <w:r w:rsidR="00772745">
        <w:rPr>
          <w:rFonts w:ascii="Open Sans" w:hAnsi="Open Sans" w:cs="Open Sans"/>
        </w:rPr>
        <w:t>s BSP does not include medication refusal.</w:t>
      </w:r>
    </w:p>
    <w:p w14:paraId="2C5C0C78" w14:textId="44FCA85A" w:rsidR="00772745" w:rsidRDefault="00772745" w:rsidP="00B1417C">
      <w:pPr>
        <w:pStyle w:val="NormalArial"/>
        <w:rPr>
          <w:rFonts w:ascii="Open Sans" w:hAnsi="Open Sans" w:cs="Open Sans"/>
        </w:rPr>
      </w:pPr>
      <w:r>
        <w:rPr>
          <w:rFonts w:ascii="Open Sans" w:hAnsi="Open Sans" w:cs="Open Sans"/>
        </w:rPr>
        <w:t>Deficits identified in care documentation included consumers with diabetes not having diabetic management plans in place to mitigate risks</w:t>
      </w:r>
      <w:r w:rsidR="004218C7">
        <w:rPr>
          <w:rFonts w:ascii="Open Sans" w:hAnsi="Open Sans" w:cs="Open Sans"/>
        </w:rPr>
        <w:t>;</w:t>
      </w:r>
      <w:r>
        <w:rPr>
          <w:rFonts w:ascii="Open Sans" w:hAnsi="Open Sans" w:cs="Open Sans"/>
        </w:rPr>
        <w:t xml:space="preserve"> pressure injury risks and prevention strategies not recorded for consumers where wound care was being delivered</w:t>
      </w:r>
      <w:r w:rsidR="004218C7">
        <w:rPr>
          <w:rFonts w:ascii="Open Sans" w:hAnsi="Open Sans" w:cs="Open Sans"/>
        </w:rPr>
        <w:t>;</w:t>
      </w:r>
      <w:r>
        <w:rPr>
          <w:rFonts w:ascii="Open Sans" w:hAnsi="Open Sans" w:cs="Open Sans"/>
        </w:rPr>
        <w:t xml:space="preserve"> and restrictive practice documentation not including required information.</w:t>
      </w:r>
    </w:p>
    <w:p w14:paraId="64E3BDDA" w14:textId="27D4B03F" w:rsidR="00772745" w:rsidRDefault="00772745" w:rsidP="00B1417C">
      <w:pPr>
        <w:pStyle w:val="NormalArial"/>
        <w:rPr>
          <w:rFonts w:ascii="Open Sans" w:hAnsi="Open Sans" w:cs="Open Sans"/>
        </w:rPr>
      </w:pPr>
      <w:r>
        <w:rPr>
          <w:rFonts w:ascii="Open Sans" w:hAnsi="Open Sans" w:cs="Open Sans"/>
        </w:rPr>
        <w:t xml:space="preserve">The provider acknowledged the deficits identified in the Assessment Team’s report and provided commentary on actions taken and planned to address those. The provider asserts a clinical services advisor was put in place immediately following the </w:t>
      </w:r>
      <w:r w:rsidR="00662124">
        <w:rPr>
          <w:rFonts w:ascii="Open Sans" w:hAnsi="Open Sans" w:cs="Open Sans"/>
        </w:rPr>
        <w:t>assessment contact</w:t>
      </w:r>
      <w:r w:rsidR="004218C7">
        <w:rPr>
          <w:rFonts w:ascii="Open Sans" w:hAnsi="Open Sans" w:cs="Open Sans"/>
        </w:rPr>
        <w:t>;</w:t>
      </w:r>
      <w:r>
        <w:rPr>
          <w:rFonts w:ascii="Open Sans" w:hAnsi="Open Sans" w:cs="Open Sans"/>
        </w:rPr>
        <w:t xml:space="preserve"> a daily clinical monitoring system implemented</w:t>
      </w:r>
      <w:r w:rsidR="004218C7">
        <w:rPr>
          <w:rFonts w:ascii="Open Sans" w:hAnsi="Open Sans" w:cs="Open Sans"/>
        </w:rPr>
        <w:t>;</w:t>
      </w:r>
      <w:r>
        <w:rPr>
          <w:rFonts w:ascii="Open Sans" w:hAnsi="Open Sans" w:cs="Open Sans"/>
        </w:rPr>
        <w:t xml:space="preserve"> and a revision of staff training to focus on key risks</w:t>
      </w:r>
      <w:r w:rsidR="00662124">
        <w:rPr>
          <w:rFonts w:ascii="Open Sans" w:hAnsi="Open Sans" w:cs="Open Sans"/>
        </w:rPr>
        <w:t>,</w:t>
      </w:r>
      <w:r>
        <w:rPr>
          <w:rFonts w:ascii="Open Sans" w:hAnsi="Open Sans" w:cs="Open Sans"/>
        </w:rPr>
        <w:t xml:space="preserve"> including clinical and incident management risks.</w:t>
      </w:r>
    </w:p>
    <w:p w14:paraId="323E17E6" w14:textId="070E613D" w:rsidR="00772745" w:rsidRDefault="00772745" w:rsidP="00B1417C">
      <w:pPr>
        <w:pStyle w:val="NormalArial"/>
        <w:rPr>
          <w:rFonts w:ascii="Open Sans" w:hAnsi="Open Sans" w:cs="Open Sans"/>
        </w:rPr>
      </w:pPr>
      <w:r>
        <w:rPr>
          <w:rFonts w:ascii="Open Sans" w:hAnsi="Open Sans" w:cs="Open Sans"/>
        </w:rPr>
        <w:t xml:space="preserve">I acknowledge the actions </w:t>
      </w:r>
      <w:r w:rsidR="004218C7">
        <w:rPr>
          <w:rFonts w:ascii="Open Sans" w:hAnsi="Open Sans" w:cs="Open Sans"/>
        </w:rPr>
        <w:t>the</w:t>
      </w:r>
      <w:r>
        <w:rPr>
          <w:rFonts w:ascii="Open Sans" w:hAnsi="Open Sans" w:cs="Open Sans"/>
        </w:rPr>
        <w:t xml:space="preserve"> provider has </w:t>
      </w:r>
      <w:r w:rsidR="00662124">
        <w:rPr>
          <w:rFonts w:ascii="Open Sans" w:hAnsi="Open Sans" w:cs="Open Sans"/>
        </w:rPr>
        <w:t xml:space="preserve">taken </w:t>
      </w:r>
      <w:r w:rsidR="004218C7">
        <w:rPr>
          <w:rFonts w:ascii="Open Sans" w:hAnsi="Open Sans" w:cs="Open Sans"/>
        </w:rPr>
        <w:t>subsequent to the assessment contact</w:t>
      </w:r>
      <w:r>
        <w:rPr>
          <w:rFonts w:ascii="Open Sans" w:hAnsi="Open Sans" w:cs="Open Sans"/>
        </w:rPr>
        <w:t xml:space="preserve"> and those they have committed to implementing</w:t>
      </w:r>
      <w:r w:rsidR="004218C7">
        <w:rPr>
          <w:rFonts w:ascii="Open Sans" w:hAnsi="Open Sans" w:cs="Open Sans"/>
        </w:rPr>
        <w:t>. H</w:t>
      </w:r>
      <w:r>
        <w:rPr>
          <w:rFonts w:ascii="Open Sans" w:hAnsi="Open Sans" w:cs="Open Sans"/>
        </w:rPr>
        <w:t>owever</w:t>
      </w:r>
      <w:r w:rsidR="00662124">
        <w:rPr>
          <w:rFonts w:ascii="Open Sans" w:hAnsi="Open Sans" w:cs="Open Sans"/>
        </w:rPr>
        <w:t>,</w:t>
      </w:r>
      <w:r>
        <w:rPr>
          <w:rFonts w:ascii="Open Sans" w:hAnsi="Open Sans" w:cs="Open Sans"/>
        </w:rPr>
        <w:t xml:space="preserve"> I find effective assessment and planning system</w:t>
      </w:r>
      <w:r w:rsidR="004218C7">
        <w:rPr>
          <w:rFonts w:ascii="Open Sans" w:hAnsi="Open Sans" w:cs="Open Sans"/>
        </w:rPr>
        <w:t>s</w:t>
      </w:r>
      <w:r>
        <w:rPr>
          <w:rFonts w:ascii="Open Sans" w:hAnsi="Open Sans" w:cs="Open Sans"/>
        </w:rPr>
        <w:t xml:space="preserve"> and process</w:t>
      </w:r>
      <w:r w:rsidR="00070E74">
        <w:rPr>
          <w:rFonts w:ascii="Open Sans" w:hAnsi="Open Sans" w:cs="Open Sans"/>
        </w:rPr>
        <w:t>es</w:t>
      </w:r>
      <w:r>
        <w:rPr>
          <w:rFonts w:ascii="Open Sans" w:hAnsi="Open Sans" w:cs="Open Sans"/>
        </w:rPr>
        <w:t xml:space="preserve"> that consider risks to consumers</w:t>
      </w:r>
      <w:r w:rsidR="00662124">
        <w:rPr>
          <w:rFonts w:ascii="Open Sans" w:hAnsi="Open Sans" w:cs="Open Sans"/>
        </w:rPr>
        <w:t>’</w:t>
      </w:r>
      <w:r>
        <w:rPr>
          <w:rFonts w:ascii="Open Sans" w:hAnsi="Open Sans" w:cs="Open Sans"/>
        </w:rPr>
        <w:t xml:space="preserve"> health and wellbeing to inform safe care delivery</w:t>
      </w:r>
      <w:r w:rsidR="00662124">
        <w:rPr>
          <w:rFonts w:ascii="Open Sans" w:hAnsi="Open Sans" w:cs="Open Sans"/>
        </w:rPr>
        <w:t xml:space="preserve"> were not demonstrated</w:t>
      </w:r>
      <w:r>
        <w:rPr>
          <w:rFonts w:ascii="Open Sans" w:hAnsi="Open Sans" w:cs="Open Sans"/>
        </w:rPr>
        <w:t>.</w:t>
      </w:r>
      <w:r w:rsidR="001408C9">
        <w:rPr>
          <w:rFonts w:ascii="Open Sans" w:hAnsi="Open Sans" w:cs="Open Sans"/>
        </w:rPr>
        <w:t xml:space="preserve"> In coming to my finding, I have considered the significant deficits identified in relation to assessment and planning that has resulted in poor outcomes for multiple consumers. While the provider has implemented improvement actions and plans to implement further</w:t>
      </w:r>
      <w:r w:rsidR="004218C7">
        <w:rPr>
          <w:rFonts w:ascii="Open Sans" w:hAnsi="Open Sans" w:cs="Open Sans"/>
        </w:rPr>
        <w:t xml:space="preserve"> actions</w:t>
      </w:r>
      <w:r w:rsidR="001408C9">
        <w:rPr>
          <w:rFonts w:ascii="Open Sans" w:hAnsi="Open Sans" w:cs="Open Sans"/>
        </w:rPr>
        <w:t xml:space="preserve">, I find these will need time to be embedded into </w:t>
      </w:r>
      <w:r w:rsidR="00070E74">
        <w:rPr>
          <w:rFonts w:ascii="Open Sans" w:hAnsi="Open Sans" w:cs="Open Sans"/>
        </w:rPr>
        <w:t>practice</w:t>
      </w:r>
      <w:r w:rsidR="001408C9">
        <w:rPr>
          <w:rFonts w:ascii="Open Sans" w:hAnsi="Open Sans" w:cs="Open Sans"/>
        </w:rPr>
        <w:t xml:space="preserve"> to achieve efficacy</w:t>
      </w:r>
      <w:r w:rsidR="00062A16">
        <w:rPr>
          <w:rFonts w:ascii="Open Sans" w:hAnsi="Open Sans" w:cs="Open Sans"/>
        </w:rPr>
        <w:t xml:space="preserve">. </w:t>
      </w:r>
    </w:p>
    <w:p w14:paraId="0FC5423D" w14:textId="1FB7A133" w:rsidR="00062A16" w:rsidRDefault="001408C9" w:rsidP="00B1417C">
      <w:pPr>
        <w:pStyle w:val="NormalArial"/>
        <w:rPr>
          <w:rFonts w:ascii="Open Sans" w:hAnsi="Open Sans" w:cs="Open Sans"/>
        </w:rPr>
      </w:pPr>
      <w:r>
        <w:rPr>
          <w:rFonts w:ascii="Open Sans" w:hAnsi="Open Sans" w:cs="Open Sans"/>
        </w:rPr>
        <w:t>For the reasons above, I find requirement 2(3)(a) non-compliant.</w:t>
      </w:r>
    </w:p>
    <w:p w14:paraId="62AFF419" w14:textId="77777777" w:rsidR="00062A16" w:rsidRDefault="00062A16">
      <w:pPr>
        <w:spacing w:after="160" w:line="259" w:lineRule="auto"/>
        <w:rPr>
          <w:rFonts w:ascii="Open Sans" w:hAnsi="Open Sans" w:cs="Open Sans"/>
        </w:rPr>
      </w:pPr>
      <w:r>
        <w:rPr>
          <w:rFonts w:ascii="Open Sans" w:hAnsi="Open Sans" w:cs="Open Sans"/>
        </w:rPr>
        <w:br w:type="page"/>
      </w:r>
    </w:p>
    <w:p w14:paraId="313C35FB" w14:textId="77777777" w:rsidR="00602F73" w:rsidRPr="001E694D" w:rsidRDefault="009676E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58"/>
        <w:gridCol w:w="5694"/>
        <w:gridCol w:w="1871"/>
      </w:tblGrid>
      <w:tr w:rsidR="00C67221" w14:paraId="5F0F7FCD" w14:textId="77777777" w:rsidTr="00E33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6DEFB94B" w14:textId="77777777" w:rsidR="00602F73" w:rsidRPr="001E694D" w:rsidRDefault="009676E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20A46DA8" w14:textId="77777777" w:rsidR="00602F73" w:rsidRPr="001E694D" w:rsidRDefault="00602F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67221" w14:paraId="44987D97" w14:textId="77777777" w:rsidTr="00E337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5F891C" w14:textId="77777777" w:rsidR="00602F73" w:rsidRPr="001E694D" w:rsidRDefault="009676EA"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541BB13E" w14:textId="77777777" w:rsidR="00602F73" w:rsidRPr="001E694D" w:rsidRDefault="009676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456B6899" w14:textId="7BE0B154" w:rsidR="00602F73" w:rsidRPr="001E694D" w:rsidRDefault="00A43E2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40168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408C9">
                  <w:rPr>
                    <w:rFonts w:ascii="Open Sans" w:hAnsi="Open Sans" w:cs="Open Sans"/>
                    <w:color w:val="auto"/>
                  </w:rPr>
                  <w:t>Not Compliant</w:t>
                </w:r>
              </w:sdtContent>
            </w:sdt>
          </w:p>
        </w:tc>
      </w:tr>
    </w:tbl>
    <w:p w14:paraId="372F33CB" w14:textId="77777777" w:rsidR="00602F73" w:rsidRPr="003E162B" w:rsidRDefault="009676EA" w:rsidP="00D87E7C">
      <w:pPr>
        <w:pStyle w:val="Heading20"/>
        <w:rPr>
          <w:rFonts w:ascii="Open Sans" w:hAnsi="Open Sans" w:cs="Open Sans"/>
          <w:color w:val="781E77"/>
        </w:rPr>
      </w:pPr>
      <w:r w:rsidRPr="003E162B">
        <w:rPr>
          <w:rFonts w:ascii="Open Sans" w:hAnsi="Open Sans" w:cs="Open Sans"/>
          <w:color w:val="781E77"/>
        </w:rPr>
        <w:t>Findings</w:t>
      </w:r>
    </w:p>
    <w:p w14:paraId="35D22789" w14:textId="4B164135" w:rsidR="007E6B48" w:rsidRDefault="001408C9" w:rsidP="00B1417C">
      <w:pPr>
        <w:pStyle w:val="NormalArial"/>
        <w:rPr>
          <w:rFonts w:ascii="Open Sans" w:hAnsi="Open Sans" w:cs="Open Sans"/>
        </w:rPr>
      </w:pPr>
      <w:r>
        <w:rPr>
          <w:rFonts w:ascii="Open Sans" w:hAnsi="Open Sans" w:cs="Open Sans"/>
        </w:rPr>
        <w:t>Th</w:t>
      </w:r>
      <w:r w:rsidR="004218C7">
        <w:rPr>
          <w:rFonts w:ascii="Open Sans" w:hAnsi="Open Sans" w:cs="Open Sans"/>
        </w:rPr>
        <w:t>e</w:t>
      </w:r>
      <w:r>
        <w:rPr>
          <w:rFonts w:ascii="Open Sans" w:hAnsi="Open Sans" w:cs="Open Sans"/>
        </w:rPr>
        <w:t xml:space="preserve"> Quality Standard is non-compliant as requirement 3(3)(b) has been found non-compliant. </w:t>
      </w:r>
      <w:r w:rsidR="004218C7">
        <w:rPr>
          <w:rFonts w:ascii="Open Sans" w:hAnsi="Open Sans" w:cs="Open Sans"/>
        </w:rPr>
        <w:t>T</w:t>
      </w:r>
      <w:r>
        <w:rPr>
          <w:rFonts w:ascii="Open Sans" w:hAnsi="Open Sans" w:cs="Open Sans"/>
        </w:rPr>
        <w:t xml:space="preserve">he Assessment Team recommended </w:t>
      </w:r>
      <w:r w:rsidR="004218C7">
        <w:rPr>
          <w:rFonts w:ascii="Open Sans" w:hAnsi="Open Sans" w:cs="Open Sans"/>
        </w:rPr>
        <w:t xml:space="preserve">this </w:t>
      </w:r>
      <w:r>
        <w:rPr>
          <w:rFonts w:ascii="Open Sans" w:hAnsi="Open Sans" w:cs="Open Sans"/>
        </w:rPr>
        <w:t>requirement not met as</w:t>
      </w:r>
      <w:r w:rsidR="004218C7">
        <w:rPr>
          <w:rFonts w:ascii="Open Sans" w:hAnsi="Open Sans" w:cs="Open Sans"/>
        </w:rPr>
        <w:t xml:space="preserve"> </w:t>
      </w:r>
      <w:r w:rsidR="007E6B48">
        <w:rPr>
          <w:rFonts w:ascii="Open Sans" w:hAnsi="Open Sans" w:cs="Open Sans"/>
        </w:rPr>
        <w:t xml:space="preserve">effective management of high impact </w:t>
      </w:r>
      <w:r w:rsidR="00070E74">
        <w:rPr>
          <w:rFonts w:ascii="Open Sans" w:hAnsi="Open Sans" w:cs="Open Sans"/>
        </w:rPr>
        <w:t xml:space="preserve">or </w:t>
      </w:r>
      <w:r w:rsidR="007E6B48">
        <w:rPr>
          <w:rFonts w:ascii="Open Sans" w:hAnsi="Open Sans" w:cs="Open Sans"/>
        </w:rPr>
        <w:t>high prevalence risks to consumer care, specifically in relation to diabetes, restrictive practices, choking and behaviours with negative impacts to multiple consumers</w:t>
      </w:r>
      <w:r w:rsidR="004218C7">
        <w:rPr>
          <w:rFonts w:ascii="Open Sans" w:hAnsi="Open Sans" w:cs="Open Sans"/>
        </w:rPr>
        <w:t xml:space="preserve"> was not demonstrated</w:t>
      </w:r>
      <w:r w:rsidR="007E6B48">
        <w:rPr>
          <w:rFonts w:ascii="Open Sans" w:hAnsi="Open Sans" w:cs="Open Sans"/>
        </w:rPr>
        <w:t xml:space="preserve">. The Assessment Team provided the following evidence gathered </w:t>
      </w:r>
      <w:r w:rsidR="004218C7">
        <w:rPr>
          <w:rFonts w:ascii="Open Sans" w:hAnsi="Open Sans" w:cs="Open Sans"/>
        </w:rPr>
        <w:t>through</w:t>
      </w:r>
      <w:r w:rsidR="007E6B48">
        <w:rPr>
          <w:rFonts w:ascii="Open Sans" w:hAnsi="Open Sans" w:cs="Open Sans"/>
        </w:rPr>
        <w:t xml:space="preserve"> interview</w:t>
      </w:r>
      <w:r w:rsidR="00070E74">
        <w:rPr>
          <w:rFonts w:ascii="Open Sans" w:hAnsi="Open Sans" w:cs="Open Sans"/>
        </w:rPr>
        <w:t>s</w:t>
      </w:r>
      <w:r w:rsidR="007E6B48">
        <w:rPr>
          <w:rFonts w:ascii="Open Sans" w:hAnsi="Open Sans" w:cs="Open Sans"/>
        </w:rPr>
        <w:t>, documentation and observations.</w:t>
      </w:r>
    </w:p>
    <w:p w14:paraId="2A52785C" w14:textId="3E531369" w:rsidR="00641570" w:rsidRDefault="004218C7" w:rsidP="00B1417C">
      <w:pPr>
        <w:pStyle w:val="NormalArial"/>
        <w:rPr>
          <w:rFonts w:ascii="Open Sans" w:hAnsi="Open Sans" w:cs="Open Sans"/>
        </w:rPr>
      </w:pPr>
      <w:r>
        <w:rPr>
          <w:rFonts w:ascii="Open Sans" w:hAnsi="Open Sans" w:cs="Open Sans"/>
        </w:rPr>
        <w:t>D</w:t>
      </w:r>
      <w:r w:rsidR="003E7DA2">
        <w:rPr>
          <w:rFonts w:ascii="Open Sans" w:hAnsi="Open Sans" w:cs="Open Sans"/>
        </w:rPr>
        <w:t xml:space="preserve">ocumentation showed staff were not following the service’s falls policy and undertaking falls risk assessments or neurological observations post fall. For one consumer with a high risk of falls, documentation confirmed they had experienced 12 falls between August 2024 and February 2025 and staff did not consistently complete a falls risk assessment or conduct neurological observations post each fall. The service’s falls management policy does not </w:t>
      </w:r>
      <w:r w:rsidR="00641570">
        <w:rPr>
          <w:rFonts w:ascii="Open Sans" w:hAnsi="Open Sans" w:cs="Open Sans"/>
        </w:rPr>
        <w:t>include</w:t>
      </w:r>
      <w:r w:rsidR="003E7DA2">
        <w:rPr>
          <w:rFonts w:ascii="Open Sans" w:hAnsi="Open Sans" w:cs="Open Sans"/>
        </w:rPr>
        <w:t xml:space="preserve"> roles and responsibilities for staff following a fall</w:t>
      </w:r>
      <w:r>
        <w:rPr>
          <w:rFonts w:ascii="Open Sans" w:hAnsi="Open Sans" w:cs="Open Sans"/>
        </w:rPr>
        <w:t>;</w:t>
      </w:r>
      <w:r w:rsidR="003E7DA2">
        <w:rPr>
          <w:rFonts w:ascii="Open Sans" w:hAnsi="Open Sans" w:cs="Open Sans"/>
        </w:rPr>
        <w:t xml:space="preserve"> information about when to transfer a consumer to hospital post unwitnessed fall or head strike</w:t>
      </w:r>
      <w:r>
        <w:rPr>
          <w:rFonts w:ascii="Open Sans" w:hAnsi="Open Sans" w:cs="Open Sans"/>
        </w:rPr>
        <w:t>;</w:t>
      </w:r>
      <w:r w:rsidR="003E7DA2">
        <w:rPr>
          <w:rFonts w:ascii="Open Sans" w:hAnsi="Open Sans" w:cs="Open Sans"/>
        </w:rPr>
        <w:t xml:space="preserve"> </w:t>
      </w:r>
      <w:r w:rsidR="00641570">
        <w:rPr>
          <w:rFonts w:ascii="Open Sans" w:hAnsi="Open Sans" w:cs="Open Sans"/>
        </w:rPr>
        <w:t>information on when a falls risk assessment</w:t>
      </w:r>
      <w:r w:rsidR="00070E74">
        <w:rPr>
          <w:rFonts w:ascii="Open Sans" w:hAnsi="Open Sans" w:cs="Open Sans"/>
        </w:rPr>
        <w:t>s</w:t>
      </w:r>
      <w:r w:rsidR="00641570">
        <w:rPr>
          <w:rFonts w:ascii="Open Sans" w:hAnsi="Open Sans" w:cs="Open Sans"/>
        </w:rPr>
        <w:t xml:space="preserve"> should be completed</w:t>
      </w:r>
      <w:r>
        <w:rPr>
          <w:rFonts w:ascii="Open Sans" w:hAnsi="Open Sans" w:cs="Open Sans"/>
        </w:rPr>
        <w:t>;</w:t>
      </w:r>
      <w:r w:rsidR="00641570">
        <w:rPr>
          <w:rFonts w:ascii="Open Sans" w:hAnsi="Open Sans" w:cs="Open Sans"/>
        </w:rPr>
        <w:t xml:space="preserve"> or information on when a root cause analysis</w:t>
      </w:r>
      <w:r w:rsidR="00070E74">
        <w:rPr>
          <w:rFonts w:ascii="Open Sans" w:hAnsi="Open Sans" w:cs="Open Sans"/>
        </w:rPr>
        <w:t xml:space="preserve"> should be undertaken</w:t>
      </w:r>
      <w:r w:rsidR="00641570">
        <w:rPr>
          <w:rFonts w:ascii="Open Sans" w:hAnsi="Open Sans" w:cs="Open Sans"/>
        </w:rPr>
        <w:t xml:space="preserve">. </w:t>
      </w:r>
    </w:p>
    <w:p w14:paraId="41CB277B" w14:textId="56792DBD" w:rsidR="004105A2" w:rsidRDefault="00641570" w:rsidP="00B1417C">
      <w:pPr>
        <w:pStyle w:val="NormalArial"/>
        <w:rPr>
          <w:rFonts w:ascii="Open Sans" w:hAnsi="Open Sans" w:cs="Open Sans"/>
        </w:rPr>
      </w:pPr>
      <w:r>
        <w:rPr>
          <w:rFonts w:ascii="Open Sans" w:hAnsi="Open Sans" w:cs="Open Sans"/>
        </w:rPr>
        <w:t xml:space="preserve">Consumers with diabetes do not always have a diabetic management plan in place to guide staff practice, or where there </w:t>
      </w:r>
      <w:r w:rsidR="00070E74">
        <w:rPr>
          <w:rFonts w:ascii="Open Sans" w:hAnsi="Open Sans" w:cs="Open Sans"/>
        </w:rPr>
        <w:t xml:space="preserve">is </w:t>
      </w:r>
      <w:r>
        <w:rPr>
          <w:rFonts w:ascii="Open Sans" w:hAnsi="Open Sans" w:cs="Open Sans"/>
        </w:rPr>
        <w:t xml:space="preserve">one in place staff are not always following directives. One consumer was observed unresponsive, and when roused </w:t>
      </w:r>
      <w:r w:rsidR="00070E74">
        <w:rPr>
          <w:rFonts w:ascii="Open Sans" w:hAnsi="Open Sans" w:cs="Open Sans"/>
        </w:rPr>
        <w:t xml:space="preserve">was </w:t>
      </w:r>
      <w:r>
        <w:rPr>
          <w:rFonts w:ascii="Open Sans" w:hAnsi="Open Sans" w:cs="Open Sans"/>
        </w:rPr>
        <w:t xml:space="preserve">mumbling and incoherent. Documentation showed the consumer had </w:t>
      </w:r>
      <w:r w:rsidR="006C3BDC">
        <w:rPr>
          <w:rFonts w:ascii="Open Sans" w:hAnsi="Open Sans" w:cs="Open Sans"/>
        </w:rPr>
        <w:t xml:space="preserve">a </w:t>
      </w:r>
      <w:r>
        <w:rPr>
          <w:rFonts w:ascii="Open Sans" w:hAnsi="Open Sans" w:cs="Open Sans"/>
        </w:rPr>
        <w:t>low blood glucose level</w:t>
      </w:r>
      <w:r w:rsidR="006C3BDC">
        <w:rPr>
          <w:rFonts w:ascii="Open Sans" w:hAnsi="Open Sans" w:cs="Open Sans"/>
        </w:rPr>
        <w:t xml:space="preserve"> (BGL)</w:t>
      </w:r>
      <w:r>
        <w:rPr>
          <w:rFonts w:ascii="Open Sans" w:hAnsi="Open Sans" w:cs="Open Sans"/>
        </w:rPr>
        <w:t xml:space="preserve"> reading that morning and staff did not </w:t>
      </w:r>
      <w:r w:rsidR="006C3BDC">
        <w:rPr>
          <w:rFonts w:ascii="Open Sans" w:hAnsi="Open Sans" w:cs="Open Sans"/>
        </w:rPr>
        <w:t xml:space="preserve">initiate actions in line with the </w:t>
      </w:r>
      <w:r>
        <w:rPr>
          <w:rFonts w:ascii="Open Sans" w:hAnsi="Open Sans" w:cs="Open Sans"/>
        </w:rPr>
        <w:t>service</w:t>
      </w:r>
      <w:r w:rsidR="006C3BDC">
        <w:rPr>
          <w:rFonts w:ascii="Open Sans" w:hAnsi="Open Sans" w:cs="Open Sans"/>
        </w:rPr>
        <w:t>’</w:t>
      </w:r>
      <w:r>
        <w:rPr>
          <w:rFonts w:ascii="Open Sans" w:hAnsi="Open Sans" w:cs="Open Sans"/>
        </w:rPr>
        <w:t xml:space="preserve">s hypoglycaemia pathway. Clinical </w:t>
      </w:r>
      <w:r w:rsidR="004105A2">
        <w:rPr>
          <w:rFonts w:ascii="Open Sans" w:hAnsi="Open Sans" w:cs="Open Sans"/>
        </w:rPr>
        <w:t>staff</w:t>
      </w:r>
      <w:r>
        <w:rPr>
          <w:rFonts w:ascii="Open Sans" w:hAnsi="Open Sans" w:cs="Open Sans"/>
        </w:rPr>
        <w:t xml:space="preserve"> confirmed insulin had not been</w:t>
      </w:r>
      <w:r w:rsidR="004105A2">
        <w:rPr>
          <w:rFonts w:ascii="Open Sans" w:hAnsi="Open Sans" w:cs="Open Sans"/>
        </w:rPr>
        <w:t xml:space="preserve"> </w:t>
      </w:r>
      <w:r>
        <w:rPr>
          <w:rFonts w:ascii="Open Sans" w:hAnsi="Open Sans" w:cs="Open Sans"/>
        </w:rPr>
        <w:t xml:space="preserve">administered that morning as the BGL reading was below 10mmol/L but </w:t>
      </w:r>
      <w:r w:rsidR="006C3BDC">
        <w:rPr>
          <w:rFonts w:ascii="Open Sans" w:hAnsi="Open Sans" w:cs="Open Sans"/>
        </w:rPr>
        <w:t xml:space="preserve">were </w:t>
      </w:r>
      <w:r>
        <w:rPr>
          <w:rFonts w:ascii="Open Sans" w:hAnsi="Open Sans" w:cs="Open Sans"/>
        </w:rPr>
        <w:t xml:space="preserve">unable to state where those instructions were obtained. </w:t>
      </w:r>
      <w:r w:rsidR="004105A2">
        <w:rPr>
          <w:rFonts w:ascii="Open Sans" w:hAnsi="Open Sans" w:cs="Open Sans"/>
        </w:rPr>
        <w:t xml:space="preserve">Over a </w:t>
      </w:r>
      <w:r w:rsidR="00062A16">
        <w:rPr>
          <w:rFonts w:ascii="Open Sans" w:hAnsi="Open Sans" w:cs="Open Sans"/>
        </w:rPr>
        <w:t>10-day</w:t>
      </w:r>
      <w:r w:rsidR="004105A2">
        <w:rPr>
          <w:rFonts w:ascii="Open Sans" w:hAnsi="Open Sans" w:cs="Open Sans"/>
        </w:rPr>
        <w:t xml:space="preserve"> period prior to the hypoglycaemia event</w:t>
      </w:r>
      <w:r w:rsidR="006C3BDC">
        <w:rPr>
          <w:rFonts w:ascii="Open Sans" w:hAnsi="Open Sans" w:cs="Open Sans"/>
        </w:rPr>
        <w:t>,</w:t>
      </w:r>
      <w:r w:rsidR="004105A2">
        <w:rPr>
          <w:rFonts w:ascii="Open Sans" w:hAnsi="Open Sans" w:cs="Open Sans"/>
        </w:rPr>
        <w:t xml:space="preserve"> the consumer had insulin withheld </w:t>
      </w:r>
      <w:r w:rsidR="006C3BDC">
        <w:rPr>
          <w:rFonts w:ascii="Open Sans" w:hAnsi="Open Sans" w:cs="Open Sans"/>
        </w:rPr>
        <w:t xml:space="preserve">on 11 occasions </w:t>
      </w:r>
      <w:r w:rsidR="004105A2">
        <w:rPr>
          <w:rFonts w:ascii="Open Sans" w:hAnsi="Open Sans" w:cs="Open Sans"/>
        </w:rPr>
        <w:t>without instructions to do so.</w:t>
      </w:r>
    </w:p>
    <w:p w14:paraId="3DAA4D96" w14:textId="22EB2D1E" w:rsidR="004105A2" w:rsidRDefault="004218C7" w:rsidP="00B1417C">
      <w:pPr>
        <w:pStyle w:val="NormalArial"/>
        <w:rPr>
          <w:rFonts w:ascii="Open Sans" w:hAnsi="Open Sans" w:cs="Open Sans"/>
        </w:rPr>
      </w:pPr>
      <w:r>
        <w:rPr>
          <w:rFonts w:ascii="Open Sans" w:hAnsi="Open Sans" w:cs="Open Sans"/>
        </w:rPr>
        <w:t>S</w:t>
      </w:r>
      <w:r w:rsidR="004105A2">
        <w:rPr>
          <w:rFonts w:ascii="Open Sans" w:hAnsi="Open Sans" w:cs="Open Sans"/>
        </w:rPr>
        <w:t>taff do not always follow wound management protocols</w:t>
      </w:r>
      <w:r w:rsidR="006C3BDC">
        <w:rPr>
          <w:rFonts w:ascii="Open Sans" w:hAnsi="Open Sans" w:cs="Open Sans"/>
        </w:rPr>
        <w:t>,</w:t>
      </w:r>
      <w:r w:rsidR="004105A2">
        <w:rPr>
          <w:rFonts w:ascii="Open Sans" w:hAnsi="Open Sans" w:cs="Open Sans"/>
        </w:rPr>
        <w:t xml:space="preserve"> including review of wounds and skin assessments. For one consumer</w:t>
      </w:r>
      <w:r w:rsidR="006C3BDC">
        <w:rPr>
          <w:rFonts w:ascii="Open Sans" w:hAnsi="Open Sans" w:cs="Open Sans"/>
        </w:rPr>
        <w:t>,</w:t>
      </w:r>
      <w:r w:rsidR="004105A2">
        <w:rPr>
          <w:rFonts w:ascii="Open Sans" w:hAnsi="Open Sans" w:cs="Open Sans"/>
        </w:rPr>
        <w:t xml:space="preserve"> staff did not check their wound regularly as per policy and their wound deteriorated from a haematoma to a stage 3 pressure injury. Staff did not review the wound or change dressings for extended </w:t>
      </w:r>
      <w:r w:rsidR="006C3BDC">
        <w:rPr>
          <w:rFonts w:ascii="Open Sans" w:hAnsi="Open Sans" w:cs="Open Sans"/>
        </w:rPr>
        <w:t xml:space="preserve">period of </w:t>
      </w:r>
      <w:r w:rsidR="004105A2">
        <w:rPr>
          <w:rFonts w:ascii="Open Sans" w:hAnsi="Open Sans" w:cs="Open Sans"/>
        </w:rPr>
        <w:t xml:space="preserve">up to 12 days in some cases between November 2024 and February 2025. </w:t>
      </w:r>
      <w:r w:rsidR="004105A2">
        <w:rPr>
          <w:rFonts w:ascii="Open Sans" w:hAnsi="Open Sans" w:cs="Open Sans"/>
        </w:rPr>
        <w:lastRenderedPageBreak/>
        <w:t>Staff did not complete incident reports each time the wound was identified to have deteriorated.</w:t>
      </w:r>
    </w:p>
    <w:p w14:paraId="2B67F833" w14:textId="062DB7D4" w:rsidR="004128C9" w:rsidRDefault="004218C7" w:rsidP="00B1417C">
      <w:pPr>
        <w:pStyle w:val="NormalArial"/>
        <w:rPr>
          <w:rFonts w:ascii="Open Sans" w:hAnsi="Open Sans" w:cs="Open Sans"/>
        </w:rPr>
      </w:pPr>
      <w:r>
        <w:rPr>
          <w:rFonts w:ascii="Open Sans" w:hAnsi="Open Sans" w:cs="Open Sans"/>
        </w:rPr>
        <w:t>T</w:t>
      </w:r>
      <w:r w:rsidR="004105A2">
        <w:rPr>
          <w:rFonts w:ascii="Open Sans" w:hAnsi="Open Sans" w:cs="Open Sans"/>
        </w:rPr>
        <w:t>he service does not manage or monitor restrictive practices</w:t>
      </w:r>
      <w:r>
        <w:rPr>
          <w:rFonts w:ascii="Open Sans" w:hAnsi="Open Sans" w:cs="Open Sans"/>
        </w:rPr>
        <w:t xml:space="preserve"> for multiple consumers</w:t>
      </w:r>
      <w:r w:rsidR="006C3BDC">
        <w:rPr>
          <w:rFonts w:ascii="Open Sans" w:hAnsi="Open Sans" w:cs="Open Sans"/>
        </w:rPr>
        <w:t>, including</w:t>
      </w:r>
      <w:r w:rsidR="004105A2">
        <w:rPr>
          <w:rFonts w:ascii="Open Sans" w:hAnsi="Open Sans" w:cs="Open Sans"/>
        </w:rPr>
        <w:t xml:space="preserve"> chemical, mechanical and </w:t>
      </w:r>
      <w:r w:rsidR="00851197">
        <w:rPr>
          <w:rFonts w:ascii="Open Sans" w:hAnsi="Open Sans" w:cs="Open Sans"/>
        </w:rPr>
        <w:t>environmental</w:t>
      </w:r>
      <w:r>
        <w:rPr>
          <w:rFonts w:ascii="Open Sans" w:hAnsi="Open Sans" w:cs="Open Sans"/>
        </w:rPr>
        <w:t xml:space="preserve"> restraint</w:t>
      </w:r>
      <w:r w:rsidR="004105A2">
        <w:rPr>
          <w:rFonts w:ascii="Open Sans" w:hAnsi="Open Sans" w:cs="Open Sans"/>
        </w:rPr>
        <w:t xml:space="preserve">. Documentation does not demonstrate informed consent is obtained or the restraint is </w:t>
      </w:r>
      <w:r w:rsidR="006C3BDC">
        <w:rPr>
          <w:rFonts w:ascii="Open Sans" w:hAnsi="Open Sans" w:cs="Open Sans"/>
        </w:rPr>
        <w:t xml:space="preserve">used as a </w:t>
      </w:r>
      <w:r w:rsidR="004105A2">
        <w:rPr>
          <w:rFonts w:ascii="Open Sans" w:hAnsi="Open Sans" w:cs="Open Sans"/>
        </w:rPr>
        <w:t xml:space="preserve">last resort for least amount of time. </w:t>
      </w:r>
      <w:r>
        <w:rPr>
          <w:rFonts w:ascii="Open Sans" w:hAnsi="Open Sans" w:cs="Open Sans"/>
        </w:rPr>
        <w:t>O</w:t>
      </w:r>
      <w:r w:rsidR="004105A2">
        <w:rPr>
          <w:rFonts w:ascii="Open Sans" w:hAnsi="Open Sans" w:cs="Open Sans"/>
        </w:rPr>
        <w:t>ne consumer</w:t>
      </w:r>
      <w:r>
        <w:rPr>
          <w:rFonts w:ascii="Open Sans" w:hAnsi="Open Sans" w:cs="Open Sans"/>
        </w:rPr>
        <w:t>,</w:t>
      </w:r>
      <w:r w:rsidR="004105A2">
        <w:rPr>
          <w:rFonts w:ascii="Open Sans" w:hAnsi="Open Sans" w:cs="Open Sans"/>
        </w:rPr>
        <w:t xml:space="preserve"> who has experienced multiple falls</w:t>
      </w:r>
      <w:r w:rsidR="006C3BDC">
        <w:rPr>
          <w:rFonts w:ascii="Open Sans" w:hAnsi="Open Sans" w:cs="Open Sans"/>
        </w:rPr>
        <w:t>,</w:t>
      </w:r>
      <w:r w:rsidR="004105A2">
        <w:rPr>
          <w:rFonts w:ascii="Open Sans" w:hAnsi="Open Sans" w:cs="Open Sans"/>
        </w:rPr>
        <w:t xml:space="preserve"> </w:t>
      </w:r>
      <w:r>
        <w:rPr>
          <w:rFonts w:ascii="Open Sans" w:hAnsi="Open Sans" w:cs="Open Sans"/>
        </w:rPr>
        <w:t>is</w:t>
      </w:r>
      <w:r w:rsidR="004105A2">
        <w:rPr>
          <w:rFonts w:ascii="Open Sans" w:hAnsi="Open Sans" w:cs="Open Sans"/>
        </w:rPr>
        <w:t xml:space="preserve"> prescribed </w:t>
      </w:r>
      <w:r w:rsidR="006C3BDC">
        <w:rPr>
          <w:rFonts w:ascii="Open Sans" w:hAnsi="Open Sans" w:cs="Open Sans"/>
        </w:rPr>
        <w:t xml:space="preserve">a regular and as required (PRN) dose of an </w:t>
      </w:r>
      <w:r w:rsidR="004105A2">
        <w:rPr>
          <w:rFonts w:ascii="Open Sans" w:hAnsi="Open Sans" w:cs="Open Sans"/>
        </w:rPr>
        <w:t>antipsychotic medication</w:t>
      </w:r>
      <w:r w:rsidR="00C25D77">
        <w:rPr>
          <w:rFonts w:ascii="Open Sans" w:hAnsi="Open Sans" w:cs="Open Sans"/>
        </w:rPr>
        <w:t>.</w:t>
      </w:r>
      <w:r w:rsidR="004105A2">
        <w:rPr>
          <w:rFonts w:ascii="Open Sans" w:hAnsi="Open Sans" w:cs="Open Sans"/>
        </w:rPr>
        <w:t xml:space="preserve"> </w:t>
      </w:r>
      <w:r w:rsidR="006C3BDC">
        <w:rPr>
          <w:rFonts w:ascii="Open Sans" w:hAnsi="Open Sans" w:cs="Open Sans"/>
        </w:rPr>
        <w:t>O</w:t>
      </w:r>
      <w:r w:rsidR="004105A2">
        <w:rPr>
          <w:rFonts w:ascii="Open Sans" w:hAnsi="Open Sans" w:cs="Open Sans"/>
        </w:rPr>
        <w:t xml:space="preserve">ver a </w:t>
      </w:r>
      <w:r w:rsidR="00062A16">
        <w:rPr>
          <w:rFonts w:ascii="Open Sans" w:hAnsi="Open Sans" w:cs="Open Sans"/>
        </w:rPr>
        <w:t>15-day</w:t>
      </w:r>
      <w:r w:rsidR="004105A2">
        <w:rPr>
          <w:rFonts w:ascii="Open Sans" w:hAnsi="Open Sans" w:cs="Open Sans"/>
        </w:rPr>
        <w:t xml:space="preserve"> period from January 2025 to February 2025</w:t>
      </w:r>
      <w:r w:rsidR="006C3BDC">
        <w:rPr>
          <w:rFonts w:ascii="Open Sans" w:hAnsi="Open Sans" w:cs="Open Sans"/>
        </w:rPr>
        <w:t>, the consumer</w:t>
      </w:r>
      <w:r w:rsidR="004105A2">
        <w:rPr>
          <w:rFonts w:ascii="Open Sans" w:hAnsi="Open Sans" w:cs="Open Sans"/>
        </w:rPr>
        <w:t xml:space="preserve"> was administered 19 doses of </w:t>
      </w:r>
      <w:r>
        <w:rPr>
          <w:rFonts w:ascii="Open Sans" w:hAnsi="Open Sans" w:cs="Open Sans"/>
        </w:rPr>
        <w:t xml:space="preserve">PRN </w:t>
      </w:r>
      <w:r w:rsidR="004105A2">
        <w:rPr>
          <w:rFonts w:ascii="Open Sans" w:hAnsi="Open Sans" w:cs="Open Sans"/>
        </w:rPr>
        <w:t xml:space="preserve">medication for agitation and restlessness, including on 8 February 2025 following a fall for agitation and </w:t>
      </w:r>
      <w:r w:rsidR="006C3BDC">
        <w:rPr>
          <w:rFonts w:ascii="Open Sans" w:hAnsi="Open Sans" w:cs="Open Sans"/>
        </w:rPr>
        <w:t xml:space="preserve">being </w:t>
      </w:r>
      <w:r w:rsidR="004105A2">
        <w:rPr>
          <w:rFonts w:ascii="Open Sans" w:hAnsi="Open Sans" w:cs="Open Sans"/>
        </w:rPr>
        <w:t>unsettled</w:t>
      </w:r>
      <w:r w:rsidR="00851197">
        <w:rPr>
          <w:rFonts w:ascii="Open Sans" w:hAnsi="Open Sans" w:cs="Open Sans"/>
        </w:rPr>
        <w:t xml:space="preserve">. Use of the medication is not monitored effectively </w:t>
      </w:r>
      <w:r w:rsidR="004128C9">
        <w:rPr>
          <w:rFonts w:ascii="Open Sans" w:hAnsi="Open Sans" w:cs="Open Sans"/>
        </w:rPr>
        <w:t xml:space="preserve">with only 2 entries in behaviour charting, </w:t>
      </w:r>
      <w:r w:rsidR="006C3BDC">
        <w:rPr>
          <w:rFonts w:ascii="Open Sans" w:hAnsi="Open Sans" w:cs="Open Sans"/>
        </w:rPr>
        <w:t xml:space="preserve">and </w:t>
      </w:r>
      <w:r w:rsidR="004128C9">
        <w:rPr>
          <w:rFonts w:ascii="Open Sans" w:hAnsi="Open Sans" w:cs="Open Sans"/>
        </w:rPr>
        <w:t xml:space="preserve">use of the medication is not evaluated or </w:t>
      </w:r>
      <w:r>
        <w:rPr>
          <w:rFonts w:ascii="Open Sans" w:hAnsi="Open Sans" w:cs="Open Sans"/>
        </w:rPr>
        <w:t xml:space="preserve">regularly </w:t>
      </w:r>
      <w:r w:rsidR="004128C9">
        <w:rPr>
          <w:rFonts w:ascii="Open Sans" w:hAnsi="Open Sans" w:cs="Open Sans"/>
        </w:rPr>
        <w:t>reviewed. Multiple consumers are recorded as having a chemical restraint without diagnosis for prescribed medications.</w:t>
      </w:r>
    </w:p>
    <w:p w14:paraId="18228A78" w14:textId="381ED4CA" w:rsidR="00752DF9" w:rsidRDefault="004128C9" w:rsidP="00B1417C">
      <w:pPr>
        <w:pStyle w:val="NormalArial"/>
        <w:rPr>
          <w:rFonts w:ascii="Open Sans" w:hAnsi="Open Sans" w:cs="Open Sans"/>
        </w:rPr>
      </w:pPr>
      <w:r>
        <w:rPr>
          <w:rFonts w:ascii="Open Sans" w:hAnsi="Open Sans" w:cs="Open Sans"/>
        </w:rPr>
        <w:t xml:space="preserve">The provider acknowledged the deficits identified in the Assessment Team’s report and </w:t>
      </w:r>
      <w:r w:rsidR="004218C7">
        <w:rPr>
          <w:rFonts w:ascii="Open Sans" w:hAnsi="Open Sans" w:cs="Open Sans"/>
        </w:rPr>
        <w:t xml:space="preserve">in their response </w:t>
      </w:r>
      <w:r>
        <w:rPr>
          <w:rFonts w:ascii="Open Sans" w:hAnsi="Open Sans" w:cs="Open Sans"/>
        </w:rPr>
        <w:t xml:space="preserve">included additional actions taken </w:t>
      </w:r>
      <w:r w:rsidR="004218C7">
        <w:rPr>
          <w:rFonts w:ascii="Open Sans" w:hAnsi="Open Sans" w:cs="Open Sans"/>
        </w:rPr>
        <w:t>subsequent to the assessment contact</w:t>
      </w:r>
      <w:r>
        <w:rPr>
          <w:rFonts w:ascii="Open Sans" w:hAnsi="Open Sans" w:cs="Open Sans"/>
        </w:rPr>
        <w:t xml:space="preserve"> and planned through continuous improvement processe</w:t>
      </w:r>
      <w:r w:rsidR="006C3BDC">
        <w:rPr>
          <w:rFonts w:ascii="Open Sans" w:hAnsi="Open Sans" w:cs="Open Sans"/>
        </w:rPr>
        <w:t>s</w:t>
      </w:r>
      <w:r w:rsidR="00062A16">
        <w:rPr>
          <w:rFonts w:ascii="Open Sans" w:hAnsi="Open Sans" w:cs="Open Sans"/>
        </w:rPr>
        <w:t xml:space="preserve">. </w:t>
      </w:r>
      <w:r>
        <w:rPr>
          <w:rFonts w:ascii="Open Sans" w:hAnsi="Open Sans" w:cs="Open Sans"/>
        </w:rPr>
        <w:t xml:space="preserve">Actions taken </w:t>
      </w:r>
      <w:r w:rsidR="004218C7">
        <w:rPr>
          <w:rFonts w:ascii="Open Sans" w:hAnsi="Open Sans" w:cs="Open Sans"/>
        </w:rPr>
        <w:t>subsequent to the assessment contact</w:t>
      </w:r>
      <w:r>
        <w:rPr>
          <w:rFonts w:ascii="Open Sans" w:hAnsi="Open Sans" w:cs="Open Sans"/>
        </w:rPr>
        <w:t xml:space="preserve"> included engagement of clinical services and business governance advisors</w:t>
      </w:r>
      <w:r w:rsidR="004218C7">
        <w:rPr>
          <w:rFonts w:ascii="Open Sans" w:hAnsi="Open Sans" w:cs="Open Sans"/>
        </w:rPr>
        <w:t>;</w:t>
      </w:r>
      <w:r>
        <w:rPr>
          <w:rFonts w:ascii="Open Sans" w:hAnsi="Open Sans" w:cs="Open Sans"/>
        </w:rPr>
        <w:t xml:space="preserve"> implementation of a daily clinical monitoring system</w:t>
      </w:r>
      <w:r w:rsidR="004218C7">
        <w:rPr>
          <w:rFonts w:ascii="Open Sans" w:hAnsi="Open Sans" w:cs="Open Sans"/>
        </w:rPr>
        <w:t>;</w:t>
      </w:r>
      <w:r>
        <w:rPr>
          <w:rFonts w:ascii="Open Sans" w:hAnsi="Open Sans" w:cs="Open Sans"/>
        </w:rPr>
        <w:t xml:space="preserve"> </w:t>
      </w:r>
      <w:r w:rsidR="006C3BDC">
        <w:rPr>
          <w:rFonts w:ascii="Open Sans" w:hAnsi="Open Sans" w:cs="Open Sans"/>
        </w:rPr>
        <w:t xml:space="preserve">and appointment of an </w:t>
      </w:r>
      <w:r w:rsidR="00752DF9">
        <w:rPr>
          <w:rFonts w:ascii="Open Sans" w:hAnsi="Open Sans" w:cs="Open Sans"/>
        </w:rPr>
        <w:t>independent external quality assessor to conduct assessment across all the providers services. The actions planned included training of staff in relation to clinical</w:t>
      </w:r>
      <w:r w:rsidR="004218C7">
        <w:rPr>
          <w:rFonts w:ascii="Open Sans" w:hAnsi="Open Sans" w:cs="Open Sans"/>
        </w:rPr>
        <w:t>,</w:t>
      </w:r>
      <w:r w:rsidR="00752DF9">
        <w:rPr>
          <w:rFonts w:ascii="Open Sans" w:hAnsi="Open Sans" w:cs="Open Sans"/>
        </w:rPr>
        <w:t xml:space="preserve"> high impact and high prevalence risks, choking, diabetes and wounds</w:t>
      </w:r>
      <w:r w:rsidR="004218C7">
        <w:rPr>
          <w:rFonts w:ascii="Open Sans" w:hAnsi="Open Sans" w:cs="Open Sans"/>
        </w:rPr>
        <w:t>;</w:t>
      </w:r>
      <w:r w:rsidR="00752DF9">
        <w:rPr>
          <w:rFonts w:ascii="Open Sans" w:hAnsi="Open Sans" w:cs="Open Sans"/>
        </w:rPr>
        <w:t xml:space="preserve"> and </w:t>
      </w:r>
      <w:r w:rsidR="00DD68EE">
        <w:rPr>
          <w:rFonts w:ascii="Open Sans" w:hAnsi="Open Sans" w:cs="Open Sans"/>
        </w:rPr>
        <w:t xml:space="preserve">development of </w:t>
      </w:r>
      <w:r w:rsidR="00752DF9">
        <w:rPr>
          <w:rFonts w:ascii="Open Sans" w:hAnsi="Open Sans" w:cs="Open Sans"/>
        </w:rPr>
        <w:t>a clinical oversight framework to monitor actions taken and planned post implementation.</w:t>
      </w:r>
      <w:r>
        <w:rPr>
          <w:rFonts w:ascii="Open Sans" w:hAnsi="Open Sans" w:cs="Open Sans"/>
        </w:rPr>
        <w:t xml:space="preserve"> </w:t>
      </w:r>
    </w:p>
    <w:p w14:paraId="1D4E6502" w14:textId="36B555D6" w:rsidR="00602F73" w:rsidRDefault="00752DF9" w:rsidP="00B1417C">
      <w:pPr>
        <w:pStyle w:val="NormalArial"/>
        <w:rPr>
          <w:rFonts w:ascii="Open Sans" w:hAnsi="Open Sans" w:cs="Open Sans"/>
        </w:rPr>
      </w:pPr>
      <w:r>
        <w:rPr>
          <w:rFonts w:ascii="Open Sans" w:hAnsi="Open Sans" w:cs="Open Sans"/>
        </w:rPr>
        <w:t xml:space="preserve">I acknowledge the various actions planned and implemented by the </w:t>
      </w:r>
      <w:r w:rsidR="00062A16">
        <w:rPr>
          <w:rFonts w:ascii="Open Sans" w:hAnsi="Open Sans" w:cs="Open Sans"/>
        </w:rPr>
        <w:t>provider;</w:t>
      </w:r>
      <w:r>
        <w:rPr>
          <w:rFonts w:ascii="Open Sans" w:hAnsi="Open Sans" w:cs="Open Sans"/>
        </w:rPr>
        <w:t xml:space="preserve"> however</w:t>
      </w:r>
      <w:r w:rsidR="006C3BDC">
        <w:rPr>
          <w:rFonts w:ascii="Open Sans" w:hAnsi="Open Sans" w:cs="Open Sans"/>
        </w:rPr>
        <w:t>,</w:t>
      </w:r>
      <w:r>
        <w:rPr>
          <w:rFonts w:ascii="Open Sans" w:hAnsi="Open Sans" w:cs="Open Sans"/>
        </w:rPr>
        <w:t xml:space="preserve"> I find high impact </w:t>
      </w:r>
      <w:r w:rsidR="006C3BDC">
        <w:rPr>
          <w:rFonts w:ascii="Open Sans" w:hAnsi="Open Sans" w:cs="Open Sans"/>
        </w:rPr>
        <w:t xml:space="preserve">or </w:t>
      </w:r>
      <w:r>
        <w:rPr>
          <w:rFonts w:ascii="Open Sans" w:hAnsi="Open Sans" w:cs="Open Sans"/>
        </w:rPr>
        <w:t>high prevalence risks associated with consumer care</w:t>
      </w:r>
      <w:r w:rsidR="006C3BDC">
        <w:rPr>
          <w:rFonts w:ascii="Open Sans" w:hAnsi="Open Sans" w:cs="Open Sans"/>
        </w:rPr>
        <w:t xml:space="preserve"> have not been effectively managed</w:t>
      </w:r>
      <w:r>
        <w:rPr>
          <w:rFonts w:ascii="Open Sans" w:hAnsi="Open Sans" w:cs="Open Sans"/>
        </w:rPr>
        <w:t xml:space="preserve">. In coming to my finding, I have considered the significant deficits in relation to high impact </w:t>
      </w:r>
      <w:r w:rsidR="006C3BDC">
        <w:rPr>
          <w:rFonts w:ascii="Open Sans" w:hAnsi="Open Sans" w:cs="Open Sans"/>
        </w:rPr>
        <w:t xml:space="preserve">or </w:t>
      </w:r>
      <w:r>
        <w:rPr>
          <w:rFonts w:ascii="Open Sans" w:hAnsi="Open Sans" w:cs="Open Sans"/>
        </w:rPr>
        <w:t>high prevalence risks identified in the Assessment Team’s report</w:t>
      </w:r>
      <w:r w:rsidR="006C3BDC">
        <w:rPr>
          <w:rFonts w:ascii="Open Sans" w:hAnsi="Open Sans" w:cs="Open Sans"/>
        </w:rPr>
        <w:t>, specifically</w:t>
      </w:r>
      <w:r w:rsidR="008D1608">
        <w:rPr>
          <w:rFonts w:ascii="Open Sans" w:hAnsi="Open Sans" w:cs="Open Sans"/>
        </w:rPr>
        <w:t xml:space="preserve"> clinical risks</w:t>
      </w:r>
      <w:r w:rsidR="006C3BDC">
        <w:rPr>
          <w:rFonts w:ascii="Open Sans" w:hAnsi="Open Sans" w:cs="Open Sans"/>
        </w:rPr>
        <w:t>,</w:t>
      </w:r>
      <w:r w:rsidR="008D1608">
        <w:rPr>
          <w:rFonts w:ascii="Open Sans" w:hAnsi="Open Sans" w:cs="Open Sans"/>
        </w:rPr>
        <w:t xml:space="preserve"> including diabetes, falls, wounds, behaviour and restrictive practices. I have also considered information that shows for multiple consumers</w:t>
      </w:r>
      <w:r w:rsidR="006C3BDC">
        <w:rPr>
          <w:rFonts w:ascii="Open Sans" w:hAnsi="Open Sans" w:cs="Open Sans"/>
        </w:rPr>
        <w:t>,</w:t>
      </w:r>
      <w:r w:rsidR="008D1608">
        <w:rPr>
          <w:rFonts w:ascii="Open Sans" w:hAnsi="Open Sans" w:cs="Open Sans"/>
        </w:rPr>
        <w:t xml:space="preserve"> the deficits identified resulted in poor outcomes. While the provider has put some actions in place, I have no evidence before me of actions to address the individual risks associated with each named consumer to improve their care and services. I find the actions the provider has taken </w:t>
      </w:r>
      <w:r w:rsidR="00DD68EE">
        <w:rPr>
          <w:rFonts w:ascii="Open Sans" w:hAnsi="Open Sans" w:cs="Open Sans"/>
        </w:rPr>
        <w:t>or</w:t>
      </w:r>
      <w:r w:rsidR="008D1608">
        <w:rPr>
          <w:rFonts w:ascii="Open Sans" w:hAnsi="Open Sans" w:cs="Open Sans"/>
        </w:rPr>
        <w:t xml:space="preserve"> plans to implement will need extended time to be fully embedded and require further evaluation to achieve efficacy.</w:t>
      </w:r>
    </w:p>
    <w:p w14:paraId="0D6B9C8C" w14:textId="33760749" w:rsidR="00062A16" w:rsidRDefault="008D1608" w:rsidP="00B1417C">
      <w:pPr>
        <w:pStyle w:val="NormalArial"/>
        <w:rPr>
          <w:rFonts w:ascii="Open Sans" w:hAnsi="Open Sans" w:cs="Open Sans"/>
        </w:rPr>
      </w:pPr>
      <w:r>
        <w:rPr>
          <w:rFonts w:ascii="Open Sans" w:hAnsi="Open Sans" w:cs="Open Sans"/>
        </w:rPr>
        <w:t>For the reasons above, I find requirement 3(3)(b) non-compliant.</w:t>
      </w:r>
    </w:p>
    <w:p w14:paraId="520238BC" w14:textId="77777777" w:rsidR="00062A16" w:rsidRDefault="00062A16">
      <w:pPr>
        <w:spacing w:after="160" w:line="259" w:lineRule="auto"/>
        <w:rPr>
          <w:rFonts w:ascii="Open Sans" w:hAnsi="Open Sans" w:cs="Open Sans"/>
        </w:rPr>
      </w:pPr>
      <w:r>
        <w:rPr>
          <w:rFonts w:ascii="Open Sans" w:hAnsi="Open Sans" w:cs="Open Sans"/>
        </w:rPr>
        <w:br w:type="page"/>
      </w:r>
    </w:p>
    <w:p w14:paraId="74615251" w14:textId="77777777" w:rsidR="00602F73" w:rsidRPr="001E694D" w:rsidRDefault="009676E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918"/>
        <w:gridCol w:w="2039"/>
      </w:tblGrid>
      <w:tr w:rsidR="00C67221" w14:paraId="46A68974" w14:textId="77777777" w:rsidTr="003A10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5" w:type="dxa"/>
            <w:gridSpan w:val="2"/>
            <w:shd w:val="clear" w:color="auto" w:fill="781E77"/>
          </w:tcPr>
          <w:p w14:paraId="549FD4C0" w14:textId="77777777" w:rsidR="00602F73" w:rsidRPr="001E694D" w:rsidRDefault="009676E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039" w:type="dxa"/>
            <w:shd w:val="clear" w:color="auto" w:fill="781E77"/>
          </w:tcPr>
          <w:p w14:paraId="12B1B62D" w14:textId="77777777" w:rsidR="00602F73" w:rsidRPr="001E694D" w:rsidRDefault="00602F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67221" w14:paraId="6E20E5BC" w14:textId="77777777" w:rsidTr="003A1001">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B5E59E0" w14:textId="77777777" w:rsidR="00602F73" w:rsidRPr="001E694D" w:rsidRDefault="009676EA" w:rsidP="002C5FA9">
            <w:pPr>
              <w:spacing w:line="22" w:lineRule="atLeast"/>
              <w:rPr>
                <w:rFonts w:ascii="Open Sans" w:hAnsi="Open Sans" w:cs="Open Sans"/>
              </w:rPr>
            </w:pPr>
            <w:r w:rsidRPr="001E694D">
              <w:rPr>
                <w:rFonts w:ascii="Open Sans" w:hAnsi="Open Sans" w:cs="Open Sans"/>
              </w:rPr>
              <w:t>Requirement 8(3)(d)</w:t>
            </w:r>
          </w:p>
        </w:tc>
        <w:tc>
          <w:tcPr>
            <w:tcW w:w="5918" w:type="dxa"/>
            <w:shd w:val="clear" w:color="auto" w:fill="auto"/>
          </w:tcPr>
          <w:p w14:paraId="6DAAE5FA" w14:textId="77777777" w:rsidR="00602F73" w:rsidRPr="001E694D" w:rsidRDefault="009676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0458E8C" w14:textId="77777777" w:rsidR="00602F73" w:rsidRPr="001E694D" w:rsidRDefault="009676E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77A6BE6" w14:textId="77777777" w:rsidR="00602F73" w:rsidRPr="001E694D" w:rsidRDefault="009676E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E8A24A1" w14:textId="77777777" w:rsidR="00602F73" w:rsidRPr="001E694D" w:rsidRDefault="009676E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4AC18AB" w14:textId="77777777" w:rsidR="00602F73" w:rsidRPr="001E694D" w:rsidRDefault="009676E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2039" w:type="dxa"/>
            <w:shd w:val="clear" w:color="auto" w:fill="auto"/>
          </w:tcPr>
          <w:p w14:paraId="793B2C56" w14:textId="5DF85BAB" w:rsidR="00602F73" w:rsidRPr="001E694D" w:rsidRDefault="008D1608" w:rsidP="003A1001">
            <w:pPr>
              <w:pStyle w:val="ListBullet"/>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color w:val="auto"/>
              </w:rPr>
              <w:t>Not</w:t>
            </w:r>
            <w:r w:rsidR="003A1001">
              <w:rPr>
                <w:rFonts w:ascii="Open Sans" w:hAnsi="Open Sans" w:cs="Open Sans"/>
                <w:color w:val="auto"/>
              </w:rPr>
              <w:t xml:space="preserve"> </w:t>
            </w:r>
            <w:r>
              <w:rPr>
                <w:rFonts w:ascii="Open Sans" w:hAnsi="Open Sans" w:cs="Open Sans"/>
                <w:color w:val="auto"/>
              </w:rPr>
              <w:t>Compliant</w:t>
            </w:r>
          </w:p>
        </w:tc>
      </w:tr>
      <w:tr w:rsidR="00C67221" w14:paraId="6DD747BA" w14:textId="77777777" w:rsidTr="003A10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F1A5F4B" w14:textId="77777777" w:rsidR="00602F73" w:rsidRPr="001E694D" w:rsidRDefault="009676EA" w:rsidP="002C5FA9">
            <w:pPr>
              <w:spacing w:line="22" w:lineRule="atLeast"/>
              <w:rPr>
                <w:rFonts w:ascii="Open Sans" w:hAnsi="Open Sans" w:cs="Open Sans"/>
              </w:rPr>
            </w:pPr>
            <w:r w:rsidRPr="001E694D">
              <w:rPr>
                <w:rFonts w:ascii="Open Sans" w:hAnsi="Open Sans" w:cs="Open Sans"/>
              </w:rPr>
              <w:t>Requirement 8(3)(e)</w:t>
            </w:r>
          </w:p>
        </w:tc>
        <w:tc>
          <w:tcPr>
            <w:tcW w:w="5918" w:type="dxa"/>
            <w:shd w:val="clear" w:color="auto" w:fill="auto"/>
          </w:tcPr>
          <w:p w14:paraId="31C6C625" w14:textId="77777777" w:rsidR="00602F73" w:rsidRPr="001E694D" w:rsidRDefault="009676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1AC43B2" w14:textId="77777777" w:rsidR="00602F73" w:rsidRPr="001E694D" w:rsidRDefault="009676EA"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8ADDDBB" w14:textId="77777777" w:rsidR="00602F73" w:rsidRPr="001E694D" w:rsidRDefault="009676EA"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1200F27" w14:textId="77777777" w:rsidR="00602F73" w:rsidRPr="001E694D" w:rsidRDefault="009676EA"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2039" w:type="dxa"/>
            <w:shd w:val="clear" w:color="auto" w:fill="auto"/>
          </w:tcPr>
          <w:p w14:paraId="45F1F1D5" w14:textId="37DCC531" w:rsidR="00602F73" w:rsidRPr="001E694D" w:rsidRDefault="008D1608" w:rsidP="003A1001">
            <w:pPr>
              <w:pStyle w:val="ListBullet"/>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Not</w:t>
            </w:r>
            <w:r w:rsidR="003A1001">
              <w:rPr>
                <w:rFonts w:ascii="Open Sans" w:hAnsi="Open Sans" w:cs="Open Sans"/>
                <w:color w:val="auto"/>
              </w:rPr>
              <w:t xml:space="preserve"> </w:t>
            </w:r>
            <w:r>
              <w:rPr>
                <w:rFonts w:ascii="Open Sans" w:hAnsi="Open Sans" w:cs="Open Sans"/>
                <w:color w:val="auto"/>
              </w:rPr>
              <w:t>Compliant</w:t>
            </w:r>
          </w:p>
        </w:tc>
      </w:tr>
    </w:tbl>
    <w:p w14:paraId="76E79D95" w14:textId="77777777" w:rsidR="00602F73" w:rsidRDefault="009676EA"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107D9F2" w14:textId="22617C71" w:rsidR="008D1608" w:rsidRDefault="008D1608" w:rsidP="00B1417C">
      <w:pPr>
        <w:pStyle w:val="NormalArial"/>
        <w:rPr>
          <w:rFonts w:ascii="Open Sans" w:hAnsi="Open Sans" w:cs="Open Sans"/>
        </w:rPr>
      </w:pPr>
      <w:r>
        <w:rPr>
          <w:rFonts w:ascii="Open Sans" w:hAnsi="Open Sans" w:cs="Open Sans"/>
        </w:rPr>
        <w:t xml:space="preserve">This Quality Standard is non-compliant as requirements 8(3)(d) and 8(3)(e) have been found non-compliant. </w:t>
      </w:r>
      <w:r w:rsidR="00F54A0D">
        <w:rPr>
          <w:rFonts w:ascii="Open Sans" w:hAnsi="Open Sans" w:cs="Open Sans"/>
        </w:rPr>
        <w:t>R</w:t>
      </w:r>
      <w:r>
        <w:rPr>
          <w:rFonts w:ascii="Open Sans" w:hAnsi="Open Sans" w:cs="Open Sans"/>
        </w:rPr>
        <w:t xml:space="preserve">equirements </w:t>
      </w:r>
      <w:r w:rsidR="00F54A0D">
        <w:rPr>
          <w:rFonts w:ascii="Open Sans" w:hAnsi="Open Sans" w:cs="Open Sans"/>
        </w:rPr>
        <w:t xml:space="preserve">8(3)(d) and 8(3)(e) </w:t>
      </w:r>
      <w:r>
        <w:rPr>
          <w:rFonts w:ascii="Open Sans" w:hAnsi="Open Sans" w:cs="Open Sans"/>
        </w:rPr>
        <w:t xml:space="preserve">were found non-compliant following an </w:t>
      </w:r>
      <w:r w:rsidR="006C3BDC">
        <w:rPr>
          <w:rFonts w:ascii="Open Sans" w:hAnsi="Open Sans" w:cs="Open Sans"/>
        </w:rPr>
        <w:t xml:space="preserve">assessment contact </w:t>
      </w:r>
      <w:r>
        <w:rPr>
          <w:rFonts w:ascii="Open Sans" w:hAnsi="Open Sans" w:cs="Open Sans"/>
        </w:rPr>
        <w:t xml:space="preserve">undertaken in July 2024 as an effective incident management system </w:t>
      </w:r>
      <w:r w:rsidR="006C3BDC">
        <w:rPr>
          <w:rFonts w:ascii="Open Sans" w:hAnsi="Open Sans" w:cs="Open Sans"/>
        </w:rPr>
        <w:t>was not demonstrated</w:t>
      </w:r>
      <w:r>
        <w:rPr>
          <w:rFonts w:ascii="Open Sans" w:hAnsi="Open Sans" w:cs="Open Sans"/>
        </w:rPr>
        <w:t xml:space="preserve"> and the clinical governance framework was not effective in providing clinical oversight or minimising the use of restraint. The </w:t>
      </w:r>
      <w:r w:rsidR="00F54A0D">
        <w:rPr>
          <w:rFonts w:ascii="Open Sans" w:hAnsi="Open Sans" w:cs="Open Sans"/>
        </w:rPr>
        <w:t>provider</w:t>
      </w:r>
      <w:r>
        <w:rPr>
          <w:rFonts w:ascii="Open Sans" w:hAnsi="Open Sans" w:cs="Open Sans"/>
        </w:rPr>
        <w:t xml:space="preserve"> has </w:t>
      </w:r>
      <w:r w:rsidR="00125C8A">
        <w:rPr>
          <w:rFonts w:ascii="Open Sans" w:hAnsi="Open Sans" w:cs="Open Sans"/>
        </w:rPr>
        <w:t xml:space="preserve">planned and undertaken </w:t>
      </w:r>
      <w:r>
        <w:rPr>
          <w:rFonts w:ascii="Open Sans" w:hAnsi="Open Sans" w:cs="Open Sans"/>
        </w:rPr>
        <w:t xml:space="preserve">several actions to address the </w:t>
      </w:r>
      <w:r w:rsidR="00F54A0D">
        <w:rPr>
          <w:rFonts w:ascii="Open Sans" w:hAnsi="Open Sans" w:cs="Open Sans"/>
        </w:rPr>
        <w:t>non-compliance</w:t>
      </w:r>
      <w:r w:rsidR="006C3BDC">
        <w:rPr>
          <w:rFonts w:ascii="Open Sans" w:hAnsi="Open Sans" w:cs="Open Sans"/>
        </w:rPr>
        <w:t>,</w:t>
      </w:r>
      <w:r>
        <w:rPr>
          <w:rFonts w:ascii="Open Sans" w:hAnsi="Open Sans" w:cs="Open Sans"/>
        </w:rPr>
        <w:t xml:space="preserve"> including</w:t>
      </w:r>
      <w:r w:rsidR="006C3BDC">
        <w:rPr>
          <w:rFonts w:ascii="Open Sans" w:hAnsi="Open Sans" w:cs="Open Sans"/>
        </w:rPr>
        <w:t>,</w:t>
      </w:r>
      <w:r>
        <w:rPr>
          <w:rFonts w:ascii="Open Sans" w:hAnsi="Open Sans" w:cs="Open Sans"/>
        </w:rPr>
        <w:t xml:space="preserve"> but not limited to</w:t>
      </w:r>
      <w:r w:rsidR="006C3BDC">
        <w:rPr>
          <w:rFonts w:ascii="Open Sans" w:hAnsi="Open Sans" w:cs="Open Sans"/>
        </w:rPr>
        <w:t xml:space="preserve">, </w:t>
      </w:r>
      <w:r w:rsidR="00125C8A">
        <w:rPr>
          <w:rFonts w:ascii="Open Sans" w:hAnsi="Open Sans" w:cs="Open Sans"/>
        </w:rPr>
        <w:t>a comprehensive review of the risk assessment procedure</w:t>
      </w:r>
      <w:r w:rsidR="00F54A0D">
        <w:rPr>
          <w:rFonts w:ascii="Open Sans" w:hAnsi="Open Sans" w:cs="Open Sans"/>
        </w:rPr>
        <w:t>;</w:t>
      </w:r>
      <w:r w:rsidR="00125C8A">
        <w:rPr>
          <w:rFonts w:ascii="Open Sans" w:hAnsi="Open Sans" w:cs="Open Sans"/>
        </w:rPr>
        <w:t xml:space="preserve"> governance processes to support the use of a risk assessment checklist</w:t>
      </w:r>
      <w:r w:rsidR="00F54A0D">
        <w:rPr>
          <w:rFonts w:ascii="Open Sans" w:hAnsi="Open Sans" w:cs="Open Sans"/>
        </w:rPr>
        <w:t>;</w:t>
      </w:r>
      <w:r w:rsidR="00125C8A">
        <w:rPr>
          <w:rFonts w:ascii="Open Sans" w:hAnsi="Open Sans" w:cs="Open Sans"/>
        </w:rPr>
        <w:t xml:space="preserve"> weekly clinical team meetings</w:t>
      </w:r>
      <w:r w:rsidR="00F54A0D">
        <w:rPr>
          <w:rFonts w:ascii="Open Sans" w:hAnsi="Open Sans" w:cs="Open Sans"/>
        </w:rPr>
        <w:t>;</w:t>
      </w:r>
      <w:r w:rsidR="00125C8A">
        <w:rPr>
          <w:rFonts w:ascii="Open Sans" w:hAnsi="Open Sans" w:cs="Open Sans"/>
        </w:rPr>
        <w:t xml:space="preserve"> monitoring and quality assurance mechanisms</w:t>
      </w:r>
      <w:r w:rsidR="00F54A0D">
        <w:rPr>
          <w:rFonts w:ascii="Open Sans" w:hAnsi="Open Sans" w:cs="Open Sans"/>
        </w:rPr>
        <w:t>;</w:t>
      </w:r>
      <w:r w:rsidR="00125C8A">
        <w:rPr>
          <w:rFonts w:ascii="Open Sans" w:hAnsi="Open Sans" w:cs="Open Sans"/>
        </w:rPr>
        <w:t xml:space="preserve"> </w:t>
      </w:r>
      <w:r w:rsidR="004D7160">
        <w:rPr>
          <w:rFonts w:ascii="Open Sans" w:hAnsi="Open Sans" w:cs="Open Sans"/>
        </w:rPr>
        <w:t xml:space="preserve">reviewing BSPs </w:t>
      </w:r>
      <w:r w:rsidR="00125C8A">
        <w:rPr>
          <w:rFonts w:ascii="Open Sans" w:hAnsi="Open Sans" w:cs="Open Sans"/>
        </w:rPr>
        <w:t>for all consumers with chemical restraint with a regular review schedule</w:t>
      </w:r>
      <w:r w:rsidR="00F54A0D">
        <w:rPr>
          <w:rFonts w:ascii="Open Sans" w:hAnsi="Open Sans" w:cs="Open Sans"/>
        </w:rPr>
        <w:t>;</w:t>
      </w:r>
      <w:r w:rsidR="00125C8A">
        <w:rPr>
          <w:rFonts w:ascii="Open Sans" w:hAnsi="Open Sans" w:cs="Open Sans"/>
        </w:rPr>
        <w:t xml:space="preserve"> and staff education.</w:t>
      </w:r>
    </w:p>
    <w:p w14:paraId="3FD27AA9" w14:textId="659CB938" w:rsidR="008D1608" w:rsidRDefault="00F54A0D" w:rsidP="00B1417C">
      <w:pPr>
        <w:pStyle w:val="NormalArial"/>
        <w:rPr>
          <w:rFonts w:ascii="Open Sans" w:hAnsi="Open Sans" w:cs="Open Sans"/>
        </w:rPr>
      </w:pPr>
      <w:r>
        <w:rPr>
          <w:rFonts w:ascii="Open Sans" w:hAnsi="Open Sans" w:cs="Open Sans"/>
        </w:rPr>
        <w:t>At</w:t>
      </w:r>
      <w:r w:rsidR="008D1608">
        <w:rPr>
          <w:rFonts w:ascii="Open Sans" w:hAnsi="Open Sans" w:cs="Open Sans"/>
        </w:rPr>
        <w:t xml:space="preserve"> the </w:t>
      </w:r>
      <w:r w:rsidR="004D7160">
        <w:rPr>
          <w:rFonts w:ascii="Open Sans" w:hAnsi="Open Sans" w:cs="Open Sans"/>
        </w:rPr>
        <w:t xml:space="preserve">assessment contact </w:t>
      </w:r>
      <w:r w:rsidR="008D1608">
        <w:rPr>
          <w:rFonts w:ascii="Open Sans" w:hAnsi="Open Sans" w:cs="Open Sans"/>
        </w:rPr>
        <w:t>in February 2025</w:t>
      </w:r>
      <w:r w:rsidR="004D7160">
        <w:rPr>
          <w:rFonts w:ascii="Open Sans" w:hAnsi="Open Sans" w:cs="Open Sans"/>
        </w:rPr>
        <w:t>,</w:t>
      </w:r>
      <w:r w:rsidR="008D1608">
        <w:rPr>
          <w:rFonts w:ascii="Open Sans" w:hAnsi="Open Sans" w:cs="Open Sans"/>
        </w:rPr>
        <w:t xml:space="preserve"> the Assessment Team recommended </w:t>
      </w:r>
      <w:r>
        <w:rPr>
          <w:rFonts w:ascii="Open Sans" w:hAnsi="Open Sans" w:cs="Open Sans"/>
        </w:rPr>
        <w:t>both</w:t>
      </w:r>
      <w:r w:rsidR="008D1608">
        <w:rPr>
          <w:rFonts w:ascii="Open Sans" w:hAnsi="Open Sans" w:cs="Open Sans"/>
        </w:rPr>
        <w:t xml:space="preserve"> </w:t>
      </w:r>
      <w:r>
        <w:rPr>
          <w:rFonts w:ascii="Open Sans" w:hAnsi="Open Sans" w:cs="Open Sans"/>
        </w:rPr>
        <w:t>requirements</w:t>
      </w:r>
      <w:r w:rsidR="008D1608">
        <w:rPr>
          <w:rFonts w:ascii="Open Sans" w:hAnsi="Open Sans" w:cs="Open Sans"/>
        </w:rPr>
        <w:t xml:space="preserve"> not met as they were not satisfied the actions to</w:t>
      </w:r>
      <w:r w:rsidR="00125C8A">
        <w:rPr>
          <w:rFonts w:ascii="Open Sans" w:hAnsi="Open Sans" w:cs="Open Sans"/>
        </w:rPr>
        <w:t xml:space="preserve"> address the deficits were effective in improving care and services in relation to risk management and clinical governance, specifically the management of high impact </w:t>
      </w:r>
      <w:r w:rsidR="004D7160">
        <w:rPr>
          <w:rFonts w:ascii="Open Sans" w:hAnsi="Open Sans" w:cs="Open Sans"/>
        </w:rPr>
        <w:t xml:space="preserve">or </w:t>
      </w:r>
      <w:r w:rsidR="00125C8A">
        <w:rPr>
          <w:rFonts w:ascii="Open Sans" w:hAnsi="Open Sans" w:cs="Open Sans"/>
        </w:rPr>
        <w:t>high prevalence risks to consumer care, incident management and restrictive practices.</w:t>
      </w:r>
      <w:r w:rsidRPr="00F54A0D">
        <w:rPr>
          <w:rFonts w:ascii="Open Sans" w:hAnsi="Open Sans" w:cs="Open Sans"/>
        </w:rPr>
        <w:t xml:space="preserve"> </w:t>
      </w:r>
      <w:r>
        <w:rPr>
          <w:rFonts w:ascii="Open Sans" w:hAnsi="Open Sans" w:cs="Open Sans"/>
        </w:rPr>
        <w:t>The Assessment Team provided the following evidence gathered through interviews and documentation.</w:t>
      </w:r>
    </w:p>
    <w:p w14:paraId="56CF3F6A" w14:textId="4685A6BB" w:rsidR="00421019" w:rsidRDefault="00421019" w:rsidP="00B1417C">
      <w:pPr>
        <w:pStyle w:val="NormalArial"/>
        <w:rPr>
          <w:rFonts w:ascii="Open Sans" w:hAnsi="Open Sans" w:cs="Open Sans"/>
        </w:rPr>
      </w:pPr>
      <w:r>
        <w:rPr>
          <w:rFonts w:ascii="Open Sans" w:hAnsi="Open Sans" w:cs="Open Sans"/>
          <w:b/>
          <w:bCs/>
        </w:rPr>
        <w:lastRenderedPageBreak/>
        <w:t>Requirement 8(3)(d)</w:t>
      </w:r>
      <w:r>
        <w:rPr>
          <w:rFonts w:ascii="Open Sans" w:hAnsi="Open Sans" w:cs="Open Sans"/>
        </w:rPr>
        <w:t xml:space="preserve"> </w:t>
      </w:r>
      <w:r w:rsidR="00F54A0D">
        <w:rPr>
          <w:rFonts w:ascii="Open Sans" w:hAnsi="Open Sans" w:cs="Open Sans"/>
        </w:rPr>
        <w:t>T</w:t>
      </w:r>
      <w:r w:rsidR="00CA4334">
        <w:rPr>
          <w:rFonts w:ascii="Open Sans" w:hAnsi="Open Sans" w:cs="Open Sans"/>
        </w:rPr>
        <w:t>he organisation has various clinical care and quality meetings facilitated at service level where clinical data is discussed to identify individual consumer issues and for trending incident data. The meetings do not critically review and analyse information collected and have not identified gaps in the review and analysis of incidents to prevent recurrence and maintain consumer safety. Documentation showed gaps in information</w:t>
      </w:r>
      <w:r w:rsidR="004D7160">
        <w:rPr>
          <w:rFonts w:ascii="Open Sans" w:hAnsi="Open Sans" w:cs="Open Sans"/>
        </w:rPr>
        <w:t>,</w:t>
      </w:r>
      <w:r w:rsidR="00CA4334">
        <w:rPr>
          <w:rFonts w:ascii="Open Sans" w:hAnsi="Open Sans" w:cs="Open Sans"/>
        </w:rPr>
        <w:t xml:space="preserve"> including identifying consumers involved in incidents</w:t>
      </w:r>
      <w:r w:rsidR="004D7160">
        <w:rPr>
          <w:rFonts w:ascii="Open Sans" w:hAnsi="Open Sans" w:cs="Open Sans"/>
        </w:rPr>
        <w:t>,</w:t>
      </w:r>
      <w:r w:rsidR="00CA4334">
        <w:rPr>
          <w:rFonts w:ascii="Open Sans" w:hAnsi="Open Sans" w:cs="Open Sans"/>
        </w:rPr>
        <w:t xml:space="preserve"> and there </w:t>
      </w:r>
      <w:r w:rsidR="00F54A0D">
        <w:rPr>
          <w:rFonts w:ascii="Open Sans" w:hAnsi="Open Sans" w:cs="Open Sans"/>
        </w:rPr>
        <w:t>was</w:t>
      </w:r>
      <w:r w:rsidR="00CA4334">
        <w:rPr>
          <w:rFonts w:ascii="Open Sans" w:hAnsi="Open Sans" w:cs="Open Sans"/>
        </w:rPr>
        <w:t xml:space="preserve"> no analysis of incidents to determine mitigation strategies to ensure high impact </w:t>
      </w:r>
      <w:r w:rsidR="004D7160">
        <w:rPr>
          <w:rFonts w:ascii="Open Sans" w:hAnsi="Open Sans" w:cs="Open Sans"/>
        </w:rPr>
        <w:t xml:space="preserve">or </w:t>
      </w:r>
      <w:r w:rsidR="00CA4334">
        <w:rPr>
          <w:rFonts w:ascii="Open Sans" w:hAnsi="Open Sans" w:cs="Open Sans"/>
        </w:rPr>
        <w:t xml:space="preserve">high prevalence risks </w:t>
      </w:r>
      <w:r w:rsidR="00F54A0D">
        <w:rPr>
          <w:rFonts w:ascii="Open Sans" w:hAnsi="Open Sans" w:cs="Open Sans"/>
        </w:rPr>
        <w:t>were</w:t>
      </w:r>
      <w:r w:rsidR="00CA4334">
        <w:rPr>
          <w:rFonts w:ascii="Open Sans" w:hAnsi="Open Sans" w:cs="Open Sans"/>
        </w:rPr>
        <w:t xml:space="preserve"> managed effectively. An incident completed for a consumer who experienced a burn did not have information</w:t>
      </w:r>
      <w:r w:rsidR="004D7160">
        <w:rPr>
          <w:rFonts w:ascii="Open Sans" w:hAnsi="Open Sans" w:cs="Open Sans"/>
        </w:rPr>
        <w:t>,</w:t>
      </w:r>
      <w:r w:rsidR="00CA4334">
        <w:rPr>
          <w:rFonts w:ascii="Open Sans" w:hAnsi="Open Sans" w:cs="Open Sans"/>
        </w:rPr>
        <w:t xml:space="preserve"> including what happened, how </w:t>
      </w:r>
      <w:r w:rsidR="004D7160">
        <w:rPr>
          <w:rFonts w:ascii="Open Sans" w:hAnsi="Open Sans" w:cs="Open Sans"/>
        </w:rPr>
        <w:t xml:space="preserve">and where </w:t>
      </w:r>
      <w:r w:rsidR="00CA4334">
        <w:rPr>
          <w:rFonts w:ascii="Open Sans" w:hAnsi="Open Sans" w:cs="Open Sans"/>
        </w:rPr>
        <w:t>it occurred or the consumer</w:t>
      </w:r>
      <w:r w:rsidR="004D7160">
        <w:rPr>
          <w:rFonts w:ascii="Open Sans" w:hAnsi="Open Sans" w:cs="Open Sans"/>
        </w:rPr>
        <w:t>’</w:t>
      </w:r>
      <w:r w:rsidR="00CA4334">
        <w:rPr>
          <w:rFonts w:ascii="Open Sans" w:hAnsi="Open Sans" w:cs="Open Sans"/>
        </w:rPr>
        <w:t xml:space="preserve">s name for an investigation to be </w:t>
      </w:r>
      <w:r w:rsidR="004116AC">
        <w:rPr>
          <w:rFonts w:ascii="Open Sans" w:hAnsi="Open Sans" w:cs="Open Sans"/>
        </w:rPr>
        <w:t>completed,</w:t>
      </w:r>
      <w:r w:rsidR="00CA4334">
        <w:rPr>
          <w:rFonts w:ascii="Open Sans" w:hAnsi="Open Sans" w:cs="Open Sans"/>
        </w:rPr>
        <w:t xml:space="preserve"> and </w:t>
      </w:r>
      <w:r w:rsidR="004D7160">
        <w:rPr>
          <w:rFonts w:ascii="Open Sans" w:hAnsi="Open Sans" w:cs="Open Sans"/>
        </w:rPr>
        <w:t xml:space="preserve">there was </w:t>
      </w:r>
      <w:r w:rsidR="00CA4334">
        <w:rPr>
          <w:rFonts w:ascii="Open Sans" w:hAnsi="Open Sans" w:cs="Open Sans"/>
        </w:rPr>
        <w:t xml:space="preserve">no evidence recorded of discussion or how to mitigate the risks. </w:t>
      </w:r>
      <w:r w:rsidR="004D7160">
        <w:rPr>
          <w:rFonts w:ascii="Open Sans" w:hAnsi="Open Sans" w:cs="Open Sans"/>
        </w:rPr>
        <w:t>Meeting minutes did not include i</w:t>
      </w:r>
      <w:r w:rsidR="004116AC">
        <w:rPr>
          <w:rFonts w:ascii="Open Sans" w:hAnsi="Open Sans" w:cs="Open Sans"/>
        </w:rPr>
        <w:t xml:space="preserve">ncident information in relation to falls and medications </w:t>
      </w:r>
      <w:r w:rsidR="004D7160">
        <w:rPr>
          <w:rFonts w:ascii="Open Sans" w:hAnsi="Open Sans" w:cs="Open Sans"/>
        </w:rPr>
        <w:t>or</w:t>
      </w:r>
      <w:r w:rsidR="004116AC">
        <w:rPr>
          <w:rFonts w:ascii="Open Sans" w:hAnsi="Open Sans" w:cs="Open Sans"/>
        </w:rPr>
        <w:t xml:space="preserve"> review of the incidents to capture mitigation strategies.</w:t>
      </w:r>
    </w:p>
    <w:p w14:paraId="4B112492" w14:textId="1529BD54" w:rsidR="004116AC" w:rsidRDefault="004116AC" w:rsidP="00B1417C">
      <w:pPr>
        <w:pStyle w:val="NormalArial"/>
        <w:rPr>
          <w:rFonts w:ascii="Open Sans" w:hAnsi="Open Sans" w:cs="Open Sans"/>
        </w:rPr>
      </w:pPr>
      <w:r>
        <w:rPr>
          <w:rFonts w:ascii="Open Sans" w:hAnsi="Open Sans" w:cs="Open Sans"/>
        </w:rPr>
        <w:t xml:space="preserve">Documentation from </w:t>
      </w:r>
      <w:r w:rsidR="00173CC5">
        <w:rPr>
          <w:rFonts w:ascii="Open Sans" w:hAnsi="Open Sans" w:cs="Open Sans"/>
        </w:rPr>
        <w:t>t</w:t>
      </w:r>
      <w:r>
        <w:rPr>
          <w:rFonts w:ascii="Open Sans" w:hAnsi="Open Sans" w:cs="Open Sans"/>
        </w:rPr>
        <w:t>he quality compliance manager</w:t>
      </w:r>
      <w:r w:rsidR="004D7160">
        <w:rPr>
          <w:rFonts w:ascii="Open Sans" w:hAnsi="Open Sans" w:cs="Open Sans"/>
        </w:rPr>
        <w:t>’</w:t>
      </w:r>
      <w:r>
        <w:rPr>
          <w:rFonts w:ascii="Open Sans" w:hAnsi="Open Sans" w:cs="Open Sans"/>
        </w:rPr>
        <w:t xml:space="preserve">s report to the </w:t>
      </w:r>
      <w:r w:rsidR="004D7160">
        <w:rPr>
          <w:rFonts w:ascii="Open Sans" w:hAnsi="Open Sans" w:cs="Open Sans"/>
        </w:rPr>
        <w:t xml:space="preserve">board </w:t>
      </w:r>
      <w:r>
        <w:rPr>
          <w:rFonts w:ascii="Open Sans" w:hAnsi="Open Sans" w:cs="Open Sans"/>
        </w:rPr>
        <w:t>for December 2024 recorded incidents</w:t>
      </w:r>
      <w:r w:rsidR="00F54A0D">
        <w:rPr>
          <w:rFonts w:ascii="Open Sans" w:hAnsi="Open Sans" w:cs="Open Sans"/>
        </w:rPr>
        <w:t xml:space="preserve"> relating to</w:t>
      </w:r>
      <w:r>
        <w:rPr>
          <w:rFonts w:ascii="Open Sans" w:hAnsi="Open Sans" w:cs="Open Sans"/>
        </w:rPr>
        <w:t xml:space="preserve"> medications, falls and general had decreased across all services, and documentation at the service reflected medication incidents had increased for the same time period compared to November 2024 with no further information or evidence of root cause analysis undertaken. There is no ongoing monitoring of the weekly care meetings for effectiveness and evaluation of whether they are identifying gaps in risk management systems.</w:t>
      </w:r>
    </w:p>
    <w:p w14:paraId="71D75058" w14:textId="40B54C17" w:rsidR="00BF0B78" w:rsidRDefault="004116AC" w:rsidP="00B1417C">
      <w:pPr>
        <w:pStyle w:val="NormalArial"/>
        <w:rPr>
          <w:rFonts w:ascii="Open Sans" w:hAnsi="Open Sans" w:cs="Open Sans"/>
        </w:rPr>
      </w:pPr>
      <w:r>
        <w:rPr>
          <w:rFonts w:ascii="Open Sans" w:hAnsi="Open Sans" w:cs="Open Sans"/>
          <w:b/>
          <w:bCs/>
        </w:rPr>
        <w:t>Requirement 8(3)(e)</w:t>
      </w:r>
      <w:r>
        <w:rPr>
          <w:rFonts w:ascii="Open Sans" w:hAnsi="Open Sans" w:cs="Open Sans"/>
        </w:rPr>
        <w:t xml:space="preserve"> </w:t>
      </w:r>
      <w:r w:rsidR="00F54A0D">
        <w:rPr>
          <w:rFonts w:ascii="Open Sans" w:hAnsi="Open Sans" w:cs="Open Sans"/>
        </w:rPr>
        <w:t>D</w:t>
      </w:r>
      <w:r w:rsidR="004D7160">
        <w:rPr>
          <w:rFonts w:ascii="Open Sans" w:hAnsi="Open Sans" w:cs="Open Sans"/>
        </w:rPr>
        <w:t xml:space="preserve">uring the assessment contact entry meeting, </w:t>
      </w:r>
      <w:r>
        <w:rPr>
          <w:rFonts w:ascii="Open Sans" w:hAnsi="Open Sans" w:cs="Open Sans"/>
        </w:rPr>
        <w:t xml:space="preserve">service management were </w:t>
      </w:r>
      <w:r w:rsidR="004D7160">
        <w:rPr>
          <w:rFonts w:ascii="Open Sans" w:hAnsi="Open Sans" w:cs="Open Sans"/>
        </w:rPr>
        <w:t>not</w:t>
      </w:r>
      <w:r>
        <w:rPr>
          <w:rFonts w:ascii="Open Sans" w:hAnsi="Open Sans" w:cs="Open Sans"/>
        </w:rPr>
        <w:t xml:space="preserve"> knowledge</w:t>
      </w:r>
      <w:r w:rsidR="004D7160">
        <w:rPr>
          <w:rFonts w:ascii="Open Sans" w:hAnsi="Open Sans" w:cs="Open Sans"/>
        </w:rPr>
        <w:t>able</w:t>
      </w:r>
      <w:r>
        <w:rPr>
          <w:rFonts w:ascii="Open Sans" w:hAnsi="Open Sans" w:cs="Open Sans"/>
        </w:rPr>
        <w:t xml:space="preserve"> of </w:t>
      </w:r>
      <w:r w:rsidR="004D7160">
        <w:rPr>
          <w:rFonts w:ascii="Open Sans" w:hAnsi="Open Sans" w:cs="Open Sans"/>
        </w:rPr>
        <w:t xml:space="preserve">consumers’ </w:t>
      </w:r>
      <w:r>
        <w:rPr>
          <w:rFonts w:ascii="Open Sans" w:hAnsi="Open Sans" w:cs="Open Sans"/>
        </w:rPr>
        <w:t xml:space="preserve">clinical issues, including pressure injury incidents, falls requiring medical attention and consumers with restrictive practices in place. </w:t>
      </w:r>
      <w:r w:rsidR="004D7160">
        <w:rPr>
          <w:rFonts w:ascii="Open Sans" w:hAnsi="Open Sans" w:cs="Open Sans"/>
        </w:rPr>
        <w:t>S</w:t>
      </w:r>
      <w:r>
        <w:rPr>
          <w:rFonts w:ascii="Open Sans" w:hAnsi="Open Sans" w:cs="Open Sans"/>
        </w:rPr>
        <w:t>ervice management and staff have a lack of understanding of restrictive practices</w:t>
      </w:r>
      <w:r w:rsidR="004D7160">
        <w:rPr>
          <w:rFonts w:ascii="Open Sans" w:hAnsi="Open Sans" w:cs="Open Sans"/>
        </w:rPr>
        <w:t>,</w:t>
      </w:r>
      <w:r>
        <w:rPr>
          <w:rFonts w:ascii="Open Sans" w:hAnsi="Open Sans" w:cs="Open Sans"/>
        </w:rPr>
        <w:t xml:space="preserve"> specifically environmental and chemical restraint. Consumers were identified with environmental restraints in place without assessment or informed consent. </w:t>
      </w:r>
      <w:r w:rsidR="00BF0B78">
        <w:rPr>
          <w:rFonts w:ascii="Open Sans" w:hAnsi="Open Sans" w:cs="Open Sans"/>
        </w:rPr>
        <w:t>The service</w:t>
      </w:r>
      <w:r w:rsidR="004D7160">
        <w:rPr>
          <w:rFonts w:ascii="Open Sans" w:hAnsi="Open Sans" w:cs="Open Sans"/>
        </w:rPr>
        <w:t>’</w:t>
      </w:r>
      <w:r w:rsidR="00BF0B78">
        <w:rPr>
          <w:rFonts w:ascii="Open Sans" w:hAnsi="Open Sans" w:cs="Open Sans"/>
        </w:rPr>
        <w:t>s weekly care meeting did not show oversight of restrictive practices</w:t>
      </w:r>
      <w:r w:rsidR="004D7160">
        <w:rPr>
          <w:rFonts w:ascii="Open Sans" w:hAnsi="Open Sans" w:cs="Open Sans"/>
        </w:rPr>
        <w:t>,</w:t>
      </w:r>
      <w:r w:rsidR="00BF0B78">
        <w:rPr>
          <w:rFonts w:ascii="Open Sans" w:hAnsi="Open Sans" w:cs="Open Sans"/>
        </w:rPr>
        <w:t xml:space="preserve"> specifically consumers </w:t>
      </w:r>
      <w:r w:rsidR="004D7160">
        <w:rPr>
          <w:rFonts w:ascii="Open Sans" w:hAnsi="Open Sans" w:cs="Open Sans"/>
        </w:rPr>
        <w:t xml:space="preserve">subject to chemical restraint </w:t>
      </w:r>
      <w:r w:rsidR="00BF0B78">
        <w:rPr>
          <w:rFonts w:ascii="Open Sans" w:hAnsi="Open Sans" w:cs="Open Sans"/>
        </w:rPr>
        <w:t>are not identified in order for review to occur</w:t>
      </w:r>
      <w:r w:rsidR="00F54A0D">
        <w:rPr>
          <w:rFonts w:ascii="Open Sans" w:hAnsi="Open Sans" w:cs="Open Sans"/>
        </w:rPr>
        <w:t>,</w:t>
      </w:r>
      <w:r w:rsidR="00BF0B78">
        <w:rPr>
          <w:rFonts w:ascii="Open Sans" w:hAnsi="Open Sans" w:cs="Open Sans"/>
        </w:rPr>
        <w:t xml:space="preserve"> and sampled consumer documentation did not show review had occurred. Clinical oversight was not demonstrated in the monitoring, review and management of </w:t>
      </w:r>
      <w:r w:rsidR="004D7160">
        <w:rPr>
          <w:rFonts w:ascii="Open Sans" w:hAnsi="Open Sans" w:cs="Open Sans"/>
        </w:rPr>
        <w:t xml:space="preserve">consumers’ </w:t>
      </w:r>
      <w:r w:rsidR="00BF0B78">
        <w:rPr>
          <w:rFonts w:ascii="Open Sans" w:hAnsi="Open Sans" w:cs="Open Sans"/>
        </w:rPr>
        <w:t>clinical risks</w:t>
      </w:r>
      <w:r w:rsidR="004D7160">
        <w:rPr>
          <w:rFonts w:ascii="Open Sans" w:hAnsi="Open Sans" w:cs="Open Sans"/>
        </w:rPr>
        <w:t>,</w:t>
      </w:r>
      <w:r w:rsidR="00BF0B78">
        <w:rPr>
          <w:rFonts w:ascii="Open Sans" w:hAnsi="Open Sans" w:cs="Open Sans"/>
        </w:rPr>
        <w:t xml:space="preserve"> including diabetes, wounds, falls, behaviours, choking and restrictive practices. </w:t>
      </w:r>
    </w:p>
    <w:p w14:paraId="4667CE50" w14:textId="315EFF82" w:rsidR="00BF0B78" w:rsidRDefault="00F54A0D" w:rsidP="00B1417C">
      <w:pPr>
        <w:pStyle w:val="NormalArial"/>
        <w:rPr>
          <w:rFonts w:ascii="Open Sans" w:hAnsi="Open Sans" w:cs="Open Sans"/>
        </w:rPr>
      </w:pPr>
      <w:r>
        <w:rPr>
          <w:rFonts w:ascii="Open Sans" w:hAnsi="Open Sans" w:cs="Open Sans"/>
        </w:rPr>
        <w:t>O</w:t>
      </w:r>
      <w:r w:rsidR="00BF0B78">
        <w:rPr>
          <w:rFonts w:ascii="Open Sans" w:hAnsi="Open Sans" w:cs="Open Sans"/>
        </w:rPr>
        <w:t xml:space="preserve">rganisation management advised a clinical governance committee is being established with </w:t>
      </w:r>
      <w:r w:rsidR="004D7160">
        <w:rPr>
          <w:rFonts w:ascii="Open Sans" w:hAnsi="Open Sans" w:cs="Open Sans"/>
        </w:rPr>
        <w:t xml:space="preserve">a </w:t>
      </w:r>
      <w:r w:rsidR="00BF0B78">
        <w:rPr>
          <w:rFonts w:ascii="Open Sans" w:hAnsi="Open Sans" w:cs="Open Sans"/>
        </w:rPr>
        <w:t xml:space="preserve">commencement date towards </w:t>
      </w:r>
      <w:r w:rsidR="004D7160">
        <w:rPr>
          <w:rFonts w:ascii="Open Sans" w:hAnsi="Open Sans" w:cs="Open Sans"/>
        </w:rPr>
        <w:t xml:space="preserve">the </w:t>
      </w:r>
      <w:r w:rsidR="00BF0B78">
        <w:rPr>
          <w:rFonts w:ascii="Open Sans" w:hAnsi="Open Sans" w:cs="Open Sans"/>
        </w:rPr>
        <w:t>end of February 2025</w:t>
      </w:r>
      <w:r w:rsidR="004D7160">
        <w:rPr>
          <w:rFonts w:ascii="Open Sans" w:hAnsi="Open Sans" w:cs="Open Sans"/>
        </w:rPr>
        <w:t>. This committee</w:t>
      </w:r>
      <w:r w:rsidR="00BF0B78">
        <w:rPr>
          <w:rFonts w:ascii="Open Sans" w:hAnsi="Open Sans" w:cs="Open Sans"/>
        </w:rPr>
        <w:t xml:space="preserve"> will have the responsibility for making decisions in relation to clinical recommendations and </w:t>
      </w:r>
      <w:r w:rsidR="004D7160">
        <w:rPr>
          <w:rFonts w:ascii="Open Sans" w:hAnsi="Open Sans" w:cs="Open Sans"/>
        </w:rPr>
        <w:t xml:space="preserve">to </w:t>
      </w:r>
      <w:r w:rsidR="00BF0B78">
        <w:rPr>
          <w:rFonts w:ascii="Open Sans" w:hAnsi="Open Sans" w:cs="Open Sans"/>
        </w:rPr>
        <w:t>monitor and review all quality and safety data related to clinical care and incidents.</w:t>
      </w:r>
    </w:p>
    <w:p w14:paraId="4DB6709A" w14:textId="5CDC7DAF" w:rsidR="00BF0B78" w:rsidRDefault="00BF0B78" w:rsidP="00B1417C">
      <w:pPr>
        <w:pStyle w:val="NormalArial"/>
        <w:rPr>
          <w:rFonts w:ascii="Open Sans" w:hAnsi="Open Sans" w:cs="Open Sans"/>
        </w:rPr>
      </w:pPr>
      <w:r>
        <w:rPr>
          <w:rFonts w:ascii="Open Sans" w:hAnsi="Open Sans" w:cs="Open Sans"/>
        </w:rPr>
        <w:lastRenderedPageBreak/>
        <w:t xml:space="preserve">The provider acknowledges the deficits identified in the Assessment Team’s report and included actions taken </w:t>
      </w:r>
      <w:r w:rsidR="00F54A0D">
        <w:rPr>
          <w:rFonts w:ascii="Open Sans" w:hAnsi="Open Sans" w:cs="Open Sans"/>
        </w:rPr>
        <w:t>subsequent to the assessment contact</w:t>
      </w:r>
      <w:r>
        <w:rPr>
          <w:rFonts w:ascii="Open Sans" w:hAnsi="Open Sans" w:cs="Open Sans"/>
        </w:rPr>
        <w:t xml:space="preserve"> in their response. Actions included the engagement of clinical services and business governance advisors to enhance the organisation</w:t>
      </w:r>
      <w:r w:rsidR="004D7160">
        <w:rPr>
          <w:rFonts w:ascii="Open Sans" w:hAnsi="Open Sans" w:cs="Open Sans"/>
        </w:rPr>
        <w:t>’</w:t>
      </w:r>
      <w:r>
        <w:rPr>
          <w:rFonts w:ascii="Open Sans" w:hAnsi="Open Sans" w:cs="Open Sans"/>
        </w:rPr>
        <w:t>s governance framework</w:t>
      </w:r>
      <w:r w:rsidR="00F54A0D">
        <w:rPr>
          <w:rFonts w:ascii="Open Sans" w:hAnsi="Open Sans" w:cs="Open Sans"/>
        </w:rPr>
        <w:t>;</w:t>
      </w:r>
      <w:r>
        <w:rPr>
          <w:rFonts w:ascii="Open Sans" w:hAnsi="Open Sans" w:cs="Open Sans"/>
        </w:rPr>
        <w:t xml:space="preserve"> a daily clinical monitoring system centrally monitored by a clinician</w:t>
      </w:r>
      <w:r w:rsidR="00F54A0D">
        <w:rPr>
          <w:rFonts w:ascii="Open Sans" w:hAnsi="Open Sans" w:cs="Open Sans"/>
        </w:rPr>
        <w:t>;</w:t>
      </w:r>
      <w:r>
        <w:rPr>
          <w:rFonts w:ascii="Open Sans" w:hAnsi="Open Sans" w:cs="Open Sans"/>
        </w:rPr>
        <w:t xml:space="preserve"> and engagement of external quality assessors to conduct assessments at service level. The provider included planned actions</w:t>
      </w:r>
      <w:r w:rsidR="004D7160">
        <w:rPr>
          <w:rFonts w:ascii="Open Sans" w:hAnsi="Open Sans" w:cs="Open Sans"/>
        </w:rPr>
        <w:t>,</w:t>
      </w:r>
      <w:r>
        <w:rPr>
          <w:rFonts w:ascii="Open Sans" w:hAnsi="Open Sans" w:cs="Open Sans"/>
        </w:rPr>
        <w:t xml:space="preserve"> </w:t>
      </w:r>
      <w:r w:rsidR="00F54A0D">
        <w:rPr>
          <w:rFonts w:ascii="Open Sans" w:hAnsi="Open Sans" w:cs="Open Sans"/>
        </w:rPr>
        <w:t xml:space="preserve">such as </w:t>
      </w:r>
      <w:r>
        <w:rPr>
          <w:rFonts w:ascii="Open Sans" w:hAnsi="Open Sans" w:cs="Open Sans"/>
        </w:rPr>
        <w:t xml:space="preserve">training for all staff in relation to </w:t>
      </w:r>
      <w:r w:rsidR="00D92F65">
        <w:rPr>
          <w:rFonts w:ascii="Open Sans" w:hAnsi="Open Sans" w:cs="Open Sans"/>
        </w:rPr>
        <w:t xml:space="preserve">high impact </w:t>
      </w:r>
      <w:r w:rsidR="004D7160">
        <w:rPr>
          <w:rFonts w:ascii="Open Sans" w:hAnsi="Open Sans" w:cs="Open Sans"/>
        </w:rPr>
        <w:t xml:space="preserve">or </w:t>
      </w:r>
      <w:r w:rsidR="00D92F65">
        <w:rPr>
          <w:rFonts w:ascii="Open Sans" w:hAnsi="Open Sans" w:cs="Open Sans"/>
        </w:rPr>
        <w:t>high prevalence risks and clinical governance, and the implementation of a clinical governance committee with a first meeting to occur during March 2025.</w:t>
      </w:r>
    </w:p>
    <w:p w14:paraId="6A7119FF" w14:textId="78C5DE19" w:rsidR="00D92F65" w:rsidRDefault="00D92F65" w:rsidP="00B1417C">
      <w:pPr>
        <w:pStyle w:val="NormalArial"/>
        <w:rPr>
          <w:rFonts w:ascii="Open Sans" w:hAnsi="Open Sans" w:cs="Open Sans"/>
        </w:rPr>
      </w:pPr>
      <w:r>
        <w:rPr>
          <w:rFonts w:ascii="Open Sans" w:hAnsi="Open Sans" w:cs="Open Sans"/>
        </w:rPr>
        <w:t>I acknowledge the actions taken and planned included in the provider</w:t>
      </w:r>
      <w:r w:rsidR="004D7160">
        <w:rPr>
          <w:rFonts w:ascii="Open Sans" w:hAnsi="Open Sans" w:cs="Open Sans"/>
        </w:rPr>
        <w:t>’</w:t>
      </w:r>
      <w:r>
        <w:rPr>
          <w:rFonts w:ascii="Open Sans" w:hAnsi="Open Sans" w:cs="Open Sans"/>
        </w:rPr>
        <w:t xml:space="preserve">s response. However, I find the </w:t>
      </w:r>
      <w:r w:rsidR="004D7160">
        <w:rPr>
          <w:rFonts w:ascii="Open Sans" w:hAnsi="Open Sans" w:cs="Open Sans"/>
        </w:rPr>
        <w:t xml:space="preserve">organisation </w:t>
      </w:r>
      <w:r>
        <w:rPr>
          <w:rFonts w:ascii="Open Sans" w:hAnsi="Open Sans" w:cs="Open Sans"/>
        </w:rPr>
        <w:t>does not have effective risk management or clinical governance systems. I</w:t>
      </w:r>
      <w:r w:rsidR="004D7160">
        <w:rPr>
          <w:rFonts w:ascii="Open Sans" w:hAnsi="Open Sans" w:cs="Open Sans"/>
        </w:rPr>
        <w:t>n</w:t>
      </w:r>
      <w:r>
        <w:rPr>
          <w:rFonts w:ascii="Open Sans" w:hAnsi="Open Sans" w:cs="Open Sans"/>
        </w:rPr>
        <w:t xml:space="preserve"> coming to my finding, I have considered</w:t>
      </w:r>
      <w:r w:rsidR="00795EB3">
        <w:rPr>
          <w:rFonts w:ascii="Open Sans" w:hAnsi="Open Sans" w:cs="Open Sans"/>
        </w:rPr>
        <w:t xml:space="preserve"> information in the Assessment Team’s report in Standards 2 and 3 that show</w:t>
      </w:r>
      <w:r w:rsidR="00F54A0D">
        <w:rPr>
          <w:rFonts w:ascii="Open Sans" w:hAnsi="Open Sans" w:cs="Open Sans"/>
        </w:rPr>
        <w:t>s</w:t>
      </w:r>
      <w:r w:rsidR="00795EB3">
        <w:rPr>
          <w:rFonts w:ascii="Open Sans" w:hAnsi="Open Sans" w:cs="Open Sans"/>
        </w:rPr>
        <w:t xml:space="preserve"> risk is not consistently considered in the assessment and planning process or risk assessments completed</w:t>
      </w:r>
      <w:r w:rsidR="004D7160">
        <w:rPr>
          <w:rFonts w:ascii="Open Sans" w:hAnsi="Open Sans" w:cs="Open Sans"/>
        </w:rPr>
        <w:t xml:space="preserve">. Additionally, </w:t>
      </w:r>
      <w:r w:rsidR="00795EB3">
        <w:rPr>
          <w:rFonts w:ascii="Open Sans" w:hAnsi="Open Sans" w:cs="Open Sans"/>
        </w:rPr>
        <w:t>where risks</w:t>
      </w:r>
      <w:r w:rsidR="004D7160">
        <w:rPr>
          <w:rFonts w:ascii="Open Sans" w:hAnsi="Open Sans" w:cs="Open Sans"/>
        </w:rPr>
        <w:t>,</w:t>
      </w:r>
      <w:r w:rsidR="00795EB3">
        <w:rPr>
          <w:rFonts w:ascii="Open Sans" w:hAnsi="Open Sans" w:cs="Open Sans"/>
        </w:rPr>
        <w:t xml:space="preserve"> including falls, wounds, behaviours and choking are identified</w:t>
      </w:r>
      <w:r w:rsidR="00F54A0D">
        <w:rPr>
          <w:rFonts w:ascii="Open Sans" w:hAnsi="Open Sans" w:cs="Open Sans"/>
        </w:rPr>
        <w:t>,</w:t>
      </w:r>
      <w:r w:rsidR="00795EB3">
        <w:rPr>
          <w:rFonts w:ascii="Open Sans" w:hAnsi="Open Sans" w:cs="Open Sans"/>
        </w:rPr>
        <w:t xml:space="preserve"> incident</w:t>
      </w:r>
      <w:r w:rsidR="004D7160">
        <w:rPr>
          <w:rFonts w:ascii="Open Sans" w:hAnsi="Open Sans" w:cs="Open Sans"/>
        </w:rPr>
        <w:t xml:space="preserve"> forms</w:t>
      </w:r>
      <w:r w:rsidR="00795EB3">
        <w:rPr>
          <w:rFonts w:ascii="Open Sans" w:hAnsi="Open Sans" w:cs="Open Sans"/>
        </w:rPr>
        <w:t xml:space="preserve"> are not completed and the risk management systems in place have not identified those gaps through the review and analysis process. In relation to high impact </w:t>
      </w:r>
      <w:r w:rsidR="004D7160">
        <w:rPr>
          <w:rFonts w:ascii="Open Sans" w:hAnsi="Open Sans" w:cs="Open Sans"/>
        </w:rPr>
        <w:t xml:space="preserve">or </w:t>
      </w:r>
      <w:r w:rsidR="00795EB3">
        <w:rPr>
          <w:rFonts w:ascii="Open Sans" w:hAnsi="Open Sans" w:cs="Open Sans"/>
        </w:rPr>
        <w:t>high prevalence risks</w:t>
      </w:r>
      <w:r w:rsidR="004D7160">
        <w:rPr>
          <w:rFonts w:ascii="Open Sans" w:hAnsi="Open Sans" w:cs="Open Sans"/>
        </w:rPr>
        <w:t>,</w:t>
      </w:r>
      <w:r w:rsidR="00795EB3">
        <w:rPr>
          <w:rFonts w:ascii="Open Sans" w:hAnsi="Open Sans" w:cs="Open Sans"/>
        </w:rPr>
        <w:t xml:space="preserve"> the incident management system did not identify</w:t>
      </w:r>
      <w:r w:rsidR="004D7160">
        <w:rPr>
          <w:rFonts w:ascii="Open Sans" w:hAnsi="Open Sans" w:cs="Open Sans"/>
        </w:rPr>
        <w:t xml:space="preserve"> that</w:t>
      </w:r>
      <w:r w:rsidR="00795EB3">
        <w:rPr>
          <w:rFonts w:ascii="Open Sans" w:hAnsi="Open Sans" w:cs="Open Sans"/>
        </w:rPr>
        <w:t xml:space="preserve"> where incidents have occurred ways to mitigate those risks</w:t>
      </w:r>
      <w:r w:rsidR="00C25D77">
        <w:rPr>
          <w:rFonts w:ascii="Open Sans" w:hAnsi="Open Sans" w:cs="Open Sans"/>
        </w:rPr>
        <w:t xml:space="preserve"> are identified and implemented to prevent recurrence, and </w:t>
      </w:r>
      <w:r w:rsidR="00795EB3">
        <w:rPr>
          <w:rFonts w:ascii="Open Sans" w:hAnsi="Open Sans" w:cs="Open Sans"/>
        </w:rPr>
        <w:t>staff are not consistently reporting</w:t>
      </w:r>
      <w:r w:rsidR="00C25D77">
        <w:rPr>
          <w:rFonts w:ascii="Open Sans" w:hAnsi="Open Sans" w:cs="Open Sans"/>
        </w:rPr>
        <w:t xml:space="preserve"> incidents</w:t>
      </w:r>
      <w:r w:rsidR="00795EB3">
        <w:rPr>
          <w:rFonts w:ascii="Open Sans" w:hAnsi="Open Sans" w:cs="Open Sans"/>
        </w:rPr>
        <w:t>. I have also considered information that shows restrictive practices are in place without being applied as a last resort, monitored for effectiveness, reviewed or with informed consent</w:t>
      </w:r>
      <w:r w:rsidR="004D7160">
        <w:rPr>
          <w:rFonts w:ascii="Open Sans" w:hAnsi="Open Sans" w:cs="Open Sans"/>
        </w:rPr>
        <w:t>,</w:t>
      </w:r>
      <w:r w:rsidR="00795EB3">
        <w:rPr>
          <w:rFonts w:ascii="Open Sans" w:hAnsi="Open Sans" w:cs="Open Sans"/>
        </w:rPr>
        <w:t xml:space="preserve"> and the governance systems in place</w:t>
      </w:r>
      <w:r w:rsidR="004D7160">
        <w:rPr>
          <w:rFonts w:ascii="Open Sans" w:hAnsi="Open Sans" w:cs="Open Sans"/>
        </w:rPr>
        <w:t>,</w:t>
      </w:r>
      <w:r w:rsidR="00795EB3">
        <w:rPr>
          <w:rFonts w:ascii="Open Sans" w:hAnsi="Open Sans" w:cs="Open Sans"/>
        </w:rPr>
        <w:t xml:space="preserve"> </w:t>
      </w:r>
      <w:r w:rsidR="008416F4">
        <w:rPr>
          <w:rFonts w:ascii="Open Sans" w:hAnsi="Open Sans" w:cs="Open Sans"/>
        </w:rPr>
        <w:t>including risk management and clinical</w:t>
      </w:r>
      <w:r w:rsidR="00795EB3">
        <w:rPr>
          <w:rFonts w:ascii="Open Sans" w:hAnsi="Open Sans" w:cs="Open Sans"/>
        </w:rPr>
        <w:t xml:space="preserve"> </w:t>
      </w:r>
      <w:r w:rsidR="00F54A0D">
        <w:rPr>
          <w:rFonts w:ascii="Open Sans" w:hAnsi="Open Sans" w:cs="Open Sans"/>
        </w:rPr>
        <w:t xml:space="preserve">governance </w:t>
      </w:r>
      <w:r w:rsidR="00795EB3">
        <w:rPr>
          <w:rFonts w:ascii="Open Sans" w:hAnsi="Open Sans" w:cs="Open Sans"/>
        </w:rPr>
        <w:t>have not identified these deficiencies</w:t>
      </w:r>
      <w:r w:rsidR="008416F4">
        <w:rPr>
          <w:rFonts w:ascii="Open Sans" w:hAnsi="Open Sans" w:cs="Open Sans"/>
        </w:rPr>
        <w:t xml:space="preserve"> to improve outcomes for consumers.</w:t>
      </w:r>
    </w:p>
    <w:p w14:paraId="634A754E" w14:textId="3B58C540" w:rsidR="008416F4" w:rsidRDefault="00A003DC" w:rsidP="00B1417C">
      <w:pPr>
        <w:pStyle w:val="NormalArial"/>
        <w:rPr>
          <w:rFonts w:ascii="Open Sans" w:hAnsi="Open Sans" w:cs="Open Sans"/>
        </w:rPr>
      </w:pPr>
      <w:r>
        <w:rPr>
          <w:rFonts w:ascii="Open Sans" w:hAnsi="Open Sans" w:cs="Open Sans"/>
        </w:rPr>
        <w:t xml:space="preserve">I acknowledge the actions the provider has included in their response </w:t>
      </w:r>
      <w:r w:rsidR="00F54A0D">
        <w:rPr>
          <w:rFonts w:ascii="Open Sans" w:hAnsi="Open Sans" w:cs="Open Sans"/>
        </w:rPr>
        <w:t xml:space="preserve">which were </w:t>
      </w:r>
      <w:r>
        <w:rPr>
          <w:rFonts w:ascii="Open Sans" w:hAnsi="Open Sans" w:cs="Open Sans"/>
        </w:rPr>
        <w:t xml:space="preserve">immediately taken or planned to address the deficiencies identified in their risk and clinical governance processes. However, I have considered the risks and deficits identified in various areas of the service’s governance systems with poor outcomes for multiple </w:t>
      </w:r>
      <w:r w:rsidR="00C25D77">
        <w:rPr>
          <w:rFonts w:ascii="Open Sans" w:hAnsi="Open Sans" w:cs="Open Sans"/>
        </w:rPr>
        <w:t>consumers and</w:t>
      </w:r>
      <w:r w:rsidR="009676EA">
        <w:rPr>
          <w:rFonts w:ascii="Open Sans" w:hAnsi="Open Sans" w:cs="Open Sans"/>
        </w:rPr>
        <w:t xml:space="preserve"> find </w:t>
      </w:r>
      <w:r>
        <w:rPr>
          <w:rFonts w:ascii="Open Sans" w:hAnsi="Open Sans" w:cs="Open Sans"/>
        </w:rPr>
        <w:t>the actions the provider has taken and plans to take will need more time to be fully embedded to improve consumer outcomes.</w:t>
      </w:r>
    </w:p>
    <w:p w14:paraId="68EFAAF6" w14:textId="379E111E" w:rsidR="00A003DC" w:rsidRPr="004116AC" w:rsidRDefault="00A003DC" w:rsidP="00B1417C">
      <w:pPr>
        <w:pStyle w:val="NormalArial"/>
        <w:rPr>
          <w:rFonts w:ascii="Open Sans" w:hAnsi="Open Sans" w:cs="Open Sans"/>
        </w:rPr>
      </w:pPr>
      <w:r>
        <w:rPr>
          <w:rFonts w:ascii="Open Sans" w:hAnsi="Open Sans" w:cs="Open Sans"/>
        </w:rPr>
        <w:t>For the reasons above, I find requirements 8(3)(d) and 8(3)(e) non-compliant.</w:t>
      </w:r>
    </w:p>
    <w:sectPr w:rsidR="00A003DC" w:rsidRPr="004116AC" w:rsidSect="00EF6BEB">
      <w:headerReference w:type="default" r:id="rId12"/>
      <w:footerReference w:type="default" r:id="rId13"/>
      <w:headerReference w:type="first" r:id="rId14"/>
      <w:footerReference w:type="first" r:id="rId15"/>
      <w:pgSz w:w="11906" w:h="16838" w:code="9"/>
      <w:pgMar w:top="1440" w:right="1133"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5E26" w14:textId="77777777" w:rsidR="00060F1F" w:rsidRDefault="00060F1F">
      <w:pPr>
        <w:spacing w:after="0"/>
      </w:pPr>
      <w:r>
        <w:separator/>
      </w:r>
    </w:p>
  </w:endnote>
  <w:endnote w:type="continuationSeparator" w:id="0">
    <w:p w14:paraId="093C52DF" w14:textId="77777777" w:rsidR="00060F1F" w:rsidRDefault="00060F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02F6" w14:textId="77777777" w:rsidR="00602F73" w:rsidRPr="00DF37F2" w:rsidRDefault="009676E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Guildford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7E088BC" w14:textId="77777777" w:rsidR="00602F73" w:rsidRPr="00DF37F2" w:rsidRDefault="009676E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7204</w:t>
    </w:r>
    <w:bookmarkEnd w:id="1"/>
    <w:r w:rsidRPr="00DF37F2">
      <w:rPr>
        <w:rStyle w:val="FooterBold"/>
        <w:rFonts w:ascii="Arial" w:hAnsi="Arial"/>
        <w:b w:val="0"/>
      </w:rPr>
      <w:tab/>
      <w:t xml:space="preserve">OFFICIAL: Sensitive </w:t>
    </w:r>
  </w:p>
  <w:p w14:paraId="5BEA6751" w14:textId="77777777" w:rsidR="00602F73" w:rsidRPr="00DF37F2" w:rsidRDefault="009676E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BFB2" w14:textId="77777777" w:rsidR="00602F73" w:rsidRDefault="00602F7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3A28" w14:textId="77777777" w:rsidR="00060F1F" w:rsidRDefault="00060F1F" w:rsidP="00D71F88">
      <w:pPr>
        <w:spacing w:after="0"/>
      </w:pPr>
      <w:r>
        <w:separator/>
      </w:r>
    </w:p>
  </w:footnote>
  <w:footnote w:type="continuationSeparator" w:id="0">
    <w:p w14:paraId="1D63EBEB" w14:textId="77777777" w:rsidR="00060F1F" w:rsidRDefault="00060F1F" w:rsidP="00D71F88">
      <w:pPr>
        <w:spacing w:after="0"/>
      </w:pPr>
      <w:r>
        <w:continuationSeparator/>
      </w:r>
    </w:p>
  </w:footnote>
  <w:footnote w:id="1">
    <w:p w14:paraId="64DC7693" w14:textId="69AE1E7B" w:rsidR="00602F73" w:rsidRPr="00EF6BEB" w:rsidRDefault="009676EA" w:rsidP="00EF6BEB">
      <w:pPr>
        <w:pStyle w:val="FootnoteText"/>
        <w:rPr>
          <w:rFonts w:ascii="Open Sans" w:hAnsi="Open Sans" w:cs="Open Sans"/>
          <w:sz w:val="20"/>
          <w:szCs w:val="20"/>
        </w:rPr>
      </w:pPr>
      <w:r w:rsidRPr="00062A16">
        <w:rPr>
          <w:rStyle w:val="FootnoteReference"/>
          <w:rFonts w:ascii="Open Sans" w:hAnsi="Open Sans" w:cs="Open Sans"/>
        </w:rPr>
        <w:footnoteRef/>
      </w:r>
      <w:r w:rsidRPr="00062A16">
        <w:rPr>
          <w:rFonts w:ascii="Open Sans" w:hAnsi="Open Sans" w:cs="Open Sans"/>
        </w:rPr>
        <w:t xml:space="preserve"> </w:t>
      </w:r>
      <w:r w:rsidRPr="00062A16">
        <w:rPr>
          <w:rFonts w:ascii="Open Sans" w:hAnsi="Open Sans" w:cs="Open Sans"/>
          <w:sz w:val="20"/>
          <w:szCs w:val="20"/>
        </w:rPr>
        <w:t xml:space="preserve">The preparation of the performance report is in accordance with section </w:t>
      </w:r>
      <w:r w:rsidRPr="00062A16">
        <w:rPr>
          <w:rFonts w:ascii="Open Sans" w:hAnsi="Open Sans" w:cs="Open Sans"/>
          <w:color w:val="auto"/>
          <w:sz w:val="20"/>
          <w:szCs w:val="20"/>
        </w:rPr>
        <w:t>68A</w:t>
      </w:r>
      <w:r w:rsidRPr="00062A16">
        <w:rPr>
          <w:rFonts w:ascii="Open Sans" w:hAnsi="Open Sans" w:cs="Open Sans"/>
          <w:b/>
          <w:color w:val="auto"/>
          <w:sz w:val="20"/>
          <w:szCs w:val="20"/>
        </w:rPr>
        <w:t xml:space="preserve"> </w:t>
      </w:r>
      <w:r w:rsidRPr="00062A16">
        <w:rPr>
          <w:rFonts w:ascii="Open Sans" w:hAnsi="Open Sans" w:cs="Open Sans"/>
          <w:color w:val="auto"/>
          <w:sz w:val="20"/>
          <w:szCs w:val="20"/>
        </w:rPr>
        <w:t>of</w:t>
      </w:r>
      <w:r w:rsidRPr="00062A16">
        <w:rPr>
          <w:rFonts w:ascii="Open Sans" w:hAnsi="Open Sans" w:cs="Open Sans"/>
          <w:sz w:val="20"/>
          <w:szCs w:val="20"/>
        </w:rPr>
        <w:t xml:space="preserve">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4203" w14:textId="77777777" w:rsidR="00602F73" w:rsidRDefault="009676EA">
    <w:pPr>
      <w:pStyle w:val="Header"/>
    </w:pPr>
    <w:r>
      <w:rPr>
        <w:noProof/>
        <w:color w:val="2B579A"/>
        <w:shd w:val="clear" w:color="auto" w:fill="E6E6E6"/>
        <w:lang w:val="en-US"/>
      </w:rPr>
      <w:drawing>
        <wp:anchor distT="0" distB="0" distL="114300" distR="114300" simplePos="0" relativeHeight="251658241" behindDoc="1" locked="0" layoutInCell="1" allowOverlap="1" wp14:anchorId="3A158B46" wp14:editId="678CE0E8">
          <wp:simplePos x="0" y="0"/>
          <wp:positionH relativeFrom="page">
            <wp:posOffset>0</wp:posOffset>
          </wp:positionH>
          <wp:positionV relativeFrom="page">
            <wp:posOffset>141605</wp:posOffset>
          </wp:positionV>
          <wp:extent cx="7559675" cy="655320"/>
          <wp:effectExtent l="0" t="0" r="3175" b="635"/>
          <wp:wrapTopAndBottom/>
          <wp:docPr id="301452346" name="Picture 30145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394E" w14:textId="77777777" w:rsidR="00602F73" w:rsidRDefault="009676EA">
    <w:pPr>
      <w:pStyle w:val="Header"/>
    </w:pPr>
    <w:r>
      <w:rPr>
        <w:noProof/>
      </w:rPr>
      <w:drawing>
        <wp:anchor distT="0" distB="0" distL="114300" distR="114300" simplePos="0" relativeHeight="251658240" behindDoc="0" locked="0" layoutInCell="1" allowOverlap="1" wp14:anchorId="229D1460" wp14:editId="7F237685">
          <wp:simplePos x="0" y="0"/>
          <wp:positionH relativeFrom="page">
            <wp:posOffset>17585</wp:posOffset>
          </wp:positionH>
          <wp:positionV relativeFrom="page">
            <wp:posOffset>224302</wp:posOffset>
          </wp:positionV>
          <wp:extent cx="7560000" cy="651600"/>
          <wp:effectExtent l="0" t="0" r="3175" b="0"/>
          <wp:wrapTopAndBottom/>
          <wp:docPr id="1786116149" name="Picture 1786116149"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FE84BF8">
      <w:start w:val="1"/>
      <w:numFmt w:val="lowerRoman"/>
      <w:lvlText w:val="(%1)"/>
      <w:lvlJc w:val="left"/>
      <w:pPr>
        <w:ind w:left="1080" w:hanging="720"/>
      </w:pPr>
      <w:rPr>
        <w:rFonts w:hint="default"/>
      </w:rPr>
    </w:lvl>
    <w:lvl w:ilvl="1" w:tplc="F8E87590" w:tentative="1">
      <w:start w:val="1"/>
      <w:numFmt w:val="lowerLetter"/>
      <w:lvlText w:val="%2."/>
      <w:lvlJc w:val="left"/>
      <w:pPr>
        <w:ind w:left="1440" w:hanging="360"/>
      </w:pPr>
    </w:lvl>
    <w:lvl w:ilvl="2" w:tplc="AD6A401C" w:tentative="1">
      <w:start w:val="1"/>
      <w:numFmt w:val="lowerRoman"/>
      <w:lvlText w:val="%3."/>
      <w:lvlJc w:val="right"/>
      <w:pPr>
        <w:ind w:left="2160" w:hanging="180"/>
      </w:pPr>
    </w:lvl>
    <w:lvl w:ilvl="3" w:tplc="F20A2818" w:tentative="1">
      <w:start w:val="1"/>
      <w:numFmt w:val="decimal"/>
      <w:lvlText w:val="%4."/>
      <w:lvlJc w:val="left"/>
      <w:pPr>
        <w:ind w:left="2880" w:hanging="360"/>
      </w:pPr>
    </w:lvl>
    <w:lvl w:ilvl="4" w:tplc="79285ECE" w:tentative="1">
      <w:start w:val="1"/>
      <w:numFmt w:val="lowerLetter"/>
      <w:lvlText w:val="%5."/>
      <w:lvlJc w:val="left"/>
      <w:pPr>
        <w:ind w:left="3600" w:hanging="360"/>
      </w:pPr>
    </w:lvl>
    <w:lvl w:ilvl="5" w:tplc="947CBD1E" w:tentative="1">
      <w:start w:val="1"/>
      <w:numFmt w:val="lowerRoman"/>
      <w:lvlText w:val="%6."/>
      <w:lvlJc w:val="right"/>
      <w:pPr>
        <w:ind w:left="4320" w:hanging="180"/>
      </w:pPr>
    </w:lvl>
    <w:lvl w:ilvl="6" w:tplc="CECCF9CC" w:tentative="1">
      <w:start w:val="1"/>
      <w:numFmt w:val="decimal"/>
      <w:lvlText w:val="%7."/>
      <w:lvlJc w:val="left"/>
      <w:pPr>
        <w:ind w:left="5040" w:hanging="360"/>
      </w:pPr>
    </w:lvl>
    <w:lvl w:ilvl="7" w:tplc="BA6A23AE" w:tentative="1">
      <w:start w:val="1"/>
      <w:numFmt w:val="lowerLetter"/>
      <w:lvlText w:val="%8."/>
      <w:lvlJc w:val="left"/>
      <w:pPr>
        <w:ind w:left="5760" w:hanging="360"/>
      </w:pPr>
    </w:lvl>
    <w:lvl w:ilvl="8" w:tplc="40A6898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650C14E">
      <w:start w:val="1"/>
      <w:numFmt w:val="lowerRoman"/>
      <w:lvlText w:val="(%1)"/>
      <w:lvlJc w:val="left"/>
      <w:pPr>
        <w:ind w:left="1080" w:hanging="720"/>
      </w:pPr>
      <w:rPr>
        <w:rFonts w:hint="default"/>
      </w:rPr>
    </w:lvl>
    <w:lvl w:ilvl="1" w:tplc="75EC63A8" w:tentative="1">
      <w:start w:val="1"/>
      <w:numFmt w:val="lowerLetter"/>
      <w:lvlText w:val="%2."/>
      <w:lvlJc w:val="left"/>
      <w:pPr>
        <w:ind w:left="1440" w:hanging="360"/>
      </w:pPr>
    </w:lvl>
    <w:lvl w:ilvl="2" w:tplc="A542731C" w:tentative="1">
      <w:start w:val="1"/>
      <w:numFmt w:val="lowerRoman"/>
      <w:lvlText w:val="%3."/>
      <w:lvlJc w:val="right"/>
      <w:pPr>
        <w:ind w:left="2160" w:hanging="180"/>
      </w:pPr>
    </w:lvl>
    <w:lvl w:ilvl="3" w:tplc="6704747E" w:tentative="1">
      <w:start w:val="1"/>
      <w:numFmt w:val="decimal"/>
      <w:lvlText w:val="%4."/>
      <w:lvlJc w:val="left"/>
      <w:pPr>
        <w:ind w:left="2880" w:hanging="360"/>
      </w:pPr>
    </w:lvl>
    <w:lvl w:ilvl="4" w:tplc="722ECA9C" w:tentative="1">
      <w:start w:val="1"/>
      <w:numFmt w:val="lowerLetter"/>
      <w:lvlText w:val="%5."/>
      <w:lvlJc w:val="left"/>
      <w:pPr>
        <w:ind w:left="3600" w:hanging="360"/>
      </w:pPr>
    </w:lvl>
    <w:lvl w:ilvl="5" w:tplc="80E2CE6A" w:tentative="1">
      <w:start w:val="1"/>
      <w:numFmt w:val="lowerRoman"/>
      <w:lvlText w:val="%6."/>
      <w:lvlJc w:val="right"/>
      <w:pPr>
        <w:ind w:left="4320" w:hanging="180"/>
      </w:pPr>
    </w:lvl>
    <w:lvl w:ilvl="6" w:tplc="32BA748E" w:tentative="1">
      <w:start w:val="1"/>
      <w:numFmt w:val="decimal"/>
      <w:lvlText w:val="%7."/>
      <w:lvlJc w:val="left"/>
      <w:pPr>
        <w:ind w:left="5040" w:hanging="360"/>
      </w:pPr>
    </w:lvl>
    <w:lvl w:ilvl="7" w:tplc="F5B0F3EE" w:tentative="1">
      <w:start w:val="1"/>
      <w:numFmt w:val="lowerLetter"/>
      <w:lvlText w:val="%8."/>
      <w:lvlJc w:val="left"/>
      <w:pPr>
        <w:ind w:left="5760" w:hanging="360"/>
      </w:pPr>
    </w:lvl>
    <w:lvl w:ilvl="8" w:tplc="74020B4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AF832BC">
      <w:start w:val="1"/>
      <w:numFmt w:val="lowerRoman"/>
      <w:lvlText w:val="(%1)"/>
      <w:lvlJc w:val="left"/>
      <w:pPr>
        <w:ind w:left="1080" w:hanging="720"/>
      </w:pPr>
      <w:rPr>
        <w:rFonts w:hint="default"/>
      </w:rPr>
    </w:lvl>
    <w:lvl w:ilvl="1" w:tplc="BA04B22C" w:tentative="1">
      <w:start w:val="1"/>
      <w:numFmt w:val="lowerLetter"/>
      <w:lvlText w:val="%2."/>
      <w:lvlJc w:val="left"/>
      <w:pPr>
        <w:ind w:left="1440" w:hanging="360"/>
      </w:pPr>
    </w:lvl>
    <w:lvl w:ilvl="2" w:tplc="CB843EBA" w:tentative="1">
      <w:start w:val="1"/>
      <w:numFmt w:val="lowerRoman"/>
      <w:lvlText w:val="%3."/>
      <w:lvlJc w:val="right"/>
      <w:pPr>
        <w:ind w:left="2160" w:hanging="180"/>
      </w:pPr>
    </w:lvl>
    <w:lvl w:ilvl="3" w:tplc="E200ACF6" w:tentative="1">
      <w:start w:val="1"/>
      <w:numFmt w:val="decimal"/>
      <w:lvlText w:val="%4."/>
      <w:lvlJc w:val="left"/>
      <w:pPr>
        <w:ind w:left="2880" w:hanging="360"/>
      </w:pPr>
    </w:lvl>
    <w:lvl w:ilvl="4" w:tplc="DB562CC2" w:tentative="1">
      <w:start w:val="1"/>
      <w:numFmt w:val="lowerLetter"/>
      <w:lvlText w:val="%5."/>
      <w:lvlJc w:val="left"/>
      <w:pPr>
        <w:ind w:left="3600" w:hanging="360"/>
      </w:pPr>
    </w:lvl>
    <w:lvl w:ilvl="5" w:tplc="90CC6ED6" w:tentative="1">
      <w:start w:val="1"/>
      <w:numFmt w:val="lowerRoman"/>
      <w:lvlText w:val="%6."/>
      <w:lvlJc w:val="right"/>
      <w:pPr>
        <w:ind w:left="4320" w:hanging="180"/>
      </w:pPr>
    </w:lvl>
    <w:lvl w:ilvl="6" w:tplc="7F58D048" w:tentative="1">
      <w:start w:val="1"/>
      <w:numFmt w:val="decimal"/>
      <w:lvlText w:val="%7."/>
      <w:lvlJc w:val="left"/>
      <w:pPr>
        <w:ind w:left="5040" w:hanging="360"/>
      </w:pPr>
    </w:lvl>
    <w:lvl w:ilvl="7" w:tplc="DE343016" w:tentative="1">
      <w:start w:val="1"/>
      <w:numFmt w:val="lowerLetter"/>
      <w:lvlText w:val="%8."/>
      <w:lvlJc w:val="left"/>
      <w:pPr>
        <w:ind w:left="5760" w:hanging="360"/>
      </w:pPr>
    </w:lvl>
    <w:lvl w:ilvl="8" w:tplc="2D7088B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45896FA">
      <w:start w:val="1"/>
      <w:numFmt w:val="bullet"/>
      <w:lvlText w:val=""/>
      <w:lvlJc w:val="left"/>
      <w:pPr>
        <w:ind w:left="720" w:hanging="360"/>
      </w:pPr>
      <w:rPr>
        <w:rFonts w:ascii="Symbol" w:hAnsi="Symbol" w:hint="default"/>
        <w:color w:val="auto"/>
        <w:sz w:val="24"/>
        <w:szCs w:val="24"/>
      </w:rPr>
    </w:lvl>
    <w:lvl w:ilvl="1" w:tplc="9C18C714" w:tentative="1">
      <w:start w:val="1"/>
      <w:numFmt w:val="bullet"/>
      <w:lvlText w:val="o"/>
      <w:lvlJc w:val="left"/>
      <w:pPr>
        <w:ind w:left="1440" w:hanging="360"/>
      </w:pPr>
      <w:rPr>
        <w:rFonts w:ascii="Courier New" w:hAnsi="Courier New" w:cs="Courier New" w:hint="default"/>
      </w:rPr>
    </w:lvl>
    <w:lvl w:ilvl="2" w:tplc="C3D087B4" w:tentative="1">
      <w:start w:val="1"/>
      <w:numFmt w:val="bullet"/>
      <w:lvlText w:val=""/>
      <w:lvlJc w:val="left"/>
      <w:pPr>
        <w:ind w:left="2160" w:hanging="360"/>
      </w:pPr>
      <w:rPr>
        <w:rFonts w:ascii="Wingdings" w:hAnsi="Wingdings" w:hint="default"/>
      </w:rPr>
    </w:lvl>
    <w:lvl w:ilvl="3" w:tplc="792E7DBE" w:tentative="1">
      <w:start w:val="1"/>
      <w:numFmt w:val="bullet"/>
      <w:lvlText w:val=""/>
      <w:lvlJc w:val="left"/>
      <w:pPr>
        <w:ind w:left="2880" w:hanging="360"/>
      </w:pPr>
      <w:rPr>
        <w:rFonts w:ascii="Symbol" w:hAnsi="Symbol" w:hint="default"/>
      </w:rPr>
    </w:lvl>
    <w:lvl w:ilvl="4" w:tplc="651A2E70" w:tentative="1">
      <w:start w:val="1"/>
      <w:numFmt w:val="bullet"/>
      <w:lvlText w:val="o"/>
      <w:lvlJc w:val="left"/>
      <w:pPr>
        <w:ind w:left="3600" w:hanging="360"/>
      </w:pPr>
      <w:rPr>
        <w:rFonts w:ascii="Courier New" w:hAnsi="Courier New" w:cs="Courier New" w:hint="default"/>
      </w:rPr>
    </w:lvl>
    <w:lvl w:ilvl="5" w:tplc="0F3A7F26" w:tentative="1">
      <w:start w:val="1"/>
      <w:numFmt w:val="bullet"/>
      <w:lvlText w:val=""/>
      <w:lvlJc w:val="left"/>
      <w:pPr>
        <w:ind w:left="4320" w:hanging="360"/>
      </w:pPr>
      <w:rPr>
        <w:rFonts w:ascii="Wingdings" w:hAnsi="Wingdings" w:hint="default"/>
      </w:rPr>
    </w:lvl>
    <w:lvl w:ilvl="6" w:tplc="77022AC6" w:tentative="1">
      <w:start w:val="1"/>
      <w:numFmt w:val="bullet"/>
      <w:lvlText w:val=""/>
      <w:lvlJc w:val="left"/>
      <w:pPr>
        <w:ind w:left="5040" w:hanging="360"/>
      </w:pPr>
      <w:rPr>
        <w:rFonts w:ascii="Symbol" w:hAnsi="Symbol" w:hint="default"/>
      </w:rPr>
    </w:lvl>
    <w:lvl w:ilvl="7" w:tplc="75B88EA4" w:tentative="1">
      <w:start w:val="1"/>
      <w:numFmt w:val="bullet"/>
      <w:lvlText w:val="o"/>
      <w:lvlJc w:val="left"/>
      <w:pPr>
        <w:ind w:left="5760" w:hanging="360"/>
      </w:pPr>
      <w:rPr>
        <w:rFonts w:ascii="Courier New" w:hAnsi="Courier New" w:cs="Courier New" w:hint="default"/>
      </w:rPr>
    </w:lvl>
    <w:lvl w:ilvl="8" w:tplc="C434ABD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98C0A46">
      <w:start w:val="1"/>
      <w:numFmt w:val="lowerRoman"/>
      <w:lvlText w:val="(%1)"/>
      <w:lvlJc w:val="left"/>
      <w:pPr>
        <w:ind w:left="1080" w:hanging="720"/>
      </w:pPr>
      <w:rPr>
        <w:rFonts w:hint="default"/>
      </w:rPr>
    </w:lvl>
    <w:lvl w:ilvl="1" w:tplc="A2D0926E" w:tentative="1">
      <w:start w:val="1"/>
      <w:numFmt w:val="lowerLetter"/>
      <w:lvlText w:val="%2."/>
      <w:lvlJc w:val="left"/>
      <w:pPr>
        <w:ind w:left="1440" w:hanging="360"/>
      </w:pPr>
    </w:lvl>
    <w:lvl w:ilvl="2" w:tplc="11A07C9C" w:tentative="1">
      <w:start w:val="1"/>
      <w:numFmt w:val="lowerRoman"/>
      <w:lvlText w:val="%3."/>
      <w:lvlJc w:val="right"/>
      <w:pPr>
        <w:ind w:left="2160" w:hanging="180"/>
      </w:pPr>
    </w:lvl>
    <w:lvl w:ilvl="3" w:tplc="CD6EADDC" w:tentative="1">
      <w:start w:val="1"/>
      <w:numFmt w:val="decimal"/>
      <w:lvlText w:val="%4."/>
      <w:lvlJc w:val="left"/>
      <w:pPr>
        <w:ind w:left="2880" w:hanging="360"/>
      </w:pPr>
    </w:lvl>
    <w:lvl w:ilvl="4" w:tplc="65D8919C" w:tentative="1">
      <w:start w:val="1"/>
      <w:numFmt w:val="lowerLetter"/>
      <w:lvlText w:val="%5."/>
      <w:lvlJc w:val="left"/>
      <w:pPr>
        <w:ind w:left="3600" w:hanging="360"/>
      </w:pPr>
    </w:lvl>
    <w:lvl w:ilvl="5" w:tplc="7D163E6A" w:tentative="1">
      <w:start w:val="1"/>
      <w:numFmt w:val="lowerRoman"/>
      <w:lvlText w:val="%6."/>
      <w:lvlJc w:val="right"/>
      <w:pPr>
        <w:ind w:left="4320" w:hanging="180"/>
      </w:pPr>
    </w:lvl>
    <w:lvl w:ilvl="6" w:tplc="DECE0BC4" w:tentative="1">
      <w:start w:val="1"/>
      <w:numFmt w:val="decimal"/>
      <w:lvlText w:val="%7."/>
      <w:lvlJc w:val="left"/>
      <w:pPr>
        <w:ind w:left="5040" w:hanging="360"/>
      </w:pPr>
    </w:lvl>
    <w:lvl w:ilvl="7" w:tplc="E42AA56E" w:tentative="1">
      <w:start w:val="1"/>
      <w:numFmt w:val="lowerLetter"/>
      <w:lvlText w:val="%8."/>
      <w:lvlJc w:val="left"/>
      <w:pPr>
        <w:ind w:left="5760" w:hanging="360"/>
      </w:pPr>
    </w:lvl>
    <w:lvl w:ilvl="8" w:tplc="FE26C48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FD8DB2C">
      <w:start w:val="1"/>
      <w:numFmt w:val="lowerRoman"/>
      <w:lvlText w:val="(%1)"/>
      <w:lvlJc w:val="left"/>
      <w:pPr>
        <w:ind w:left="1080" w:hanging="720"/>
      </w:pPr>
      <w:rPr>
        <w:rFonts w:hint="default"/>
      </w:rPr>
    </w:lvl>
    <w:lvl w:ilvl="1" w:tplc="D2467592" w:tentative="1">
      <w:start w:val="1"/>
      <w:numFmt w:val="lowerLetter"/>
      <w:lvlText w:val="%2."/>
      <w:lvlJc w:val="left"/>
      <w:pPr>
        <w:ind w:left="1440" w:hanging="360"/>
      </w:pPr>
    </w:lvl>
    <w:lvl w:ilvl="2" w:tplc="BD329F54" w:tentative="1">
      <w:start w:val="1"/>
      <w:numFmt w:val="lowerRoman"/>
      <w:lvlText w:val="%3."/>
      <w:lvlJc w:val="right"/>
      <w:pPr>
        <w:ind w:left="2160" w:hanging="180"/>
      </w:pPr>
    </w:lvl>
    <w:lvl w:ilvl="3" w:tplc="F7A2852A" w:tentative="1">
      <w:start w:val="1"/>
      <w:numFmt w:val="decimal"/>
      <w:lvlText w:val="%4."/>
      <w:lvlJc w:val="left"/>
      <w:pPr>
        <w:ind w:left="2880" w:hanging="360"/>
      </w:pPr>
    </w:lvl>
    <w:lvl w:ilvl="4" w:tplc="39DE6B0C" w:tentative="1">
      <w:start w:val="1"/>
      <w:numFmt w:val="lowerLetter"/>
      <w:lvlText w:val="%5."/>
      <w:lvlJc w:val="left"/>
      <w:pPr>
        <w:ind w:left="3600" w:hanging="360"/>
      </w:pPr>
    </w:lvl>
    <w:lvl w:ilvl="5" w:tplc="0CF46C00" w:tentative="1">
      <w:start w:val="1"/>
      <w:numFmt w:val="lowerRoman"/>
      <w:lvlText w:val="%6."/>
      <w:lvlJc w:val="right"/>
      <w:pPr>
        <w:ind w:left="4320" w:hanging="180"/>
      </w:pPr>
    </w:lvl>
    <w:lvl w:ilvl="6" w:tplc="C666DB1E" w:tentative="1">
      <w:start w:val="1"/>
      <w:numFmt w:val="decimal"/>
      <w:lvlText w:val="%7."/>
      <w:lvlJc w:val="left"/>
      <w:pPr>
        <w:ind w:left="5040" w:hanging="360"/>
      </w:pPr>
    </w:lvl>
    <w:lvl w:ilvl="7" w:tplc="9C32C956" w:tentative="1">
      <w:start w:val="1"/>
      <w:numFmt w:val="lowerLetter"/>
      <w:lvlText w:val="%8."/>
      <w:lvlJc w:val="left"/>
      <w:pPr>
        <w:ind w:left="5760" w:hanging="360"/>
      </w:pPr>
    </w:lvl>
    <w:lvl w:ilvl="8" w:tplc="A3B2892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7D61470">
      <w:start w:val="1"/>
      <w:numFmt w:val="lowerRoman"/>
      <w:lvlText w:val="(%1)"/>
      <w:lvlJc w:val="left"/>
      <w:pPr>
        <w:ind w:left="1080" w:hanging="720"/>
      </w:pPr>
      <w:rPr>
        <w:rFonts w:hint="default"/>
      </w:rPr>
    </w:lvl>
    <w:lvl w:ilvl="1" w:tplc="7B5E2EA6" w:tentative="1">
      <w:start w:val="1"/>
      <w:numFmt w:val="lowerLetter"/>
      <w:lvlText w:val="%2."/>
      <w:lvlJc w:val="left"/>
      <w:pPr>
        <w:ind w:left="1440" w:hanging="360"/>
      </w:pPr>
    </w:lvl>
    <w:lvl w:ilvl="2" w:tplc="F67A603C" w:tentative="1">
      <w:start w:val="1"/>
      <w:numFmt w:val="lowerRoman"/>
      <w:lvlText w:val="%3."/>
      <w:lvlJc w:val="right"/>
      <w:pPr>
        <w:ind w:left="2160" w:hanging="180"/>
      </w:pPr>
    </w:lvl>
    <w:lvl w:ilvl="3" w:tplc="46C097FE" w:tentative="1">
      <w:start w:val="1"/>
      <w:numFmt w:val="decimal"/>
      <w:lvlText w:val="%4."/>
      <w:lvlJc w:val="left"/>
      <w:pPr>
        <w:ind w:left="2880" w:hanging="360"/>
      </w:pPr>
    </w:lvl>
    <w:lvl w:ilvl="4" w:tplc="7390C416" w:tentative="1">
      <w:start w:val="1"/>
      <w:numFmt w:val="lowerLetter"/>
      <w:lvlText w:val="%5."/>
      <w:lvlJc w:val="left"/>
      <w:pPr>
        <w:ind w:left="3600" w:hanging="360"/>
      </w:pPr>
    </w:lvl>
    <w:lvl w:ilvl="5" w:tplc="3C82D632" w:tentative="1">
      <w:start w:val="1"/>
      <w:numFmt w:val="lowerRoman"/>
      <w:lvlText w:val="%6."/>
      <w:lvlJc w:val="right"/>
      <w:pPr>
        <w:ind w:left="4320" w:hanging="180"/>
      </w:pPr>
    </w:lvl>
    <w:lvl w:ilvl="6" w:tplc="DAEC20E2" w:tentative="1">
      <w:start w:val="1"/>
      <w:numFmt w:val="decimal"/>
      <w:lvlText w:val="%7."/>
      <w:lvlJc w:val="left"/>
      <w:pPr>
        <w:ind w:left="5040" w:hanging="360"/>
      </w:pPr>
    </w:lvl>
    <w:lvl w:ilvl="7" w:tplc="D17C016A" w:tentative="1">
      <w:start w:val="1"/>
      <w:numFmt w:val="lowerLetter"/>
      <w:lvlText w:val="%8."/>
      <w:lvlJc w:val="left"/>
      <w:pPr>
        <w:ind w:left="5760" w:hanging="360"/>
      </w:pPr>
    </w:lvl>
    <w:lvl w:ilvl="8" w:tplc="83BE826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87C3970">
      <w:start w:val="1"/>
      <w:numFmt w:val="lowerRoman"/>
      <w:lvlText w:val="(%1)"/>
      <w:lvlJc w:val="left"/>
      <w:pPr>
        <w:ind w:left="1080" w:hanging="720"/>
      </w:pPr>
      <w:rPr>
        <w:rFonts w:hint="default"/>
      </w:rPr>
    </w:lvl>
    <w:lvl w:ilvl="1" w:tplc="10C6F1AC" w:tentative="1">
      <w:start w:val="1"/>
      <w:numFmt w:val="lowerLetter"/>
      <w:lvlText w:val="%2."/>
      <w:lvlJc w:val="left"/>
      <w:pPr>
        <w:ind w:left="1440" w:hanging="360"/>
      </w:pPr>
    </w:lvl>
    <w:lvl w:ilvl="2" w:tplc="EA3CA77E" w:tentative="1">
      <w:start w:val="1"/>
      <w:numFmt w:val="lowerRoman"/>
      <w:lvlText w:val="%3."/>
      <w:lvlJc w:val="right"/>
      <w:pPr>
        <w:ind w:left="2160" w:hanging="180"/>
      </w:pPr>
    </w:lvl>
    <w:lvl w:ilvl="3" w:tplc="2DE4F238" w:tentative="1">
      <w:start w:val="1"/>
      <w:numFmt w:val="decimal"/>
      <w:lvlText w:val="%4."/>
      <w:lvlJc w:val="left"/>
      <w:pPr>
        <w:ind w:left="2880" w:hanging="360"/>
      </w:pPr>
    </w:lvl>
    <w:lvl w:ilvl="4" w:tplc="0400D5FE" w:tentative="1">
      <w:start w:val="1"/>
      <w:numFmt w:val="lowerLetter"/>
      <w:lvlText w:val="%5."/>
      <w:lvlJc w:val="left"/>
      <w:pPr>
        <w:ind w:left="3600" w:hanging="360"/>
      </w:pPr>
    </w:lvl>
    <w:lvl w:ilvl="5" w:tplc="F7F0545E" w:tentative="1">
      <w:start w:val="1"/>
      <w:numFmt w:val="lowerRoman"/>
      <w:lvlText w:val="%6."/>
      <w:lvlJc w:val="right"/>
      <w:pPr>
        <w:ind w:left="4320" w:hanging="180"/>
      </w:pPr>
    </w:lvl>
    <w:lvl w:ilvl="6" w:tplc="04A6B1EC" w:tentative="1">
      <w:start w:val="1"/>
      <w:numFmt w:val="decimal"/>
      <w:lvlText w:val="%7."/>
      <w:lvlJc w:val="left"/>
      <w:pPr>
        <w:ind w:left="5040" w:hanging="360"/>
      </w:pPr>
    </w:lvl>
    <w:lvl w:ilvl="7" w:tplc="51DCC9E4" w:tentative="1">
      <w:start w:val="1"/>
      <w:numFmt w:val="lowerLetter"/>
      <w:lvlText w:val="%8."/>
      <w:lvlJc w:val="left"/>
      <w:pPr>
        <w:ind w:left="5760" w:hanging="360"/>
      </w:pPr>
    </w:lvl>
    <w:lvl w:ilvl="8" w:tplc="D32E079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01C13FA">
      <w:start w:val="1"/>
      <w:numFmt w:val="lowerRoman"/>
      <w:lvlText w:val="(%1)"/>
      <w:lvlJc w:val="left"/>
      <w:pPr>
        <w:ind w:left="1080" w:hanging="720"/>
      </w:pPr>
      <w:rPr>
        <w:rFonts w:hint="default"/>
      </w:rPr>
    </w:lvl>
    <w:lvl w:ilvl="1" w:tplc="B6E6104C" w:tentative="1">
      <w:start w:val="1"/>
      <w:numFmt w:val="lowerLetter"/>
      <w:lvlText w:val="%2."/>
      <w:lvlJc w:val="left"/>
      <w:pPr>
        <w:ind w:left="1440" w:hanging="360"/>
      </w:pPr>
    </w:lvl>
    <w:lvl w:ilvl="2" w:tplc="B950BCB8" w:tentative="1">
      <w:start w:val="1"/>
      <w:numFmt w:val="lowerRoman"/>
      <w:lvlText w:val="%3."/>
      <w:lvlJc w:val="right"/>
      <w:pPr>
        <w:ind w:left="2160" w:hanging="180"/>
      </w:pPr>
    </w:lvl>
    <w:lvl w:ilvl="3" w:tplc="8B6C3AAA" w:tentative="1">
      <w:start w:val="1"/>
      <w:numFmt w:val="decimal"/>
      <w:lvlText w:val="%4."/>
      <w:lvlJc w:val="left"/>
      <w:pPr>
        <w:ind w:left="2880" w:hanging="360"/>
      </w:pPr>
    </w:lvl>
    <w:lvl w:ilvl="4" w:tplc="F7B21306" w:tentative="1">
      <w:start w:val="1"/>
      <w:numFmt w:val="lowerLetter"/>
      <w:lvlText w:val="%5."/>
      <w:lvlJc w:val="left"/>
      <w:pPr>
        <w:ind w:left="3600" w:hanging="360"/>
      </w:pPr>
    </w:lvl>
    <w:lvl w:ilvl="5" w:tplc="347ABC06" w:tentative="1">
      <w:start w:val="1"/>
      <w:numFmt w:val="lowerRoman"/>
      <w:lvlText w:val="%6."/>
      <w:lvlJc w:val="right"/>
      <w:pPr>
        <w:ind w:left="4320" w:hanging="180"/>
      </w:pPr>
    </w:lvl>
    <w:lvl w:ilvl="6" w:tplc="B55AC566" w:tentative="1">
      <w:start w:val="1"/>
      <w:numFmt w:val="decimal"/>
      <w:lvlText w:val="%7."/>
      <w:lvlJc w:val="left"/>
      <w:pPr>
        <w:ind w:left="5040" w:hanging="360"/>
      </w:pPr>
    </w:lvl>
    <w:lvl w:ilvl="7" w:tplc="899E0732" w:tentative="1">
      <w:start w:val="1"/>
      <w:numFmt w:val="lowerLetter"/>
      <w:lvlText w:val="%8."/>
      <w:lvlJc w:val="left"/>
      <w:pPr>
        <w:ind w:left="5760" w:hanging="360"/>
      </w:pPr>
    </w:lvl>
    <w:lvl w:ilvl="8" w:tplc="86DE8F6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01AA225C">
      <w:start w:val="1"/>
      <w:numFmt w:val="lowerRoman"/>
      <w:lvlText w:val="(%1)"/>
      <w:lvlJc w:val="left"/>
      <w:pPr>
        <w:ind w:left="1080" w:hanging="720"/>
      </w:pPr>
      <w:rPr>
        <w:rFonts w:hint="default"/>
      </w:rPr>
    </w:lvl>
    <w:lvl w:ilvl="1" w:tplc="71880510" w:tentative="1">
      <w:start w:val="1"/>
      <w:numFmt w:val="lowerLetter"/>
      <w:lvlText w:val="%2."/>
      <w:lvlJc w:val="left"/>
      <w:pPr>
        <w:ind w:left="1440" w:hanging="360"/>
      </w:pPr>
    </w:lvl>
    <w:lvl w:ilvl="2" w:tplc="A69C2BD2" w:tentative="1">
      <w:start w:val="1"/>
      <w:numFmt w:val="lowerRoman"/>
      <w:lvlText w:val="%3."/>
      <w:lvlJc w:val="right"/>
      <w:pPr>
        <w:ind w:left="2160" w:hanging="180"/>
      </w:pPr>
    </w:lvl>
    <w:lvl w:ilvl="3" w:tplc="A6B29012" w:tentative="1">
      <w:start w:val="1"/>
      <w:numFmt w:val="decimal"/>
      <w:lvlText w:val="%4."/>
      <w:lvlJc w:val="left"/>
      <w:pPr>
        <w:ind w:left="2880" w:hanging="360"/>
      </w:pPr>
    </w:lvl>
    <w:lvl w:ilvl="4" w:tplc="67EE85A6" w:tentative="1">
      <w:start w:val="1"/>
      <w:numFmt w:val="lowerLetter"/>
      <w:lvlText w:val="%5."/>
      <w:lvlJc w:val="left"/>
      <w:pPr>
        <w:ind w:left="3600" w:hanging="360"/>
      </w:pPr>
    </w:lvl>
    <w:lvl w:ilvl="5" w:tplc="95EE5B04" w:tentative="1">
      <w:start w:val="1"/>
      <w:numFmt w:val="lowerRoman"/>
      <w:lvlText w:val="%6."/>
      <w:lvlJc w:val="right"/>
      <w:pPr>
        <w:ind w:left="4320" w:hanging="180"/>
      </w:pPr>
    </w:lvl>
    <w:lvl w:ilvl="6" w:tplc="1BCE1AAE" w:tentative="1">
      <w:start w:val="1"/>
      <w:numFmt w:val="decimal"/>
      <w:lvlText w:val="%7."/>
      <w:lvlJc w:val="left"/>
      <w:pPr>
        <w:ind w:left="5040" w:hanging="360"/>
      </w:pPr>
    </w:lvl>
    <w:lvl w:ilvl="7" w:tplc="FAD6674C" w:tentative="1">
      <w:start w:val="1"/>
      <w:numFmt w:val="lowerLetter"/>
      <w:lvlText w:val="%8."/>
      <w:lvlJc w:val="left"/>
      <w:pPr>
        <w:ind w:left="5760" w:hanging="360"/>
      </w:pPr>
    </w:lvl>
    <w:lvl w:ilvl="8" w:tplc="4248140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60187095">
    <w:abstractNumId w:val="11"/>
  </w:num>
  <w:num w:numId="2" w16cid:durableId="362823680">
    <w:abstractNumId w:val="4"/>
  </w:num>
  <w:num w:numId="3" w16cid:durableId="194924083">
    <w:abstractNumId w:val="2"/>
  </w:num>
  <w:num w:numId="4" w16cid:durableId="1951470217">
    <w:abstractNumId w:val="7"/>
  </w:num>
  <w:num w:numId="5" w16cid:durableId="2121290644">
    <w:abstractNumId w:val="6"/>
  </w:num>
  <w:num w:numId="6" w16cid:durableId="1856532231">
    <w:abstractNumId w:val="1"/>
  </w:num>
  <w:num w:numId="7" w16cid:durableId="2034106443">
    <w:abstractNumId w:val="9"/>
  </w:num>
  <w:num w:numId="8" w16cid:durableId="2133935596">
    <w:abstractNumId w:val="5"/>
  </w:num>
  <w:num w:numId="9" w16cid:durableId="1332953517">
    <w:abstractNumId w:val="8"/>
  </w:num>
  <w:num w:numId="10" w16cid:durableId="1446196083">
    <w:abstractNumId w:val="3"/>
  </w:num>
  <w:num w:numId="11" w16cid:durableId="1562206439">
    <w:abstractNumId w:val="10"/>
  </w:num>
  <w:num w:numId="12" w16cid:durableId="1894652503">
    <w:abstractNumId w:val="0"/>
  </w:num>
  <w:num w:numId="13" w16cid:durableId="1476531208">
    <w:abstractNumId w:val="11"/>
  </w:num>
  <w:num w:numId="14" w16cid:durableId="1010525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1"/>
    <w:rsid w:val="00060F1F"/>
    <w:rsid w:val="00062A16"/>
    <w:rsid w:val="00070E74"/>
    <w:rsid w:val="000A570F"/>
    <w:rsid w:val="00125C8A"/>
    <w:rsid w:val="001408C9"/>
    <w:rsid w:val="00173CC5"/>
    <w:rsid w:val="001E248E"/>
    <w:rsid w:val="002B7942"/>
    <w:rsid w:val="003A1001"/>
    <w:rsid w:val="003D0C80"/>
    <w:rsid w:val="003E7DA2"/>
    <w:rsid w:val="004105A2"/>
    <w:rsid w:val="004116AC"/>
    <w:rsid w:val="004128C9"/>
    <w:rsid w:val="00421019"/>
    <w:rsid w:val="004218C7"/>
    <w:rsid w:val="0042682B"/>
    <w:rsid w:val="00473128"/>
    <w:rsid w:val="004D7160"/>
    <w:rsid w:val="00602F73"/>
    <w:rsid w:val="00641570"/>
    <w:rsid w:val="00662124"/>
    <w:rsid w:val="006C3BDC"/>
    <w:rsid w:val="00715283"/>
    <w:rsid w:val="00752DF9"/>
    <w:rsid w:val="00772745"/>
    <w:rsid w:val="00795EB3"/>
    <w:rsid w:val="007D4DA0"/>
    <w:rsid w:val="007D708B"/>
    <w:rsid w:val="007E6B48"/>
    <w:rsid w:val="00804BC6"/>
    <w:rsid w:val="008416F4"/>
    <w:rsid w:val="00851197"/>
    <w:rsid w:val="0085675B"/>
    <w:rsid w:val="008D1608"/>
    <w:rsid w:val="008D3C56"/>
    <w:rsid w:val="009676EA"/>
    <w:rsid w:val="009A28C2"/>
    <w:rsid w:val="009B3E60"/>
    <w:rsid w:val="00A003DC"/>
    <w:rsid w:val="00A25E02"/>
    <w:rsid w:val="00AD5EE3"/>
    <w:rsid w:val="00B1417C"/>
    <w:rsid w:val="00B674B4"/>
    <w:rsid w:val="00B73080"/>
    <w:rsid w:val="00BF0B78"/>
    <w:rsid w:val="00C07CE2"/>
    <w:rsid w:val="00C1376A"/>
    <w:rsid w:val="00C25D77"/>
    <w:rsid w:val="00C3310F"/>
    <w:rsid w:val="00C67221"/>
    <w:rsid w:val="00C81C00"/>
    <w:rsid w:val="00CA4334"/>
    <w:rsid w:val="00CA598E"/>
    <w:rsid w:val="00D10B46"/>
    <w:rsid w:val="00D5533D"/>
    <w:rsid w:val="00D74089"/>
    <w:rsid w:val="00D92F65"/>
    <w:rsid w:val="00DB1552"/>
    <w:rsid w:val="00DD68EE"/>
    <w:rsid w:val="00E20BD1"/>
    <w:rsid w:val="00E33764"/>
    <w:rsid w:val="00E94926"/>
    <w:rsid w:val="00EE036C"/>
    <w:rsid w:val="00EF6BEB"/>
    <w:rsid w:val="00F07604"/>
    <w:rsid w:val="00F54A0D"/>
    <w:rsid w:val="00F56A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B8C2"/>
  <w15:docId w15:val="{96E078AC-84F8-4938-AB7D-7E60E714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spacing w:before="40" w:after="40"/>
    </w:pPr>
  </w:style>
  <w:style w:type="paragraph" w:styleId="ListBullet2">
    <w:name w:val="List Bullet 2"/>
    <w:basedOn w:val="Normal"/>
    <w:uiPriority w:val="16"/>
    <w:unhideWhenUsed/>
    <w:qFormat/>
    <w:rsid w:val="00D2559D"/>
  </w:style>
  <w:style w:type="paragraph" w:styleId="ListBullet3">
    <w:name w:val="List Bullet 3"/>
    <w:basedOn w:val="Normal"/>
    <w:uiPriority w:val="16"/>
    <w:unhideWhenUsed/>
    <w:qFormat/>
    <w:rsid w:val="00D2559D"/>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257AF" w:rsidRDefault="003F4C3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257AF" w:rsidRDefault="003F4C3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257AF" w:rsidRDefault="003F4C3B"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257AF" w:rsidRDefault="003F4C3B" w:rsidP="00AF0AC5">
          <w:pPr>
            <w:pStyle w:val="5980B78F9EE84FC8ABAA12ABA876356E"/>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257AF" w:rsidRDefault="003F4C3B" w:rsidP="00AF0AC5">
          <w:pPr>
            <w:pStyle w:val="B49FA1BBEF644AB6B201ADBCD49F2011"/>
          </w:pPr>
          <w:r w:rsidRPr="00D858FE">
            <w:rPr>
              <w:rStyle w:val="PlaceholderText"/>
            </w:rPr>
            <w:t>Choose an item.</w:t>
          </w:r>
        </w:p>
      </w:docPartBody>
    </w:docPart>
    <w:docPart>
      <w:docPartPr>
        <w:name w:val="30A2EDED7DBB48E9BDB05452523750B6"/>
        <w:category>
          <w:name w:val="General"/>
          <w:gallery w:val="placeholder"/>
        </w:category>
        <w:types>
          <w:type w:val="bbPlcHdr"/>
        </w:types>
        <w:behaviors>
          <w:behavior w:val="content"/>
        </w:behaviors>
        <w:guid w:val="{FB416167-5A6F-4004-B718-0C5FCB150BE2}"/>
      </w:docPartPr>
      <w:docPartBody>
        <w:p w:rsidR="003F4C3B" w:rsidRDefault="000257AF" w:rsidP="000257AF">
          <w:pPr>
            <w:pStyle w:val="30A2EDED7DBB48E9BDB05452523750B6"/>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27A1"/>
    <w:rsid w:val="000257AF"/>
    <w:rsid w:val="000A570F"/>
    <w:rsid w:val="000E2F3A"/>
    <w:rsid w:val="003F4C3B"/>
    <w:rsid w:val="004727A1"/>
    <w:rsid w:val="007324F1"/>
    <w:rsid w:val="0085675B"/>
    <w:rsid w:val="00925B59"/>
    <w:rsid w:val="00C07CE2"/>
    <w:rsid w:val="00D10B46"/>
    <w:rsid w:val="00DB1552"/>
    <w:rsid w:val="00DC0277"/>
    <w:rsid w:val="00E20BD1"/>
    <w:rsid w:val="00E94926"/>
    <w:rsid w:val="00F04067"/>
    <w:rsid w:val="00F07604"/>
    <w:rsid w:val="00F56A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57AF"/>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B49FA1BBEF644AB6B201ADBCD49F2011">
    <w:name w:val="B49FA1BBEF644AB6B201ADBCD49F2011"/>
    <w:rsid w:val="00AF0AC5"/>
  </w:style>
  <w:style w:type="paragraph" w:customStyle="1" w:styleId="30A2EDED7DBB48E9BDB05452523750B6">
    <w:name w:val="30A2EDED7DBB48E9BDB05452523750B6"/>
    <w:rsid w:val="000257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df5dbc-e1cd-411b-8615-c0db7bc26c20">
      <UserInfo>
        <DisplayName/>
        <AccountId xsi:nil="true"/>
        <AccountType/>
      </UserInfo>
    </SharedWithUsers>
    <_activity xmlns="aaa8cc7c-d4fc-4655-b94e-69b252d73b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966D26AFACAA4189B2F98DF60ECAB1" ma:contentTypeVersion="17" ma:contentTypeDescription="Create a new document." ma:contentTypeScope="" ma:versionID="ff8b06b10052d11bf43d1ca2915309c8">
  <xsd:schema xmlns:xsd="http://www.w3.org/2001/XMLSchema" xmlns:xs="http://www.w3.org/2001/XMLSchema" xmlns:p="http://schemas.microsoft.com/office/2006/metadata/properties" xmlns:ns3="aaa8cc7c-d4fc-4655-b94e-69b252d73bd0" xmlns:ns4="66df5dbc-e1cd-411b-8615-c0db7bc26c20" targetNamespace="http://schemas.microsoft.com/office/2006/metadata/properties" ma:root="true" ma:fieldsID="ce0747dd812549e08416766d5f2ebc5a" ns3:_="" ns4:_="">
    <xsd:import namespace="aaa8cc7c-d4fc-4655-b94e-69b252d73bd0"/>
    <xsd:import namespace="66df5dbc-e1cd-411b-8615-c0db7bc26c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cc7c-d4fc-4655-b94e-69b252d73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f5dbc-e1cd-411b-8615-c0db7bc26c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6df5dbc-e1cd-411b-8615-c0db7bc26c20"/>
    <ds:schemaRef ds:uri="aaa8cc7c-d4fc-4655-b94e-69b252d73bd0"/>
  </ds:schemaRefs>
</ds:datastoreItem>
</file>

<file path=customXml/itemProps2.xml><?xml version="1.0" encoding="utf-8"?>
<ds:datastoreItem xmlns:ds="http://schemas.openxmlformats.org/officeDocument/2006/customXml" ds:itemID="{247B05AF-759E-472E-9DD0-F62112015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8cc7c-d4fc-4655-b94e-69b252d73bd0"/>
    <ds:schemaRef ds:uri="66df5dbc-e1cd-411b-8615-c0db7bc26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3204</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cp:lastPrinted>2025-03-21T03:40:00Z</cp:lastPrinted>
  <dcterms:created xsi:type="dcterms:W3CDTF">2025-03-24T01:35:00Z</dcterms:created>
  <dcterms:modified xsi:type="dcterms:W3CDTF">2025-03-24T01:35:00Z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0x0101004D966D26AFACAA4189B2F98DF60ECAB1</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