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B6C93" w14:textId="77777777" w:rsidR="00F56CCB" w:rsidRPr="002C3EBF" w:rsidRDefault="002A2A7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F2D116" wp14:editId="2D4C2E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312B54" w14:textId="77777777" w:rsidR="00F56CCB" w:rsidRDefault="002A2A7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580CE2" w14:textId="77777777" w:rsidR="00F56CCB" w:rsidRDefault="002A2A7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F30C00" w14:textId="77777777" w:rsidR="00F56CCB" w:rsidRPr="002C3EBF" w:rsidRDefault="002A2A7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5FAA" w14:paraId="7E8AB1E3" w14:textId="77777777" w:rsidTr="00EF5FAA">
        <w:tc>
          <w:tcPr>
            <w:cnfStyle w:val="001000000000" w:firstRow="0" w:lastRow="0" w:firstColumn="1" w:lastColumn="0" w:oddVBand="0" w:evenVBand="0" w:oddHBand="0" w:evenHBand="0" w:firstRowFirstColumn="0" w:firstRowLastColumn="0" w:lastRowFirstColumn="0" w:lastRowLastColumn="0"/>
            <w:tcW w:w="3227" w:type="dxa"/>
          </w:tcPr>
          <w:p w14:paraId="752023EE" w14:textId="77777777" w:rsidR="00F56CCB" w:rsidRPr="00996FAF" w:rsidRDefault="002A2A7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0F49AF" w14:textId="77777777" w:rsidR="00F56CCB" w:rsidRPr="00996FAF" w:rsidRDefault="002A2A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Hawkesbury Living Pty Limited</w:t>
            </w:r>
          </w:p>
        </w:tc>
      </w:tr>
      <w:tr w:rsidR="00EF5FAA" w14:paraId="7CF6D45E" w14:textId="77777777" w:rsidTr="00EF5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74049" w14:textId="77777777" w:rsidR="00F56CCB" w:rsidRPr="00996FAF" w:rsidRDefault="002A2A7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C9FCDF" w14:textId="77777777" w:rsidR="00F56CCB" w:rsidRPr="00C27BE3" w:rsidRDefault="002A2A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2467</w:t>
            </w:r>
          </w:p>
        </w:tc>
      </w:tr>
      <w:tr w:rsidR="00EF5FAA" w14:paraId="10DD3943" w14:textId="77777777" w:rsidTr="00EF5F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E26CA" w14:textId="77777777" w:rsidR="00F56CCB" w:rsidRPr="00996FAF" w:rsidRDefault="002A2A7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62EAF8" w14:textId="77777777" w:rsidR="00F56CCB" w:rsidRPr="00996FAF" w:rsidRDefault="002A2A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116 March</w:t>
            </w:r>
            <w:r>
              <w:rPr>
                <w:rFonts w:ascii="Arial" w:eastAsia="Times New Roman" w:hAnsi="Arial" w:cs="Arial"/>
                <w:lang w:eastAsia="en-AU"/>
              </w:rPr>
              <w:t xml:space="preserve"> Street, RICHMOND, New South Wales, 2753</w:t>
            </w:r>
          </w:p>
        </w:tc>
      </w:tr>
      <w:tr w:rsidR="00EF5FAA" w14:paraId="4250AC2A" w14:textId="77777777" w:rsidTr="00EF5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A7AE9" w14:textId="77777777" w:rsidR="00F56CCB" w:rsidRPr="00996FAF" w:rsidRDefault="002A2A7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79FFA1" w14:textId="77777777" w:rsidR="00F56CCB" w:rsidRPr="00996FAF" w:rsidRDefault="002A2A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F5FAA" w14:paraId="34326048" w14:textId="77777777" w:rsidTr="00EF5F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997A8" w14:textId="77777777" w:rsidR="00F56CCB" w:rsidRPr="00996FAF" w:rsidRDefault="002A2A7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6BDE0D" w14:textId="77777777" w:rsidR="00F56CCB" w:rsidRPr="00996FAF" w:rsidRDefault="002A2A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September 2024</w:t>
            </w:r>
          </w:p>
        </w:tc>
      </w:tr>
      <w:tr w:rsidR="00EF5FAA" w14:paraId="4C9D86F0" w14:textId="77777777" w:rsidTr="00EF5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A46F8B" w14:textId="77777777" w:rsidR="00F56CCB" w:rsidRPr="00996FAF" w:rsidRDefault="002A2A7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1647668"/>
            <w:placeholder>
              <w:docPart w:val="DefaultPlaceholder_-1854013437"/>
            </w:placeholder>
            <w:date w:fullDate="2024-12-05T00:00:00Z">
              <w:dateFormat w:val="d MMMM yyyy"/>
              <w:lid w:val="en-AU"/>
              <w:storeMappedDataAs w:val="dateTime"/>
              <w:calendar w:val="gregorian"/>
            </w:date>
          </w:sdtPr>
          <w:sdtEndPr/>
          <w:sdtContent>
            <w:tc>
              <w:tcPr>
                <w:tcW w:w="7114" w:type="dxa"/>
                <w:shd w:val="clear" w:color="auto" w:fill="FFFFFF" w:themeFill="background1"/>
              </w:tcPr>
              <w:p w14:paraId="3E57E29D" w14:textId="4B059335" w:rsidR="00F56CCB" w:rsidRPr="00996FAF" w:rsidRDefault="00D83E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2024</w:t>
                </w:r>
              </w:p>
            </w:tc>
          </w:sdtContent>
        </w:sdt>
      </w:tr>
      <w:tr w:rsidR="00EF5FAA" w14:paraId="007D31FC" w14:textId="77777777" w:rsidTr="00EF5F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4E8039" w14:textId="77777777" w:rsidR="00F56CCB" w:rsidRPr="00996FAF" w:rsidRDefault="002A2A7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99FF26" w14:textId="77777777" w:rsidR="00F56CCB" w:rsidRPr="009B6303" w:rsidRDefault="002A2A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2806 Hawkesbury Living Pty Limited </w:t>
            </w:r>
          </w:p>
          <w:p w14:paraId="36DE129F" w14:textId="77777777" w:rsidR="00F56CCB" w:rsidRPr="009B6303" w:rsidRDefault="002A2A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853 Hawkesbury Living Pty Limited</w:t>
            </w:r>
          </w:p>
        </w:tc>
      </w:tr>
    </w:tbl>
    <w:bookmarkEnd w:id="0"/>
    <w:p w14:paraId="5DF34A51" w14:textId="77777777" w:rsidR="00F56CCB" w:rsidRPr="00996FAF" w:rsidRDefault="002A2A7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76E0FD" w14:textId="77777777" w:rsidR="00F56CCB" w:rsidRPr="00996FAF" w:rsidRDefault="002A2A7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A22DDD" w14:textId="77777777" w:rsidR="00F56CCB" w:rsidRPr="00996FAF" w:rsidRDefault="002A2A74" w:rsidP="0036130C">
      <w:pPr>
        <w:pStyle w:val="NormalArial"/>
      </w:pPr>
      <w:r w:rsidRPr="00996FAF">
        <w:t xml:space="preserve">This performance report for </w:t>
      </w:r>
      <w:r w:rsidRPr="00C27BE3">
        <w:rPr>
          <w:color w:val="auto"/>
        </w:rPr>
        <w:t>Hawkesbury Living Pty Limited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8C65CF7" w14:textId="77777777" w:rsidR="00F56CCB" w:rsidRPr="00996FAF" w:rsidRDefault="002A2A7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E935DD" w14:textId="77777777" w:rsidR="00F56CCB" w:rsidRPr="00996FAF" w:rsidRDefault="002A2A74" w:rsidP="0036130C">
      <w:pPr>
        <w:pStyle w:val="NormalArial"/>
      </w:pPr>
      <w:r w:rsidRPr="00996FAF">
        <w:t>The report also specifies any areas in which improvements must be made to ensure the Quality Standards are complied with.</w:t>
      </w:r>
    </w:p>
    <w:p w14:paraId="79C439B8" w14:textId="77777777" w:rsidR="00F56CCB" w:rsidRPr="00996FAF" w:rsidRDefault="002A2A74" w:rsidP="00712752">
      <w:pPr>
        <w:pStyle w:val="Heading1"/>
        <w:spacing w:before="240" w:after="240" w:line="22" w:lineRule="atLeast"/>
        <w:rPr>
          <w:rFonts w:ascii="Arial" w:hAnsi="Arial" w:cs="Arial"/>
        </w:rPr>
      </w:pPr>
      <w:r w:rsidRPr="00996FAF">
        <w:rPr>
          <w:rFonts w:ascii="Arial" w:hAnsi="Arial" w:cs="Arial"/>
        </w:rPr>
        <w:t>Material relied on</w:t>
      </w:r>
    </w:p>
    <w:p w14:paraId="77E75142" w14:textId="77777777" w:rsidR="00F56CCB" w:rsidRPr="00996FAF" w:rsidRDefault="002A2A74" w:rsidP="0036130C">
      <w:pPr>
        <w:pStyle w:val="NormalArial"/>
      </w:pPr>
      <w:r w:rsidRPr="00996FAF">
        <w:t>The following information has been considered in preparing the performance report:</w:t>
      </w:r>
    </w:p>
    <w:p w14:paraId="00255647" w14:textId="4429DADE" w:rsidR="00F56CCB" w:rsidRPr="00B75AF6" w:rsidRDefault="002A2A7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B75AF6">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p>
    <w:p w14:paraId="39A4B485" w14:textId="37B46527" w:rsidR="00D83E67" w:rsidRPr="002A28D1" w:rsidRDefault="002A2A74" w:rsidP="002A28D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75AF6">
        <w:rPr>
          <w:rFonts w:ascii="Arial" w:hAnsi="Arial" w:cs="Arial"/>
        </w:rPr>
        <w:t xml:space="preserve"> on 17 October 2024</w:t>
      </w:r>
      <w:r w:rsidR="002A28D1">
        <w:rPr>
          <w:rFonts w:ascii="Arial" w:hAnsi="Arial" w:cs="Arial"/>
        </w:rPr>
        <w:t>.</w:t>
      </w:r>
    </w:p>
    <w:p w14:paraId="176283B8" w14:textId="630EA97F" w:rsidR="00F56CCB" w:rsidRPr="00712752" w:rsidRDefault="002A2A7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63EC9B" w14:textId="77777777" w:rsidR="00F56CCB" w:rsidRPr="00996FAF" w:rsidRDefault="002A2A7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F5FAA" w14:paraId="5B0FA72E" w14:textId="77777777" w:rsidTr="00EF5F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F12F2F" w14:textId="77777777" w:rsidR="00F56CCB" w:rsidRPr="00996FAF" w:rsidRDefault="002A2A7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EAC1788" w14:textId="632F6293" w:rsidR="00F56CCB" w:rsidRPr="00B75AF6" w:rsidRDefault="0094336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4028482"/>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B75AF6" w:rsidRPr="00B75AF6">
                  <w:rPr>
                    <w:rFonts w:ascii="Arial" w:hAnsi="Arial" w:cs="Arial"/>
                  </w:rPr>
                  <w:t>Not Applicable</w:t>
                </w:r>
              </w:sdtContent>
            </w:sdt>
          </w:p>
        </w:tc>
      </w:tr>
      <w:tr w:rsidR="00EF5FAA" w14:paraId="0F06C93F" w14:textId="77777777" w:rsidTr="00EF5FA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7E1DCE" w14:textId="77777777" w:rsidR="00F56CCB" w:rsidRPr="00996FAF" w:rsidRDefault="002A2A7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24A14A5" w14:textId="20452DB6" w:rsidR="00F56CCB" w:rsidRPr="002C5FA9" w:rsidRDefault="0094336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5349210"/>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B75AF6">
                  <w:rPr>
                    <w:rFonts w:ascii="Arial" w:hAnsi="Arial" w:cs="Arial"/>
                    <w:b/>
                    <w:bCs/>
                  </w:rPr>
                  <w:t>Not Applicable</w:t>
                </w:r>
              </w:sdtContent>
            </w:sdt>
          </w:p>
        </w:tc>
      </w:tr>
    </w:tbl>
    <w:p w14:paraId="12633E6C" w14:textId="56C413A5" w:rsidR="00F56CCB" w:rsidRPr="00996FAF" w:rsidRDefault="002A2A7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264543">
        <w:rPr>
          <w:rFonts w:ascii="Arial" w:hAnsi="Arial" w:cs="Arial"/>
        </w:rPr>
        <w:t>Requirement</w:t>
      </w:r>
      <w:r w:rsidRPr="00996FAF">
        <w:rPr>
          <w:rFonts w:ascii="Arial" w:hAnsi="Arial" w:cs="Arial"/>
        </w:rPr>
        <w:t>.</w:t>
      </w:r>
    </w:p>
    <w:p w14:paraId="045E621F" w14:textId="77777777" w:rsidR="00F56CCB" w:rsidRPr="00996FAF" w:rsidRDefault="002A2A74" w:rsidP="00712752">
      <w:pPr>
        <w:pStyle w:val="Heading1"/>
        <w:spacing w:before="0" w:after="240" w:line="22" w:lineRule="atLeast"/>
        <w:rPr>
          <w:rFonts w:ascii="Arial" w:hAnsi="Arial" w:cs="Arial"/>
        </w:rPr>
      </w:pPr>
      <w:r w:rsidRPr="00996FAF">
        <w:rPr>
          <w:rFonts w:ascii="Arial" w:hAnsi="Arial" w:cs="Arial"/>
        </w:rPr>
        <w:t>Areas for improvement</w:t>
      </w:r>
    </w:p>
    <w:p w14:paraId="3CD8BB65" w14:textId="77777777" w:rsidR="00F56CCB" w:rsidRPr="00996FAF" w:rsidRDefault="002A2A7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87734C" w14:textId="77777777" w:rsidR="00D83E67" w:rsidRDefault="00D83E67">
      <w:pPr>
        <w:spacing w:after="160" w:line="259" w:lineRule="auto"/>
        <w:rPr>
          <w:rFonts w:ascii="Arial" w:hAnsi="Arial" w:cs="Arial"/>
          <w:b/>
          <w:bCs/>
          <w:sz w:val="30"/>
          <w:szCs w:val="28"/>
        </w:rPr>
      </w:pPr>
      <w:r>
        <w:rPr>
          <w:rFonts w:ascii="Arial" w:hAnsi="Arial" w:cs="Arial"/>
        </w:rPr>
        <w:br w:type="page"/>
      </w:r>
    </w:p>
    <w:p w14:paraId="16013B31" w14:textId="239DD880" w:rsidR="00F56CCB" w:rsidRPr="00996FAF" w:rsidRDefault="002A2A7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F5FAA" w14:paraId="6987293E" w14:textId="77777777" w:rsidTr="00B75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489493" w14:textId="77777777" w:rsidR="00F56CCB" w:rsidRPr="00996FAF" w:rsidRDefault="002A2A7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78BA13" w14:textId="77777777" w:rsidR="00F56CCB" w:rsidRPr="00996FAF" w:rsidRDefault="00F56C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5FAA" w14:paraId="25DF4C29" w14:textId="77777777" w:rsidTr="00EF5F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D1A17" w14:textId="77777777" w:rsidR="00F56CCB" w:rsidRPr="00996FAF" w:rsidRDefault="002A2A7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0EB5F4" w14:textId="77777777" w:rsidR="00F56CCB" w:rsidRPr="00996FAF" w:rsidRDefault="002A2A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E672411" w14:textId="175D3AAC" w:rsidR="00F56CCB" w:rsidRPr="00996FAF" w:rsidRDefault="009433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8699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E0727">
                  <w:rPr>
                    <w:rFonts w:ascii="Arial" w:hAnsi="Arial" w:cs="Arial"/>
                    <w:color w:val="auto"/>
                  </w:rPr>
                  <w:t>Compliant</w:t>
                </w:r>
              </w:sdtContent>
            </w:sdt>
          </w:p>
        </w:tc>
      </w:tr>
    </w:tbl>
    <w:p w14:paraId="65E68E7A" w14:textId="77777777" w:rsidR="00F56CCB" w:rsidRDefault="002A2A74" w:rsidP="00D87E7C">
      <w:pPr>
        <w:pStyle w:val="Heading20"/>
      </w:pPr>
      <w:r w:rsidRPr="00996FAF">
        <w:t>Findings</w:t>
      </w:r>
    </w:p>
    <w:p w14:paraId="58F4B8C2" w14:textId="1B7621B0" w:rsidR="00F56CCB" w:rsidRDefault="00B17B70" w:rsidP="0036130C">
      <w:pPr>
        <w:pStyle w:val="NormalArial"/>
      </w:pPr>
      <w:r>
        <w:t xml:space="preserve">Consumers and consumer representatives </w:t>
      </w:r>
      <w:r w:rsidR="003E7D61">
        <w:t>provided positive feedback about the personal and clinical care they received. Effective risk identification and management of pressure injuries, diabetes management, infection management and weight loss for consumers was demonstrated</w:t>
      </w:r>
      <w:r w:rsidR="00F029F7">
        <w:t xml:space="preserve"> and m</w:t>
      </w:r>
      <w:r w:rsidR="003E7D61">
        <w:t xml:space="preserve">anagement and staff </w:t>
      </w:r>
      <w:r w:rsidR="002145BD">
        <w:t xml:space="preserve">demonstrated awareness of </w:t>
      </w:r>
      <w:r w:rsidR="00F029F7">
        <w:t>these</w:t>
      </w:r>
      <w:r w:rsidR="002145BD">
        <w:t xml:space="preserve"> consumer risks.</w:t>
      </w:r>
    </w:p>
    <w:p w14:paraId="0B66ABC5" w14:textId="7EA3E654" w:rsidR="00272F87" w:rsidRPr="009066BC" w:rsidRDefault="008223D5" w:rsidP="0036130C">
      <w:pPr>
        <w:pStyle w:val="NormalArial"/>
        <w:rPr>
          <w:color w:val="auto"/>
        </w:rPr>
      </w:pPr>
      <w:r w:rsidRPr="00CD1D17">
        <w:rPr>
          <w:color w:val="auto"/>
        </w:rPr>
        <w:t xml:space="preserve">Ineffective medication management resulted in increased medication incidents </w:t>
      </w:r>
      <w:r w:rsidR="00F029F7" w:rsidRPr="00CD1D17">
        <w:rPr>
          <w:color w:val="auto"/>
        </w:rPr>
        <w:t>which included</w:t>
      </w:r>
      <w:r w:rsidR="00B62A40" w:rsidRPr="00CD1D17">
        <w:rPr>
          <w:color w:val="auto"/>
        </w:rPr>
        <w:t xml:space="preserve"> </w:t>
      </w:r>
      <w:r w:rsidR="00F029F7" w:rsidRPr="00CD1D17">
        <w:rPr>
          <w:color w:val="auto"/>
        </w:rPr>
        <w:t>missed</w:t>
      </w:r>
      <w:r w:rsidR="00B62A40" w:rsidRPr="00CD1D17">
        <w:rPr>
          <w:color w:val="auto"/>
        </w:rPr>
        <w:t xml:space="preserve"> medication, incorrect dos</w:t>
      </w:r>
      <w:r w:rsidR="00F029F7" w:rsidRPr="00CD1D17">
        <w:rPr>
          <w:color w:val="auto"/>
        </w:rPr>
        <w:t>ages</w:t>
      </w:r>
      <w:r w:rsidR="00770B7C">
        <w:rPr>
          <w:color w:val="auto"/>
        </w:rPr>
        <w:t xml:space="preserve">, </w:t>
      </w:r>
      <w:r w:rsidR="00A4085F">
        <w:rPr>
          <w:color w:val="auto"/>
        </w:rPr>
        <w:t xml:space="preserve">packing errors, </w:t>
      </w:r>
      <w:r w:rsidR="00F029F7" w:rsidRPr="00CD1D17">
        <w:rPr>
          <w:color w:val="auto"/>
        </w:rPr>
        <w:t>delayed</w:t>
      </w:r>
      <w:r w:rsidR="00B62A40" w:rsidRPr="00CD1D17">
        <w:rPr>
          <w:color w:val="auto"/>
        </w:rPr>
        <w:t xml:space="preserve"> medication orders</w:t>
      </w:r>
      <w:r w:rsidR="00770B7C">
        <w:rPr>
          <w:color w:val="auto"/>
        </w:rPr>
        <w:t xml:space="preserve"> and low stock</w:t>
      </w:r>
      <w:r w:rsidR="00B62A40" w:rsidRPr="00CD1D17">
        <w:rPr>
          <w:color w:val="auto"/>
        </w:rPr>
        <w:t>. Consumer</w:t>
      </w:r>
      <w:r w:rsidR="00F029F7" w:rsidRPr="00CD1D17">
        <w:rPr>
          <w:color w:val="auto"/>
        </w:rPr>
        <w:t xml:space="preserve"> impacts included increased behaviours</w:t>
      </w:r>
      <w:r w:rsidR="00DF181B">
        <w:rPr>
          <w:color w:val="auto"/>
        </w:rPr>
        <w:t xml:space="preserve">, </w:t>
      </w:r>
      <w:r w:rsidR="00F029F7" w:rsidRPr="00CD1D17">
        <w:rPr>
          <w:color w:val="auto"/>
        </w:rPr>
        <w:t>f</w:t>
      </w:r>
      <w:r w:rsidR="00B62A40" w:rsidRPr="00CD1D17">
        <w:rPr>
          <w:color w:val="auto"/>
        </w:rPr>
        <w:t>alls</w:t>
      </w:r>
      <w:r w:rsidR="00D5787F" w:rsidRPr="00CD1D17">
        <w:rPr>
          <w:color w:val="auto"/>
        </w:rPr>
        <w:t xml:space="preserve"> and </w:t>
      </w:r>
      <w:r w:rsidR="00F029F7" w:rsidRPr="00CD1D17">
        <w:rPr>
          <w:color w:val="auto"/>
        </w:rPr>
        <w:t>hospitalisations.</w:t>
      </w:r>
      <w:r w:rsidR="002D7245" w:rsidRPr="00CD1D17">
        <w:rPr>
          <w:color w:val="auto"/>
        </w:rPr>
        <w:t xml:space="preserve"> I</w:t>
      </w:r>
      <w:r w:rsidR="00AA27EB" w:rsidRPr="00CD1D17">
        <w:rPr>
          <w:color w:val="auto"/>
        </w:rPr>
        <w:t xml:space="preserve">mproved consumer outcomes through incident investigation and implementation of effective mitigation strategies were not </w:t>
      </w:r>
      <w:r w:rsidR="00AA27EB" w:rsidRPr="009066BC">
        <w:rPr>
          <w:color w:val="auto"/>
        </w:rPr>
        <w:t>demonstrated.</w:t>
      </w:r>
      <w:r w:rsidR="009066BC" w:rsidRPr="009066BC">
        <w:rPr>
          <w:color w:val="auto"/>
        </w:rPr>
        <w:t xml:space="preserve"> </w:t>
      </w:r>
      <w:r w:rsidR="00E96C04" w:rsidRPr="009066BC">
        <w:rPr>
          <w:color w:val="auto"/>
        </w:rPr>
        <w:t>F</w:t>
      </w:r>
      <w:r w:rsidR="00C22730" w:rsidRPr="009066BC">
        <w:rPr>
          <w:color w:val="auto"/>
        </w:rPr>
        <w:t xml:space="preserve">alls management </w:t>
      </w:r>
      <w:r w:rsidR="00CD1D17" w:rsidRPr="009066BC">
        <w:rPr>
          <w:color w:val="auto"/>
        </w:rPr>
        <w:t>strategies were not consistently implemented</w:t>
      </w:r>
      <w:r w:rsidR="00E96C04" w:rsidRPr="009066BC">
        <w:rPr>
          <w:color w:val="auto"/>
        </w:rPr>
        <w:t xml:space="preserve"> and comprehensive assessment of consumers with multiple falls histories was not evidenced</w:t>
      </w:r>
      <w:r w:rsidR="00C22730" w:rsidRPr="009066BC">
        <w:rPr>
          <w:color w:val="auto"/>
        </w:rPr>
        <w:t xml:space="preserve">. </w:t>
      </w:r>
      <w:r w:rsidR="009066BC" w:rsidRPr="009066BC">
        <w:rPr>
          <w:color w:val="auto"/>
        </w:rPr>
        <w:t>P</w:t>
      </w:r>
      <w:r w:rsidR="00E96C04" w:rsidRPr="009066BC">
        <w:rPr>
          <w:color w:val="auto"/>
        </w:rPr>
        <w:t>ost-fall</w:t>
      </w:r>
      <w:r w:rsidR="009066BC" w:rsidRPr="009066BC">
        <w:rPr>
          <w:color w:val="auto"/>
        </w:rPr>
        <w:t xml:space="preserve"> evaluations were ineffective in </w:t>
      </w:r>
      <w:r w:rsidR="00413C45">
        <w:rPr>
          <w:color w:val="auto"/>
        </w:rPr>
        <w:t>risk identification a</w:t>
      </w:r>
      <w:r w:rsidR="009066BC" w:rsidRPr="009066BC">
        <w:rPr>
          <w:color w:val="auto"/>
        </w:rPr>
        <w:t>nd evaluation of effective mitigation strategies.</w:t>
      </w:r>
    </w:p>
    <w:p w14:paraId="4807A75C" w14:textId="63DCF4B3" w:rsidR="00272F87" w:rsidRPr="00EF43B6" w:rsidRDefault="00DA080E" w:rsidP="0036130C">
      <w:pPr>
        <w:pStyle w:val="NormalArial"/>
        <w:rPr>
          <w:color w:val="auto"/>
        </w:rPr>
      </w:pPr>
      <w:r w:rsidRPr="00EF43B6">
        <w:rPr>
          <w:color w:val="auto"/>
        </w:rPr>
        <w:t xml:space="preserve">Whilst an </w:t>
      </w:r>
      <w:r w:rsidR="007C6D4A" w:rsidRPr="00EF43B6">
        <w:rPr>
          <w:color w:val="auto"/>
        </w:rPr>
        <w:t xml:space="preserve">understanding </w:t>
      </w:r>
      <w:r w:rsidR="0004597C" w:rsidRPr="00EF43B6">
        <w:rPr>
          <w:color w:val="auto"/>
        </w:rPr>
        <w:t>of r</w:t>
      </w:r>
      <w:r w:rsidR="00272F87" w:rsidRPr="00EF43B6">
        <w:rPr>
          <w:color w:val="auto"/>
        </w:rPr>
        <w:t>estrictive practices</w:t>
      </w:r>
      <w:r w:rsidR="009066BC" w:rsidRPr="00EF43B6">
        <w:rPr>
          <w:color w:val="auto"/>
        </w:rPr>
        <w:t xml:space="preserve"> </w:t>
      </w:r>
      <w:r w:rsidR="0004597C" w:rsidRPr="00EF43B6">
        <w:rPr>
          <w:color w:val="auto"/>
        </w:rPr>
        <w:t xml:space="preserve">including environmental and mechanical restraint was demonstrated by </w:t>
      </w:r>
      <w:r w:rsidRPr="00EF43B6">
        <w:rPr>
          <w:color w:val="auto"/>
        </w:rPr>
        <w:t xml:space="preserve">staff and </w:t>
      </w:r>
      <w:r w:rsidR="0004597C" w:rsidRPr="00EF43B6">
        <w:rPr>
          <w:color w:val="auto"/>
        </w:rPr>
        <w:t>management</w:t>
      </w:r>
      <w:r w:rsidRPr="00EF43B6">
        <w:rPr>
          <w:color w:val="auto"/>
        </w:rPr>
        <w:t xml:space="preserve">, </w:t>
      </w:r>
      <w:r w:rsidR="009012BF" w:rsidRPr="00EF43B6">
        <w:rPr>
          <w:color w:val="auto"/>
        </w:rPr>
        <w:t>some deficiencies were noted</w:t>
      </w:r>
      <w:r w:rsidRPr="00EF43B6">
        <w:rPr>
          <w:color w:val="auto"/>
        </w:rPr>
        <w:t xml:space="preserve"> in </w:t>
      </w:r>
      <w:r w:rsidR="00F20797" w:rsidRPr="00EF43B6">
        <w:rPr>
          <w:color w:val="auto"/>
        </w:rPr>
        <w:t xml:space="preserve">the </w:t>
      </w:r>
      <w:r w:rsidRPr="00EF43B6">
        <w:rPr>
          <w:color w:val="auto"/>
        </w:rPr>
        <w:t>assessment and consultation processes which considered consumer impacts for environmental restraint.</w:t>
      </w:r>
      <w:r w:rsidR="00BF0162" w:rsidRPr="00EF43B6">
        <w:rPr>
          <w:color w:val="auto"/>
        </w:rPr>
        <w:t xml:space="preserve"> Chemical restraint use</w:t>
      </w:r>
      <w:r w:rsidR="00DF181B">
        <w:rPr>
          <w:color w:val="auto"/>
        </w:rPr>
        <w:t>d</w:t>
      </w:r>
      <w:r w:rsidR="00BF0162" w:rsidRPr="00EF43B6">
        <w:rPr>
          <w:color w:val="auto"/>
        </w:rPr>
        <w:t xml:space="preserve"> as a measure of last resort and for the shortest time period was not demonstrated. </w:t>
      </w:r>
      <w:r w:rsidR="00272F87" w:rsidRPr="00EF43B6">
        <w:rPr>
          <w:color w:val="auto"/>
        </w:rPr>
        <w:t>Behaviour support</w:t>
      </w:r>
      <w:r w:rsidR="00C22730" w:rsidRPr="00EF43B6">
        <w:rPr>
          <w:color w:val="auto"/>
        </w:rPr>
        <w:t xml:space="preserve"> plans</w:t>
      </w:r>
      <w:r w:rsidR="009012BF" w:rsidRPr="00EF43B6">
        <w:rPr>
          <w:color w:val="auto"/>
        </w:rPr>
        <w:t xml:space="preserve"> were developed without identification of underlying causes and </w:t>
      </w:r>
      <w:r w:rsidR="00DF181B">
        <w:rPr>
          <w:color w:val="auto"/>
        </w:rPr>
        <w:t>responsive behaviours</w:t>
      </w:r>
      <w:r w:rsidR="009012BF" w:rsidRPr="00EF43B6">
        <w:rPr>
          <w:color w:val="auto"/>
        </w:rPr>
        <w:t xml:space="preserve">. Recommended strategies for </w:t>
      </w:r>
      <w:r w:rsidR="00BF0162" w:rsidRPr="00EF43B6">
        <w:rPr>
          <w:color w:val="auto"/>
        </w:rPr>
        <w:t xml:space="preserve">individually </w:t>
      </w:r>
      <w:r w:rsidR="009012BF" w:rsidRPr="00EF43B6">
        <w:rPr>
          <w:color w:val="auto"/>
        </w:rPr>
        <w:t>tailored behaviour support and effectiveness of intervention</w:t>
      </w:r>
      <w:r w:rsidR="0039018A" w:rsidRPr="00EF43B6">
        <w:rPr>
          <w:color w:val="auto"/>
        </w:rPr>
        <w:t xml:space="preserve"> review</w:t>
      </w:r>
      <w:r w:rsidR="009012BF" w:rsidRPr="00EF43B6">
        <w:rPr>
          <w:color w:val="auto"/>
        </w:rPr>
        <w:t xml:space="preserve">s were not demonstrated. </w:t>
      </w:r>
    </w:p>
    <w:p w14:paraId="3A409562" w14:textId="6BA444D9" w:rsidR="002B05F8" w:rsidRPr="000D4001" w:rsidRDefault="00B62A40" w:rsidP="0036130C">
      <w:pPr>
        <w:pStyle w:val="NormalArial"/>
        <w:rPr>
          <w:color w:val="auto"/>
        </w:rPr>
      </w:pPr>
      <w:r w:rsidRPr="000D4001">
        <w:rPr>
          <w:color w:val="auto"/>
        </w:rPr>
        <w:t xml:space="preserve">In response to the Assessment Team report, </w:t>
      </w:r>
      <w:r w:rsidR="000E12F5">
        <w:rPr>
          <w:color w:val="auto"/>
        </w:rPr>
        <w:t>the approved provider disagreed with the characterisation of medication incidents and provided a comprehensive response to address the findings and</w:t>
      </w:r>
      <w:r w:rsidR="00002C14">
        <w:rPr>
          <w:color w:val="auto"/>
        </w:rPr>
        <w:t xml:space="preserve"> absence of key</w:t>
      </w:r>
      <w:r w:rsidR="000E12F5">
        <w:rPr>
          <w:color w:val="auto"/>
        </w:rPr>
        <w:t xml:space="preserve"> staff at the time of the assessment contact. T</w:t>
      </w:r>
      <w:r w:rsidRPr="000D4001">
        <w:rPr>
          <w:color w:val="auto"/>
        </w:rPr>
        <w:t xml:space="preserve">he approved provider </w:t>
      </w:r>
      <w:r w:rsidR="006C113F" w:rsidRPr="000D4001">
        <w:rPr>
          <w:color w:val="auto"/>
        </w:rPr>
        <w:t>discussed the investigation of all medication incidents</w:t>
      </w:r>
      <w:r w:rsidR="0073502F" w:rsidRPr="000D4001">
        <w:rPr>
          <w:color w:val="auto"/>
        </w:rPr>
        <w:t xml:space="preserve"> </w:t>
      </w:r>
      <w:r w:rsidR="006C113F" w:rsidRPr="000D4001">
        <w:rPr>
          <w:color w:val="auto"/>
        </w:rPr>
        <w:t>a</w:t>
      </w:r>
      <w:r w:rsidR="00F703C0" w:rsidRPr="000D4001">
        <w:rPr>
          <w:color w:val="auto"/>
        </w:rPr>
        <w:t>nd</w:t>
      </w:r>
      <w:r w:rsidR="006C113F" w:rsidRPr="000D4001">
        <w:rPr>
          <w:color w:val="auto"/>
        </w:rPr>
        <w:t xml:space="preserve"> implementation of </w:t>
      </w:r>
      <w:r w:rsidR="002C5706" w:rsidRPr="000D4001">
        <w:rPr>
          <w:color w:val="auto"/>
        </w:rPr>
        <w:t>preventative</w:t>
      </w:r>
      <w:r w:rsidR="006C113F" w:rsidRPr="000D4001">
        <w:rPr>
          <w:color w:val="auto"/>
        </w:rPr>
        <w:t xml:space="preserve"> strategies including </w:t>
      </w:r>
      <w:r w:rsidR="00F703C0" w:rsidRPr="000D4001">
        <w:rPr>
          <w:color w:val="auto"/>
        </w:rPr>
        <w:t xml:space="preserve">individual consumer reviews, </w:t>
      </w:r>
      <w:r w:rsidR="002C5706" w:rsidRPr="000D4001">
        <w:rPr>
          <w:color w:val="auto"/>
        </w:rPr>
        <w:t xml:space="preserve">weekly pharmacy medication balance checks, </w:t>
      </w:r>
      <w:r w:rsidR="00002C14">
        <w:rPr>
          <w:color w:val="auto"/>
        </w:rPr>
        <w:t>updated handover processes, improved monitoring of medication cupboards</w:t>
      </w:r>
      <w:r w:rsidR="00DF181B">
        <w:rPr>
          <w:color w:val="auto"/>
        </w:rPr>
        <w:t>,</w:t>
      </w:r>
      <w:r w:rsidR="00002C14">
        <w:rPr>
          <w:color w:val="auto"/>
        </w:rPr>
        <w:t xml:space="preserve"> </w:t>
      </w:r>
      <w:r w:rsidR="00F703C0" w:rsidRPr="000D4001">
        <w:rPr>
          <w:color w:val="auto"/>
        </w:rPr>
        <w:t xml:space="preserve">completion of staff medication competencies, toolbox talks and </w:t>
      </w:r>
      <w:r w:rsidR="002C5706" w:rsidRPr="000D4001">
        <w:rPr>
          <w:color w:val="auto"/>
        </w:rPr>
        <w:t>staff discussions</w:t>
      </w:r>
      <w:r w:rsidR="00F703C0" w:rsidRPr="000D4001">
        <w:rPr>
          <w:color w:val="auto"/>
        </w:rPr>
        <w:t>.</w:t>
      </w:r>
      <w:r w:rsidR="002C5706" w:rsidRPr="000D4001">
        <w:rPr>
          <w:color w:val="auto"/>
        </w:rPr>
        <w:t xml:space="preserve"> Preventative strategies are reviewed for effectiveness by the clinical risk and governance meetings</w:t>
      </w:r>
      <w:r w:rsidR="00DF181B">
        <w:rPr>
          <w:color w:val="auto"/>
        </w:rPr>
        <w:t xml:space="preserve">, </w:t>
      </w:r>
      <w:r w:rsidR="002C5706" w:rsidRPr="000D4001">
        <w:rPr>
          <w:color w:val="auto"/>
        </w:rPr>
        <w:t xml:space="preserve">through </w:t>
      </w:r>
      <w:r w:rsidR="001746BE" w:rsidRPr="000D4001">
        <w:rPr>
          <w:color w:val="auto"/>
        </w:rPr>
        <w:t xml:space="preserve">individual consumer </w:t>
      </w:r>
      <w:r w:rsidR="002C5706" w:rsidRPr="000D4001">
        <w:rPr>
          <w:color w:val="auto"/>
        </w:rPr>
        <w:t xml:space="preserve">‘special care days’ </w:t>
      </w:r>
      <w:r w:rsidR="001746BE" w:rsidRPr="000D4001">
        <w:rPr>
          <w:color w:val="auto"/>
        </w:rPr>
        <w:t>and review of</w:t>
      </w:r>
      <w:r w:rsidR="002C5706" w:rsidRPr="000D4001">
        <w:rPr>
          <w:color w:val="auto"/>
        </w:rPr>
        <w:t xml:space="preserve"> consumer progress note</w:t>
      </w:r>
      <w:r w:rsidR="001746BE" w:rsidRPr="000D4001">
        <w:rPr>
          <w:color w:val="auto"/>
        </w:rPr>
        <w:t>s</w:t>
      </w:r>
      <w:r w:rsidR="002C5706" w:rsidRPr="000D4001">
        <w:rPr>
          <w:color w:val="auto"/>
        </w:rPr>
        <w:t>.</w:t>
      </w:r>
      <w:r w:rsidR="001C313A" w:rsidRPr="000D4001">
        <w:rPr>
          <w:color w:val="auto"/>
        </w:rPr>
        <w:t xml:space="preserve"> </w:t>
      </w:r>
    </w:p>
    <w:p w14:paraId="3825F220" w14:textId="5DE9C66A" w:rsidR="00B62A40" w:rsidRPr="000D4001" w:rsidRDefault="00622033" w:rsidP="0036130C">
      <w:pPr>
        <w:pStyle w:val="NormalArial"/>
        <w:rPr>
          <w:color w:val="auto"/>
        </w:rPr>
      </w:pPr>
      <w:r w:rsidRPr="000D4001">
        <w:rPr>
          <w:color w:val="auto"/>
        </w:rPr>
        <w:t xml:space="preserve">Evidence of </w:t>
      </w:r>
      <w:r w:rsidR="00403BFE" w:rsidRPr="000D4001">
        <w:rPr>
          <w:color w:val="auto"/>
        </w:rPr>
        <w:t xml:space="preserve">medication </w:t>
      </w:r>
      <w:r w:rsidRPr="000D4001">
        <w:rPr>
          <w:color w:val="auto"/>
        </w:rPr>
        <w:t>risk investigation</w:t>
      </w:r>
      <w:r w:rsidR="00403BFE" w:rsidRPr="000D4001">
        <w:rPr>
          <w:color w:val="auto"/>
        </w:rPr>
        <w:t>s</w:t>
      </w:r>
      <w:r w:rsidRPr="000D4001">
        <w:rPr>
          <w:color w:val="auto"/>
        </w:rPr>
        <w:t>, consumer incident reports, communications to clinical staff, staff performance discussions, and the clinical high</w:t>
      </w:r>
      <w:r w:rsidR="00DF181B">
        <w:rPr>
          <w:color w:val="auto"/>
        </w:rPr>
        <w:t>-</w:t>
      </w:r>
      <w:r w:rsidRPr="000D4001">
        <w:rPr>
          <w:color w:val="auto"/>
        </w:rPr>
        <w:t>risk register were provided for consideration.</w:t>
      </w:r>
      <w:r w:rsidR="006138EF" w:rsidRPr="000D4001">
        <w:rPr>
          <w:color w:val="auto"/>
        </w:rPr>
        <w:t xml:space="preserve"> </w:t>
      </w:r>
      <w:r w:rsidR="001C313A" w:rsidRPr="000D4001">
        <w:rPr>
          <w:color w:val="auto"/>
        </w:rPr>
        <w:t xml:space="preserve">Continuous improvement actions </w:t>
      </w:r>
      <w:r w:rsidR="002B05F8" w:rsidRPr="000D4001">
        <w:rPr>
          <w:color w:val="auto"/>
        </w:rPr>
        <w:t>include</w:t>
      </w:r>
      <w:r w:rsidR="00DF181B">
        <w:rPr>
          <w:color w:val="auto"/>
        </w:rPr>
        <w:t>d</w:t>
      </w:r>
      <w:r w:rsidR="002B05F8" w:rsidRPr="000D4001">
        <w:rPr>
          <w:color w:val="auto"/>
        </w:rPr>
        <w:t xml:space="preserve"> consumer medication self-assessments and updates to the medication management care plan and medication incident form. </w:t>
      </w:r>
      <w:r w:rsidR="007A0448">
        <w:rPr>
          <w:color w:val="auto"/>
        </w:rPr>
        <w:t xml:space="preserve">Medication orders were documented and </w:t>
      </w:r>
      <w:r w:rsidR="00631B39">
        <w:rPr>
          <w:color w:val="auto"/>
        </w:rPr>
        <w:t>phone orders charted and endorsed by medical officers within 24 hours, in line with the service policy</w:t>
      </w:r>
      <w:r w:rsidR="007A0448">
        <w:rPr>
          <w:color w:val="auto"/>
        </w:rPr>
        <w:t xml:space="preserve">. </w:t>
      </w:r>
      <w:r w:rsidR="00CE6776">
        <w:rPr>
          <w:color w:val="auto"/>
        </w:rPr>
        <w:t xml:space="preserve">Evidence of medical officer approval of nurse-initiated medications and appropriate charting was provided. </w:t>
      </w:r>
      <w:r w:rsidR="002B05F8" w:rsidRPr="000D4001">
        <w:rPr>
          <w:color w:val="auto"/>
        </w:rPr>
        <w:t>The medication management policy and medication procedure manual has also been updated</w:t>
      </w:r>
      <w:r w:rsidR="006138EF" w:rsidRPr="000D4001">
        <w:rPr>
          <w:color w:val="auto"/>
        </w:rPr>
        <w:t>. The approved provider discussed the oversight</w:t>
      </w:r>
      <w:r w:rsidR="000C22D0" w:rsidRPr="000D4001">
        <w:rPr>
          <w:color w:val="auto"/>
        </w:rPr>
        <w:t xml:space="preserve"> of medication management through the clinical risk and governance meetings and the marked improvement in medication incidents</w:t>
      </w:r>
      <w:r w:rsidR="001746BE" w:rsidRPr="000D4001">
        <w:rPr>
          <w:color w:val="auto"/>
        </w:rPr>
        <w:t xml:space="preserve"> to October 2024</w:t>
      </w:r>
      <w:r w:rsidR="0066156B" w:rsidRPr="000D4001">
        <w:rPr>
          <w:color w:val="auto"/>
        </w:rPr>
        <w:t>.</w:t>
      </w:r>
    </w:p>
    <w:p w14:paraId="13F73021" w14:textId="4647F854" w:rsidR="00F96AB2" w:rsidRPr="000D4001" w:rsidRDefault="00F96AB2" w:rsidP="0036130C">
      <w:pPr>
        <w:pStyle w:val="NormalArial"/>
        <w:rPr>
          <w:color w:val="auto"/>
        </w:rPr>
      </w:pPr>
      <w:r w:rsidRPr="000D4001">
        <w:rPr>
          <w:color w:val="auto"/>
        </w:rPr>
        <w:t xml:space="preserve">Medication assessments and medication charts for consumers receiving palliative care were provided as evidence of appropriate medication administration and management. </w:t>
      </w:r>
      <w:r w:rsidR="00C76B94" w:rsidRPr="000D4001">
        <w:rPr>
          <w:color w:val="auto"/>
        </w:rPr>
        <w:lastRenderedPageBreak/>
        <w:t>Complementary pain assessments identified non-pharmacological interventions</w:t>
      </w:r>
      <w:r w:rsidR="008F3C64" w:rsidRPr="000D4001">
        <w:rPr>
          <w:color w:val="auto"/>
        </w:rPr>
        <w:t xml:space="preserve"> and progress notes confirmed their application prior to administration of high-risk pain medication</w:t>
      </w:r>
      <w:r w:rsidR="00DF181B">
        <w:rPr>
          <w:color w:val="auto"/>
        </w:rPr>
        <w:t>s</w:t>
      </w:r>
      <w:r w:rsidR="008F3C64" w:rsidRPr="000D4001">
        <w:rPr>
          <w:color w:val="auto"/>
        </w:rPr>
        <w:t>. Medical officer oversight</w:t>
      </w:r>
      <w:r w:rsidR="00951415" w:rsidRPr="000D4001">
        <w:rPr>
          <w:color w:val="auto"/>
        </w:rPr>
        <w:t xml:space="preserve"> was evidenced and family conferencing</w:t>
      </w:r>
      <w:r w:rsidR="008F3C64" w:rsidRPr="000D4001">
        <w:rPr>
          <w:color w:val="auto"/>
        </w:rPr>
        <w:t xml:space="preserve"> </w:t>
      </w:r>
      <w:r w:rsidR="00951415" w:rsidRPr="000D4001">
        <w:rPr>
          <w:color w:val="auto"/>
        </w:rPr>
        <w:t>was undertaken to provide consumer updates and to obtain informed consent for use of high-risk pain medication during palliation.</w:t>
      </w:r>
      <w:r w:rsidR="008F3C64" w:rsidRPr="000D4001">
        <w:rPr>
          <w:color w:val="auto"/>
        </w:rPr>
        <w:t xml:space="preserve"> </w:t>
      </w:r>
      <w:r w:rsidR="00951415" w:rsidRPr="000D4001">
        <w:rPr>
          <w:color w:val="auto"/>
        </w:rPr>
        <w:t>Multiple pa</w:t>
      </w:r>
      <w:r w:rsidR="00C76B94" w:rsidRPr="000D4001">
        <w:rPr>
          <w:color w:val="auto"/>
        </w:rPr>
        <w:t xml:space="preserve">in charts </w:t>
      </w:r>
      <w:r w:rsidR="00951415" w:rsidRPr="000D4001">
        <w:rPr>
          <w:color w:val="auto"/>
        </w:rPr>
        <w:t xml:space="preserve">were submitted which </w:t>
      </w:r>
      <w:r w:rsidR="00770B7C" w:rsidRPr="000D4001">
        <w:rPr>
          <w:color w:val="auto"/>
        </w:rPr>
        <w:t>support</w:t>
      </w:r>
      <w:r w:rsidR="00EE0727">
        <w:rPr>
          <w:color w:val="auto"/>
        </w:rPr>
        <w:t xml:space="preserve"> </w:t>
      </w:r>
      <w:r w:rsidR="00770B7C" w:rsidRPr="000D4001">
        <w:rPr>
          <w:color w:val="auto"/>
        </w:rPr>
        <w:t>the</w:t>
      </w:r>
      <w:r w:rsidR="00951415" w:rsidRPr="000D4001">
        <w:rPr>
          <w:color w:val="auto"/>
        </w:rPr>
        <w:t xml:space="preserve"> </w:t>
      </w:r>
      <w:r w:rsidR="00770B7C" w:rsidRPr="000D4001">
        <w:rPr>
          <w:color w:val="auto"/>
        </w:rPr>
        <w:t xml:space="preserve">appropriate </w:t>
      </w:r>
      <w:r w:rsidR="00951415" w:rsidRPr="000D4001">
        <w:rPr>
          <w:color w:val="auto"/>
        </w:rPr>
        <w:t>use of the abbey pain scale.</w:t>
      </w:r>
    </w:p>
    <w:p w14:paraId="00DB6E7A" w14:textId="0567802E" w:rsidR="00121EEB" w:rsidRPr="003548E9" w:rsidRDefault="00770B7C" w:rsidP="0036130C">
      <w:pPr>
        <w:pStyle w:val="NormalArial"/>
        <w:rPr>
          <w:color w:val="auto"/>
        </w:rPr>
      </w:pPr>
      <w:r w:rsidRPr="003548E9">
        <w:rPr>
          <w:color w:val="auto"/>
        </w:rPr>
        <w:t>In</w:t>
      </w:r>
      <w:r w:rsidR="00A4085F">
        <w:rPr>
          <w:color w:val="auto"/>
        </w:rPr>
        <w:t xml:space="preserve"> relation to </w:t>
      </w:r>
      <w:r w:rsidRPr="003548E9">
        <w:rPr>
          <w:color w:val="auto"/>
        </w:rPr>
        <w:t>m</w:t>
      </w:r>
      <w:r w:rsidR="001746BE" w:rsidRPr="003548E9">
        <w:rPr>
          <w:color w:val="auto"/>
        </w:rPr>
        <w:t>edication stocks</w:t>
      </w:r>
      <w:r w:rsidRPr="003548E9">
        <w:rPr>
          <w:color w:val="auto"/>
        </w:rPr>
        <w:t xml:space="preserve">, the approved provider discussed </w:t>
      </w:r>
      <w:r w:rsidR="00121EEB" w:rsidRPr="003548E9">
        <w:rPr>
          <w:color w:val="auto"/>
        </w:rPr>
        <w:t>delays in pharmacy supply of certain medication patches, which were ordered in a timely manner however not received due to delays in provision of medical officer scripts</w:t>
      </w:r>
      <w:r w:rsidR="00004CFB">
        <w:rPr>
          <w:color w:val="auto"/>
        </w:rPr>
        <w:t xml:space="preserve">. </w:t>
      </w:r>
      <w:r w:rsidR="00121EEB" w:rsidRPr="003548E9">
        <w:rPr>
          <w:color w:val="auto"/>
        </w:rPr>
        <w:t>To mitigate further delays, communication</w:t>
      </w:r>
      <w:r w:rsidR="000D4001" w:rsidRPr="003548E9">
        <w:rPr>
          <w:color w:val="auto"/>
        </w:rPr>
        <w:t xml:space="preserve">s were sent to </w:t>
      </w:r>
      <w:r w:rsidR="00121EEB" w:rsidRPr="003548E9">
        <w:rPr>
          <w:color w:val="auto"/>
        </w:rPr>
        <w:t>medical officers about consumer prescription needs</w:t>
      </w:r>
      <w:r w:rsidR="00004CFB">
        <w:rPr>
          <w:color w:val="auto"/>
        </w:rPr>
        <w:t xml:space="preserve">, </w:t>
      </w:r>
      <w:r w:rsidR="00121EEB" w:rsidRPr="003548E9">
        <w:rPr>
          <w:color w:val="auto"/>
        </w:rPr>
        <w:t>automated system ordering and legislative supply requirements</w:t>
      </w:r>
      <w:r w:rsidR="000D4001" w:rsidRPr="003548E9">
        <w:rPr>
          <w:color w:val="auto"/>
        </w:rPr>
        <w:t xml:space="preserve">. Additional strategies were also introduced including review of medication patch application times to ensure sufficient stock ordering time was available, weekly stock checks and reporting to assist with delayed </w:t>
      </w:r>
      <w:r w:rsidR="00731021">
        <w:rPr>
          <w:color w:val="auto"/>
        </w:rPr>
        <w:t>prescription</w:t>
      </w:r>
      <w:r w:rsidR="000D4001" w:rsidRPr="003548E9">
        <w:rPr>
          <w:color w:val="auto"/>
        </w:rPr>
        <w:t xml:space="preserve"> identification and reminder emails to medical officers and the clinical team to ensure </w:t>
      </w:r>
      <w:r w:rsidR="00731021">
        <w:rPr>
          <w:color w:val="auto"/>
        </w:rPr>
        <w:t>prescription</w:t>
      </w:r>
      <w:r w:rsidR="000D4001" w:rsidRPr="003548E9">
        <w:rPr>
          <w:color w:val="auto"/>
        </w:rPr>
        <w:t xml:space="preserve"> follow-up.</w:t>
      </w:r>
    </w:p>
    <w:p w14:paraId="04ACD2CB" w14:textId="32DA424E" w:rsidR="00B62A40" w:rsidRPr="005A4A90" w:rsidRDefault="00752706" w:rsidP="0036130C">
      <w:pPr>
        <w:pStyle w:val="NormalArial"/>
        <w:rPr>
          <w:color w:val="auto"/>
        </w:rPr>
      </w:pPr>
      <w:r w:rsidRPr="005A4A90">
        <w:rPr>
          <w:color w:val="auto"/>
        </w:rPr>
        <w:t xml:space="preserve">In relation to falls management, the approved provider submitted falls risk assessments and incident reports, bed safety assessments, mobility and functional assessments </w:t>
      </w:r>
      <w:r w:rsidR="006138EF" w:rsidRPr="005A4A90">
        <w:rPr>
          <w:color w:val="auto"/>
        </w:rPr>
        <w:t xml:space="preserve">and evidence of discussion with consumers </w:t>
      </w:r>
      <w:r w:rsidR="00AC7389">
        <w:rPr>
          <w:color w:val="auto"/>
        </w:rPr>
        <w:t xml:space="preserve">and consumer representatives </w:t>
      </w:r>
      <w:r w:rsidR="006138EF" w:rsidRPr="005A4A90">
        <w:rPr>
          <w:color w:val="auto"/>
        </w:rPr>
        <w:t>about falls prevention strategies and dignity of risk.</w:t>
      </w:r>
      <w:r w:rsidR="00A55FBA" w:rsidRPr="005A4A90">
        <w:rPr>
          <w:color w:val="auto"/>
        </w:rPr>
        <w:t xml:space="preserve"> </w:t>
      </w:r>
      <w:r w:rsidR="00891C0A" w:rsidRPr="005A4A90">
        <w:rPr>
          <w:color w:val="auto"/>
        </w:rPr>
        <w:t>The documented falls prevention and management practice</w:t>
      </w:r>
      <w:r w:rsidR="00731021">
        <w:rPr>
          <w:color w:val="auto"/>
        </w:rPr>
        <w:t>,</w:t>
      </w:r>
      <w:r w:rsidR="00891C0A" w:rsidRPr="005A4A90">
        <w:rPr>
          <w:color w:val="auto"/>
        </w:rPr>
        <w:t xml:space="preserve"> </w:t>
      </w:r>
      <w:r w:rsidR="00D5010D" w:rsidRPr="005A4A90">
        <w:rPr>
          <w:color w:val="auto"/>
        </w:rPr>
        <w:t>dated September 2024</w:t>
      </w:r>
      <w:r w:rsidR="00731021">
        <w:rPr>
          <w:color w:val="auto"/>
        </w:rPr>
        <w:t>,</w:t>
      </w:r>
      <w:r w:rsidR="00D5010D" w:rsidRPr="005A4A90">
        <w:rPr>
          <w:color w:val="auto"/>
        </w:rPr>
        <w:t xml:space="preserve"> </w:t>
      </w:r>
      <w:r w:rsidR="00891C0A" w:rsidRPr="005A4A90">
        <w:rPr>
          <w:color w:val="auto"/>
        </w:rPr>
        <w:t xml:space="preserve">was submitted to support </w:t>
      </w:r>
      <w:r w:rsidR="00C91B6F" w:rsidRPr="005A4A90">
        <w:rPr>
          <w:color w:val="auto"/>
        </w:rPr>
        <w:t>comments</w:t>
      </w:r>
      <w:r w:rsidR="00891C0A" w:rsidRPr="005A4A90">
        <w:rPr>
          <w:color w:val="auto"/>
        </w:rPr>
        <w:t xml:space="preserve"> </w:t>
      </w:r>
      <w:r w:rsidR="00D5010D" w:rsidRPr="005A4A90">
        <w:rPr>
          <w:color w:val="auto"/>
        </w:rPr>
        <w:t>about falls investigations</w:t>
      </w:r>
      <w:r w:rsidR="00C91B6F" w:rsidRPr="005A4A90">
        <w:rPr>
          <w:color w:val="auto"/>
        </w:rPr>
        <w:t>, which includes oversight by care manager</w:t>
      </w:r>
      <w:r w:rsidR="00731021">
        <w:rPr>
          <w:color w:val="auto"/>
        </w:rPr>
        <w:t>s</w:t>
      </w:r>
      <w:r w:rsidR="00C91B6F" w:rsidRPr="005A4A90">
        <w:rPr>
          <w:color w:val="auto"/>
        </w:rPr>
        <w:t xml:space="preserve">, discussions and updates at morning huddle, handover and weekly </w:t>
      </w:r>
      <w:r w:rsidR="00731021">
        <w:rPr>
          <w:color w:val="auto"/>
        </w:rPr>
        <w:t>consumer ‘</w:t>
      </w:r>
      <w:r w:rsidR="00C91B6F" w:rsidRPr="005A4A90">
        <w:rPr>
          <w:color w:val="auto"/>
        </w:rPr>
        <w:t>focus’ meetings where multi-disciplinary staff review high</w:t>
      </w:r>
      <w:r w:rsidR="00731021">
        <w:rPr>
          <w:color w:val="auto"/>
        </w:rPr>
        <w:t>-</w:t>
      </w:r>
      <w:r w:rsidR="00C91B6F" w:rsidRPr="005A4A90">
        <w:rPr>
          <w:color w:val="auto"/>
        </w:rPr>
        <w:t xml:space="preserve">risk strategies </w:t>
      </w:r>
      <w:r w:rsidR="00731021">
        <w:rPr>
          <w:color w:val="auto"/>
        </w:rPr>
        <w:t>including</w:t>
      </w:r>
      <w:r w:rsidR="00C91B6F" w:rsidRPr="005A4A90">
        <w:rPr>
          <w:color w:val="auto"/>
        </w:rPr>
        <w:t xml:space="preserve"> falls. Other oversight mechanisms include consumer ‘special care days’, monthly registered nurse and clinical risk and governance meetings, and high-risk staff monitoring of implemented strategies and feedback to the clinical team if further actions are required.</w:t>
      </w:r>
    </w:p>
    <w:p w14:paraId="75FD79F3" w14:textId="59C03F9C" w:rsidR="00C91B6F" w:rsidRPr="002341A5" w:rsidRDefault="00C91B6F" w:rsidP="0036130C">
      <w:pPr>
        <w:pStyle w:val="NormalArial"/>
        <w:rPr>
          <w:color w:val="auto"/>
        </w:rPr>
      </w:pPr>
      <w:r w:rsidRPr="002341A5">
        <w:rPr>
          <w:color w:val="auto"/>
        </w:rPr>
        <w:t>The approved provider discussed the decrease in falls between August and September 2024</w:t>
      </w:r>
      <w:r w:rsidR="00380DB1" w:rsidRPr="002341A5">
        <w:rPr>
          <w:color w:val="auto"/>
        </w:rPr>
        <w:t xml:space="preserve"> and the data analysis undertaken </w:t>
      </w:r>
      <w:r w:rsidR="005A4A90" w:rsidRPr="002341A5">
        <w:rPr>
          <w:color w:val="auto"/>
        </w:rPr>
        <w:t xml:space="preserve">by clinical managers which identifies falls mechanisms, consumers at high-risk and those who need </w:t>
      </w:r>
      <w:r w:rsidR="002B6B74" w:rsidRPr="002341A5">
        <w:rPr>
          <w:color w:val="auto"/>
        </w:rPr>
        <w:t>additional</w:t>
      </w:r>
      <w:r w:rsidR="005A4A90" w:rsidRPr="002341A5">
        <w:rPr>
          <w:color w:val="auto"/>
        </w:rPr>
        <w:t xml:space="preserve"> prevention strategies implemented. The approved provider also </w:t>
      </w:r>
      <w:r w:rsidR="00731021">
        <w:rPr>
          <w:color w:val="auto"/>
        </w:rPr>
        <w:t>highlighted</w:t>
      </w:r>
      <w:r w:rsidR="005A4A90" w:rsidRPr="002341A5">
        <w:rPr>
          <w:color w:val="auto"/>
        </w:rPr>
        <w:t xml:space="preserve"> the committed efforts </w:t>
      </w:r>
      <w:r w:rsidR="0023041D" w:rsidRPr="002341A5">
        <w:rPr>
          <w:color w:val="auto"/>
        </w:rPr>
        <w:t>of the clinical team and physiotherapist in developing strategies to reduce the number of falls.</w:t>
      </w:r>
    </w:p>
    <w:p w14:paraId="36AAE982" w14:textId="4C1D229D" w:rsidR="00352E84" w:rsidRPr="00C4229A" w:rsidRDefault="007B3134" w:rsidP="0036130C">
      <w:pPr>
        <w:pStyle w:val="NormalArial"/>
        <w:rPr>
          <w:color w:val="auto"/>
        </w:rPr>
      </w:pPr>
      <w:r w:rsidRPr="00C4229A">
        <w:rPr>
          <w:color w:val="auto"/>
        </w:rPr>
        <w:t xml:space="preserve">In response to </w:t>
      </w:r>
      <w:r w:rsidR="00352E84" w:rsidRPr="00C4229A">
        <w:rPr>
          <w:color w:val="auto"/>
        </w:rPr>
        <w:t>restrictive practices management</w:t>
      </w:r>
      <w:r w:rsidRPr="00C4229A">
        <w:rPr>
          <w:color w:val="auto"/>
        </w:rPr>
        <w:t>, t</w:t>
      </w:r>
      <w:r w:rsidR="002341A5" w:rsidRPr="00C4229A">
        <w:rPr>
          <w:color w:val="auto"/>
        </w:rPr>
        <w:t xml:space="preserve">he approved provider noted consumers are supported to leave the service </w:t>
      </w:r>
      <w:r w:rsidRPr="00C4229A">
        <w:rPr>
          <w:color w:val="auto"/>
        </w:rPr>
        <w:t xml:space="preserve">when they choose </w:t>
      </w:r>
      <w:r w:rsidR="002341A5" w:rsidRPr="00C4229A">
        <w:rPr>
          <w:color w:val="auto"/>
        </w:rPr>
        <w:t xml:space="preserve">and accompanying risk assessment forms provide additional information about external risks, general risk reduction strategies and </w:t>
      </w:r>
      <w:r w:rsidRPr="00C4229A">
        <w:rPr>
          <w:color w:val="auto"/>
        </w:rPr>
        <w:t xml:space="preserve">other </w:t>
      </w:r>
      <w:r w:rsidR="002341A5" w:rsidRPr="00C4229A">
        <w:rPr>
          <w:color w:val="auto"/>
        </w:rPr>
        <w:t xml:space="preserve">supports </w:t>
      </w:r>
      <w:r w:rsidRPr="00C4229A">
        <w:rPr>
          <w:color w:val="auto"/>
        </w:rPr>
        <w:t xml:space="preserve">that may be </w:t>
      </w:r>
      <w:r w:rsidR="002341A5" w:rsidRPr="00C4229A">
        <w:rPr>
          <w:color w:val="auto"/>
        </w:rPr>
        <w:t>required.</w:t>
      </w:r>
      <w:r w:rsidR="00352E84" w:rsidRPr="00C4229A">
        <w:rPr>
          <w:color w:val="auto"/>
        </w:rPr>
        <w:t xml:space="preserve"> </w:t>
      </w:r>
      <w:r w:rsidR="000928EE" w:rsidRPr="00C4229A">
        <w:rPr>
          <w:color w:val="auto"/>
        </w:rPr>
        <w:t xml:space="preserve">Evidence of </w:t>
      </w:r>
      <w:r w:rsidR="00932508" w:rsidRPr="00C4229A">
        <w:rPr>
          <w:color w:val="auto"/>
        </w:rPr>
        <w:t xml:space="preserve">behaviour support with accompanying chemical restraint review and reduction where possible </w:t>
      </w:r>
      <w:r w:rsidR="000928EE" w:rsidRPr="00C4229A">
        <w:rPr>
          <w:color w:val="auto"/>
        </w:rPr>
        <w:t>was provided</w:t>
      </w:r>
      <w:r w:rsidRPr="00C4229A">
        <w:rPr>
          <w:color w:val="auto"/>
        </w:rPr>
        <w:t>.</w:t>
      </w:r>
      <w:r w:rsidR="00AA68F7" w:rsidRPr="00C4229A">
        <w:rPr>
          <w:color w:val="auto"/>
        </w:rPr>
        <w:t xml:space="preserve"> </w:t>
      </w:r>
      <w:r w:rsidR="00444100" w:rsidRPr="00C4229A">
        <w:rPr>
          <w:color w:val="auto"/>
        </w:rPr>
        <w:t>Geriatrician reviews were conducted when appropriate and recommendations included non-pharma</w:t>
      </w:r>
      <w:r w:rsidR="00352E84" w:rsidRPr="00C4229A">
        <w:rPr>
          <w:color w:val="auto"/>
        </w:rPr>
        <w:t xml:space="preserve">cological </w:t>
      </w:r>
      <w:r w:rsidR="00444100" w:rsidRPr="00C4229A">
        <w:rPr>
          <w:color w:val="auto"/>
        </w:rPr>
        <w:t>interventions for behaviour support</w:t>
      </w:r>
      <w:r w:rsidR="00AA68F7" w:rsidRPr="00C4229A">
        <w:rPr>
          <w:color w:val="auto"/>
        </w:rPr>
        <w:t>.</w:t>
      </w:r>
      <w:r w:rsidR="00352E84" w:rsidRPr="00C4229A">
        <w:rPr>
          <w:color w:val="auto"/>
        </w:rPr>
        <w:t xml:space="preserve"> The approved provider discussed the regular review of consumers requiring psychotropic medications and the guiding principles available to staff to support medication management. </w:t>
      </w:r>
    </w:p>
    <w:p w14:paraId="4D3691BD" w14:textId="6DD63256" w:rsidR="002B6B74" w:rsidRPr="00C4229A" w:rsidRDefault="00BC40C6" w:rsidP="0036130C">
      <w:pPr>
        <w:pStyle w:val="NormalArial"/>
        <w:rPr>
          <w:color w:val="auto"/>
        </w:rPr>
      </w:pPr>
      <w:r w:rsidRPr="00C4229A">
        <w:rPr>
          <w:color w:val="auto"/>
        </w:rPr>
        <w:t>The approved provider discussed how the m</w:t>
      </w:r>
      <w:r w:rsidR="00352E84" w:rsidRPr="00C4229A">
        <w:rPr>
          <w:color w:val="auto"/>
        </w:rPr>
        <w:t xml:space="preserve">onthly review of psychotropic medications </w:t>
      </w:r>
      <w:r w:rsidRPr="00C4229A">
        <w:rPr>
          <w:color w:val="auto"/>
        </w:rPr>
        <w:t>by</w:t>
      </w:r>
      <w:r w:rsidR="00352E84" w:rsidRPr="00C4229A">
        <w:rPr>
          <w:color w:val="auto"/>
        </w:rPr>
        <w:t xml:space="preserve"> the clinical risk and governance committee and support from other </w:t>
      </w:r>
      <w:r w:rsidRPr="00C4229A">
        <w:rPr>
          <w:color w:val="auto"/>
        </w:rPr>
        <w:t>health professionals and services including (but not limited to) geriatricians, Older Person Mental Health Team and Dementia Support Australia has contributed to the successful cessation of 28 chemical restraints since February 2024. Evidence of deprescribing and increased referrals for review of chemical restrictive practices was provided.</w:t>
      </w:r>
    </w:p>
    <w:p w14:paraId="7AF18DB0" w14:textId="7401D12C" w:rsidR="00546D92" w:rsidRPr="00D84D6D" w:rsidRDefault="00C4229A" w:rsidP="0036130C">
      <w:pPr>
        <w:pStyle w:val="NormalArial"/>
        <w:rPr>
          <w:color w:val="auto"/>
        </w:rPr>
      </w:pPr>
      <w:r w:rsidRPr="009A1BB1">
        <w:rPr>
          <w:color w:val="auto"/>
        </w:rPr>
        <w:t xml:space="preserve">When discussing behaviour support, the approved provider </w:t>
      </w:r>
      <w:r w:rsidR="008D5A8E" w:rsidRPr="009A1BB1">
        <w:rPr>
          <w:color w:val="auto"/>
        </w:rPr>
        <w:t xml:space="preserve">supplied examples of behaviour support </w:t>
      </w:r>
      <w:r w:rsidR="00C617A5" w:rsidRPr="009A1BB1">
        <w:rPr>
          <w:color w:val="auto"/>
        </w:rPr>
        <w:t>plans which considered tailored strategies for individual consumers based on past histories and experiences</w:t>
      </w:r>
      <w:r w:rsidRPr="009A1BB1">
        <w:rPr>
          <w:color w:val="auto"/>
        </w:rPr>
        <w:t>.</w:t>
      </w:r>
      <w:r w:rsidR="00C617A5" w:rsidRPr="009A1BB1">
        <w:rPr>
          <w:color w:val="auto"/>
        </w:rPr>
        <w:t xml:space="preserve"> Behaviour support plans considered </w:t>
      </w:r>
      <w:r w:rsidR="009A1BB1" w:rsidRPr="009A1BB1">
        <w:rPr>
          <w:color w:val="auto"/>
        </w:rPr>
        <w:t xml:space="preserve">responsive </w:t>
      </w:r>
      <w:r w:rsidR="00C617A5" w:rsidRPr="009A1BB1">
        <w:rPr>
          <w:color w:val="auto"/>
        </w:rPr>
        <w:t>behaviour</w:t>
      </w:r>
      <w:r w:rsidR="009A1BB1" w:rsidRPr="009A1BB1">
        <w:rPr>
          <w:color w:val="auto"/>
        </w:rPr>
        <w:t>s</w:t>
      </w:r>
      <w:r w:rsidR="00C617A5" w:rsidRPr="009A1BB1">
        <w:rPr>
          <w:color w:val="auto"/>
        </w:rPr>
        <w:t>, unmet needs</w:t>
      </w:r>
      <w:r w:rsidR="00E632E8" w:rsidRPr="009A1BB1">
        <w:rPr>
          <w:color w:val="auto"/>
        </w:rPr>
        <w:t>, and detailed immediate and other care strategies and proactive interventions to support consumers</w:t>
      </w:r>
      <w:r w:rsidR="00BC5DC5">
        <w:rPr>
          <w:color w:val="auto"/>
        </w:rPr>
        <w:t>, like engagement in activities</w:t>
      </w:r>
      <w:r w:rsidR="00E632E8" w:rsidRPr="009A1BB1">
        <w:rPr>
          <w:color w:val="auto"/>
        </w:rPr>
        <w:t xml:space="preserve">. </w:t>
      </w:r>
      <w:r w:rsidR="00BC5DC5">
        <w:rPr>
          <w:color w:val="auto"/>
        </w:rPr>
        <w:t xml:space="preserve">Consumer preferences and personalised interests </w:t>
      </w:r>
      <w:r w:rsidR="00BC5DC5">
        <w:rPr>
          <w:color w:val="auto"/>
        </w:rPr>
        <w:lastRenderedPageBreak/>
        <w:t>and family connections were considered on admission and informed behaviour support strategies</w:t>
      </w:r>
      <w:r w:rsidR="00DF03AD">
        <w:rPr>
          <w:color w:val="auto"/>
        </w:rPr>
        <w:t xml:space="preserve">. </w:t>
      </w:r>
      <w:r w:rsidR="00546D92" w:rsidRPr="00D84D6D">
        <w:rPr>
          <w:color w:val="auto"/>
        </w:rPr>
        <w:t xml:space="preserve">Appropriate assessments and reviews were evidenced to accompany behaviour support measures and included pain assessments, </w:t>
      </w:r>
      <w:r w:rsidR="006F0320" w:rsidRPr="00D84D6D">
        <w:rPr>
          <w:color w:val="auto"/>
        </w:rPr>
        <w:t xml:space="preserve">and </w:t>
      </w:r>
      <w:r w:rsidR="00546D92" w:rsidRPr="00D84D6D">
        <w:rPr>
          <w:color w:val="auto"/>
        </w:rPr>
        <w:t>delirium and depression screening.</w:t>
      </w:r>
      <w:r w:rsidR="006F0320" w:rsidRPr="00D84D6D">
        <w:rPr>
          <w:color w:val="auto"/>
        </w:rPr>
        <w:t xml:space="preserve"> Referrals were made to Dementia Support Australia</w:t>
      </w:r>
      <w:r w:rsidR="00D84D6D">
        <w:rPr>
          <w:color w:val="auto"/>
        </w:rPr>
        <w:t>, physiotherapy</w:t>
      </w:r>
      <w:r w:rsidR="006F0320" w:rsidRPr="00D84D6D">
        <w:rPr>
          <w:color w:val="auto"/>
        </w:rPr>
        <w:t xml:space="preserve"> and specialised psychological services when required and</w:t>
      </w:r>
      <w:r w:rsidR="00DF03AD" w:rsidRPr="00D84D6D">
        <w:rPr>
          <w:color w:val="auto"/>
        </w:rPr>
        <w:t xml:space="preserve"> recommendations were implemented</w:t>
      </w:r>
      <w:r w:rsidR="006F0320" w:rsidRPr="00D84D6D">
        <w:rPr>
          <w:color w:val="auto"/>
        </w:rPr>
        <w:t>.</w:t>
      </w:r>
    </w:p>
    <w:p w14:paraId="4AD83170" w14:textId="4AADAD6A" w:rsidR="00C4229A" w:rsidRDefault="00E632E8" w:rsidP="0036130C">
      <w:pPr>
        <w:pStyle w:val="NormalArial"/>
        <w:rPr>
          <w:color w:val="FF0000"/>
        </w:rPr>
      </w:pPr>
      <w:r w:rsidRPr="009A1BB1">
        <w:rPr>
          <w:color w:val="auto"/>
        </w:rPr>
        <w:t xml:space="preserve">For comprehensive behaviour support plans, staff are provided with </w:t>
      </w:r>
      <w:r w:rsidR="009A1BB1" w:rsidRPr="009A1BB1">
        <w:rPr>
          <w:color w:val="auto"/>
        </w:rPr>
        <w:t>training on behaviour support, reading a behaviour support plan</w:t>
      </w:r>
      <w:r w:rsidRPr="009A1BB1">
        <w:rPr>
          <w:color w:val="auto"/>
        </w:rPr>
        <w:t xml:space="preserve"> and instructions on how to quickly identify </w:t>
      </w:r>
      <w:r w:rsidR="009A1BB1" w:rsidRPr="009A1BB1">
        <w:rPr>
          <w:color w:val="auto"/>
        </w:rPr>
        <w:t>responsive behaviours</w:t>
      </w:r>
      <w:r w:rsidRPr="009A1BB1">
        <w:rPr>
          <w:color w:val="auto"/>
        </w:rPr>
        <w:t>, intervention strategies and monitoring requirements.</w:t>
      </w:r>
      <w:r w:rsidR="00E074C1" w:rsidRPr="009A1BB1">
        <w:rPr>
          <w:color w:val="auto"/>
        </w:rPr>
        <w:t xml:space="preserve"> Additional staff supports include individual ‘know your’ consumer behaviour guides</w:t>
      </w:r>
      <w:r w:rsidR="009A1BB1" w:rsidRPr="009A1BB1">
        <w:rPr>
          <w:color w:val="auto"/>
        </w:rPr>
        <w:t>, consumers ‘of the week’</w:t>
      </w:r>
      <w:r w:rsidR="00E074C1" w:rsidRPr="009A1BB1">
        <w:rPr>
          <w:color w:val="auto"/>
        </w:rPr>
        <w:t xml:space="preserve"> and staff huddle and handover discussions</w:t>
      </w:r>
      <w:r w:rsidR="009A1BB1" w:rsidRPr="009A1BB1">
        <w:rPr>
          <w:color w:val="auto"/>
        </w:rPr>
        <w:t xml:space="preserve"> which</w:t>
      </w:r>
      <w:r w:rsidR="00E074C1" w:rsidRPr="009A1BB1">
        <w:rPr>
          <w:color w:val="auto"/>
        </w:rPr>
        <w:t xml:space="preserve"> raise awareness of consumers with high-risk behaviour support needs.</w:t>
      </w:r>
      <w:r w:rsidR="009A1BB1">
        <w:rPr>
          <w:color w:val="FF0000"/>
        </w:rPr>
        <w:t xml:space="preserve"> </w:t>
      </w:r>
      <w:r w:rsidR="009A1BB1" w:rsidRPr="009A1BB1">
        <w:rPr>
          <w:color w:val="auto"/>
        </w:rPr>
        <w:t xml:space="preserve">Recent improvements to </w:t>
      </w:r>
      <w:r w:rsidR="009A1BB1">
        <w:rPr>
          <w:color w:val="auto"/>
        </w:rPr>
        <w:t xml:space="preserve">tailor </w:t>
      </w:r>
      <w:r w:rsidR="009A1BB1" w:rsidRPr="009A1BB1">
        <w:rPr>
          <w:color w:val="auto"/>
        </w:rPr>
        <w:t xml:space="preserve">behaviour support plans </w:t>
      </w:r>
      <w:r w:rsidR="009A1BB1">
        <w:rPr>
          <w:color w:val="auto"/>
        </w:rPr>
        <w:t xml:space="preserve">further </w:t>
      </w:r>
      <w:r w:rsidR="009A1BB1" w:rsidRPr="009A1BB1">
        <w:rPr>
          <w:color w:val="auto"/>
        </w:rPr>
        <w:t>include reduction of behaviour occurrences and behaviour change histories to the preceding 12 month</w:t>
      </w:r>
      <w:r w:rsidR="0058269D">
        <w:rPr>
          <w:color w:val="auto"/>
        </w:rPr>
        <w:t>s, which ensures staff have access to current information.</w:t>
      </w:r>
    </w:p>
    <w:p w14:paraId="5BD27738" w14:textId="222CA559" w:rsidR="00663FCB" w:rsidRPr="00264543" w:rsidRDefault="00EF43B6" w:rsidP="00663FCB">
      <w:pPr>
        <w:pStyle w:val="NormalArial"/>
        <w:rPr>
          <w:color w:val="auto"/>
        </w:rPr>
      </w:pPr>
      <w:r w:rsidRPr="00264543">
        <w:rPr>
          <w:color w:val="auto"/>
        </w:rPr>
        <w:t xml:space="preserve">In making a decision about Requirement 3(3)(b), I have considered </w:t>
      </w:r>
      <w:r w:rsidR="00EE0727" w:rsidRPr="00264543">
        <w:rPr>
          <w:color w:val="auto"/>
        </w:rPr>
        <w:t>the intent of the Requirement</w:t>
      </w:r>
      <w:r w:rsidR="00264543" w:rsidRPr="00264543">
        <w:rPr>
          <w:color w:val="auto"/>
        </w:rPr>
        <w:t xml:space="preserve"> </w:t>
      </w:r>
      <w:r w:rsidR="00663FCB" w:rsidRPr="00264543">
        <w:rPr>
          <w:color w:val="auto"/>
        </w:rPr>
        <w:t>which is to ensure the effective management of risks is underpinned by clinical governance systems for safety and quality</w:t>
      </w:r>
      <w:r w:rsidR="00264543" w:rsidRPr="00264543">
        <w:rPr>
          <w:color w:val="auto"/>
        </w:rPr>
        <w:t xml:space="preserve">. </w:t>
      </w:r>
      <w:r w:rsidR="00663FCB" w:rsidRPr="00264543">
        <w:rPr>
          <w:color w:val="auto"/>
        </w:rPr>
        <w:t>This includes reviewing the delivery of personal and clinical care and responding appropriately to the changing needs of consumers</w:t>
      </w:r>
      <w:r w:rsidR="00264543">
        <w:rPr>
          <w:color w:val="auto"/>
        </w:rPr>
        <w:t xml:space="preserve"> and the impacts risks have on the health and well-being of consumers</w:t>
      </w:r>
      <w:r w:rsidR="00663FCB" w:rsidRPr="00264543">
        <w:rPr>
          <w:color w:val="auto"/>
        </w:rPr>
        <w:t>.</w:t>
      </w:r>
    </w:p>
    <w:p w14:paraId="0A88661E" w14:textId="49E82E34" w:rsidR="003E138F" w:rsidRPr="00A46AE8" w:rsidRDefault="00264543" w:rsidP="0036130C">
      <w:pPr>
        <w:pStyle w:val="NormalArial"/>
        <w:rPr>
          <w:color w:val="auto"/>
        </w:rPr>
      </w:pPr>
      <w:r w:rsidRPr="00264543">
        <w:rPr>
          <w:color w:val="auto"/>
        </w:rPr>
        <w:t>I have considered the positive feedback from consumers and consumer representatives about the care and services provided and the effective management of pressure</w:t>
      </w:r>
      <w:r>
        <w:t xml:space="preserve"> injuries, diabetes management, infections and weight </w:t>
      </w:r>
      <w:r w:rsidRPr="00A46AE8">
        <w:rPr>
          <w:color w:val="auto"/>
        </w:rPr>
        <w:t xml:space="preserve">loss. The comprehensive response from the </w:t>
      </w:r>
      <w:r w:rsidR="00EB30AF" w:rsidRPr="00A46AE8">
        <w:rPr>
          <w:color w:val="auto"/>
        </w:rPr>
        <w:t>approved provider</w:t>
      </w:r>
      <w:r w:rsidRPr="00A46AE8">
        <w:rPr>
          <w:color w:val="auto"/>
        </w:rPr>
        <w:t xml:space="preserve"> has further demonstrated the effective management of medications, behaviours and falls restrictive practices</w:t>
      </w:r>
      <w:r w:rsidR="00A46AE8" w:rsidRPr="00A46AE8">
        <w:rPr>
          <w:color w:val="auto"/>
        </w:rPr>
        <w:t>, and the commitment to continuous improvement and safe and effective care delivery for consumers</w:t>
      </w:r>
      <w:r w:rsidRPr="00A46AE8">
        <w:rPr>
          <w:color w:val="auto"/>
        </w:rPr>
        <w:t>.</w:t>
      </w:r>
    </w:p>
    <w:p w14:paraId="78066CE2" w14:textId="5F823B5F" w:rsidR="00AE0F5D" w:rsidRPr="00AE0F5D" w:rsidRDefault="00AE0F5D" w:rsidP="0036130C">
      <w:pPr>
        <w:pStyle w:val="NormalArial"/>
        <w:rPr>
          <w:color w:val="auto"/>
        </w:rPr>
      </w:pPr>
      <w:r w:rsidRPr="00AE0F5D">
        <w:rPr>
          <w:color w:val="auto"/>
        </w:rPr>
        <w:t>I</w:t>
      </w:r>
      <w:r w:rsidR="00A46AE8">
        <w:rPr>
          <w:color w:val="auto"/>
        </w:rPr>
        <w:t xml:space="preserve"> therefore</w:t>
      </w:r>
      <w:r w:rsidR="00152B27">
        <w:rPr>
          <w:color w:val="auto"/>
        </w:rPr>
        <w:t>,</w:t>
      </w:r>
      <w:r w:rsidRPr="00AE0F5D">
        <w:rPr>
          <w:color w:val="auto"/>
        </w:rPr>
        <w:t xml:space="preserve"> find that Requirement 3(3)(b) is Compliant.</w:t>
      </w:r>
    </w:p>
    <w:p w14:paraId="3F60CD88" w14:textId="5F41BD42" w:rsidR="00F56CCB" w:rsidRPr="00262C0B" w:rsidRDefault="00002C14" w:rsidP="0036130C">
      <w:pPr>
        <w:pStyle w:val="NormalArial"/>
      </w:pPr>
      <w:r>
        <w:br w:type="page"/>
      </w:r>
    </w:p>
    <w:p w14:paraId="5FAC8989" w14:textId="77777777" w:rsidR="00F56CCB" w:rsidRPr="00996FAF" w:rsidRDefault="002A2A7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F5FAA" w14:paraId="204BA7C3" w14:textId="77777777" w:rsidTr="00EF5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2527CE" w14:textId="77777777" w:rsidR="00F56CCB" w:rsidRPr="00996FAF" w:rsidRDefault="002A2A7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74FE47" w14:textId="77777777" w:rsidR="00F56CCB" w:rsidRPr="00996FAF" w:rsidRDefault="00F56C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5FAA" w14:paraId="182076FF" w14:textId="77777777" w:rsidTr="00EF5FA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AFD013" w14:textId="77777777" w:rsidR="00F56CCB" w:rsidRPr="00996FAF" w:rsidRDefault="002A2A7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CE5746" w14:textId="77777777" w:rsidR="00F56CCB" w:rsidRPr="00996FAF" w:rsidRDefault="002A2A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F6E143" w14:textId="77777777" w:rsidR="00F56CCB" w:rsidRPr="00996FAF" w:rsidRDefault="002A2A7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2C9018" w14:textId="77777777" w:rsidR="00F56CCB" w:rsidRPr="00996FAF" w:rsidRDefault="002A2A7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A0D0DE" w14:textId="77777777" w:rsidR="00F56CCB" w:rsidRPr="00996FAF" w:rsidRDefault="002A2A7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79C0EB" w14:textId="77777777" w:rsidR="00F56CCB" w:rsidRPr="00996FAF" w:rsidRDefault="002A2A7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2EAE358" w14:textId="6BEB3B3A" w:rsidR="00F56CCB" w:rsidRPr="00996FAF" w:rsidRDefault="0094336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38093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83E67">
                  <w:rPr>
                    <w:rFonts w:ascii="Arial" w:hAnsi="Arial" w:cs="Arial"/>
                    <w:color w:val="auto"/>
                  </w:rPr>
                  <w:t>Compliant</w:t>
                </w:r>
              </w:sdtContent>
            </w:sdt>
          </w:p>
        </w:tc>
      </w:tr>
    </w:tbl>
    <w:p w14:paraId="6F38AE75" w14:textId="77777777" w:rsidR="00F56CCB" w:rsidRDefault="002A2A74" w:rsidP="00D87E7C">
      <w:pPr>
        <w:pStyle w:val="Heading20"/>
      </w:pPr>
      <w:r w:rsidRPr="00996FAF">
        <w:t>Findings</w:t>
      </w:r>
    </w:p>
    <w:p w14:paraId="1C4970E9" w14:textId="37D98D7A" w:rsidR="00A43E1A" w:rsidRDefault="00CA3A22" w:rsidP="00E258D3">
      <w:pPr>
        <w:pStyle w:val="NormalArial"/>
        <w:rPr>
          <w:color w:val="auto"/>
        </w:rPr>
      </w:pPr>
      <w:r>
        <w:t>Recent i</w:t>
      </w:r>
      <w:r w:rsidR="004C2B0B">
        <w:t xml:space="preserve">mprovements to risk management systems and practices were demonstrated </w:t>
      </w:r>
      <w:r w:rsidR="0058269D">
        <w:t>and</w:t>
      </w:r>
      <w:r w:rsidR="004C2B0B">
        <w:t xml:space="preserve"> included </w:t>
      </w:r>
      <w:r w:rsidR="000357F9">
        <w:t>updated</w:t>
      </w:r>
      <w:r w:rsidR="004C2B0B">
        <w:t xml:space="preserve"> organisational policies and procedures </w:t>
      </w:r>
      <w:r w:rsidR="000357F9">
        <w:t>and alignment with</w:t>
      </w:r>
      <w:r w:rsidR="004C2B0B">
        <w:t xml:space="preserve"> best practice approaches to </w:t>
      </w:r>
      <w:r w:rsidR="002D7D6E">
        <w:t xml:space="preserve">ensure </w:t>
      </w:r>
      <w:r w:rsidR="004C2B0B">
        <w:t>effective risk management</w:t>
      </w:r>
      <w:r w:rsidR="000357F9">
        <w:t xml:space="preserve">. Risk monitoring at organisational level </w:t>
      </w:r>
      <w:r w:rsidR="00C549F0">
        <w:t>involved</w:t>
      </w:r>
      <w:r w:rsidR="00B55CED">
        <w:t xml:space="preserve"> </w:t>
      </w:r>
      <w:r w:rsidR="00C549F0">
        <w:t>the board and management team</w:t>
      </w:r>
      <w:r>
        <w:t>.</w:t>
      </w:r>
      <w:r w:rsidR="00287DF8">
        <w:t xml:space="preserve"> </w:t>
      </w:r>
      <w:r w:rsidR="00E258D3" w:rsidRPr="00E258D3">
        <w:rPr>
          <w:color w:val="auto"/>
        </w:rPr>
        <w:t>Deficiencies in risk management at service level were identified and those have been discussed in more detail in Standard 3 Requirement (3)(b).</w:t>
      </w:r>
      <w:r w:rsidR="00E258D3">
        <w:rPr>
          <w:color w:val="auto"/>
        </w:rPr>
        <w:t xml:space="preserve"> </w:t>
      </w:r>
    </w:p>
    <w:p w14:paraId="5AD78A67" w14:textId="47FEC75A" w:rsidR="000357F9" w:rsidRDefault="00A85746" w:rsidP="0036130C">
      <w:pPr>
        <w:pStyle w:val="NormalArial"/>
      </w:pPr>
      <w:r>
        <w:t>Governance</w:t>
      </w:r>
      <w:r w:rsidR="00287DF8">
        <w:t xml:space="preserve"> of high-impact and high-prevalence risks and consumers with complex health care needs</w:t>
      </w:r>
      <w:r>
        <w:t xml:space="preserve"> were not aligned with organisational policies and risk mitigation strategies were not always identified.</w:t>
      </w:r>
      <w:r w:rsidR="00E258D3">
        <w:t xml:space="preserve"> </w:t>
      </w:r>
      <w:r w:rsidR="00A43E1A">
        <w:t>Some c</w:t>
      </w:r>
      <w:r w:rsidR="00E258D3">
        <w:t xml:space="preserve">onsumers </w:t>
      </w:r>
      <w:r w:rsidR="00A43E1A">
        <w:t xml:space="preserve">with complex care needs were not supported to exercise their rights </w:t>
      </w:r>
      <w:r w:rsidR="002D7D6E">
        <w:t xml:space="preserve">and live their best lives, as </w:t>
      </w:r>
      <w:r w:rsidR="0058269D">
        <w:t>provided</w:t>
      </w:r>
      <w:r w:rsidR="002D7D6E">
        <w:t xml:space="preserve"> in</w:t>
      </w:r>
      <w:r w:rsidR="00A43E1A">
        <w:t xml:space="preserve"> the Aged Care Charter of Rights and </w:t>
      </w:r>
      <w:r w:rsidR="00A43E1A" w:rsidRPr="007D5645">
        <w:rPr>
          <w:i/>
          <w:iCs/>
        </w:rPr>
        <w:t>User Rights Principles 2014</w:t>
      </w:r>
      <w:r w:rsidR="00A43E1A">
        <w:t xml:space="preserve"> (Cth).</w:t>
      </w:r>
      <w:r w:rsidR="007D5645">
        <w:t xml:space="preserve"> </w:t>
      </w:r>
      <w:r w:rsidR="00871734">
        <w:t>Whilst i</w:t>
      </w:r>
      <w:r w:rsidR="007D5645">
        <w:t>ncident investigations were conducted</w:t>
      </w:r>
      <w:r w:rsidR="00871734">
        <w:t xml:space="preserve">, </w:t>
      </w:r>
      <w:r w:rsidR="007D5645">
        <w:t xml:space="preserve">limited </w:t>
      </w:r>
      <w:r w:rsidR="00871734">
        <w:t>mitigation strategies were identified and some incidents were not recorded.</w:t>
      </w:r>
    </w:p>
    <w:p w14:paraId="1E55E5E8" w14:textId="469CF89B" w:rsidR="00EF43B6" w:rsidRPr="003E138F" w:rsidRDefault="00EF43B6" w:rsidP="00EF43B6">
      <w:pPr>
        <w:pStyle w:val="NormalArial"/>
        <w:rPr>
          <w:color w:val="auto"/>
        </w:rPr>
      </w:pPr>
      <w:r w:rsidRPr="003E138F">
        <w:rPr>
          <w:color w:val="auto"/>
        </w:rPr>
        <w:t xml:space="preserve">In response to the Assessment Team report, the approved provider </w:t>
      </w:r>
      <w:r w:rsidR="00EE0727" w:rsidRPr="003E138F">
        <w:rPr>
          <w:color w:val="auto"/>
        </w:rPr>
        <w:t>discussed the high-impact high-prevalen</w:t>
      </w:r>
      <w:r w:rsidR="0058269D">
        <w:rPr>
          <w:color w:val="auto"/>
        </w:rPr>
        <w:t>ce</w:t>
      </w:r>
      <w:r w:rsidR="00EE0727" w:rsidRPr="003E138F">
        <w:rPr>
          <w:color w:val="auto"/>
        </w:rPr>
        <w:t xml:space="preserve"> risk register and </w:t>
      </w:r>
      <w:r w:rsidR="00663FCB" w:rsidRPr="003E138F">
        <w:rPr>
          <w:color w:val="auto"/>
        </w:rPr>
        <w:t xml:space="preserve">allocation of </w:t>
      </w:r>
      <w:r w:rsidR="00EE0727" w:rsidRPr="003E138F">
        <w:rPr>
          <w:color w:val="auto"/>
        </w:rPr>
        <w:t xml:space="preserve">risk identification </w:t>
      </w:r>
      <w:r w:rsidR="00663FCB" w:rsidRPr="003E138F">
        <w:rPr>
          <w:color w:val="auto"/>
        </w:rPr>
        <w:t>areas which ensure clinical managers have appropriate oversight of</w:t>
      </w:r>
      <w:r w:rsidR="00EE0727" w:rsidRPr="003E138F">
        <w:rPr>
          <w:color w:val="auto"/>
        </w:rPr>
        <w:t xml:space="preserve"> consumer risks</w:t>
      </w:r>
      <w:r w:rsidR="003E138F" w:rsidRPr="003E138F">
        <w:rPr>
          <w:color w:val="auto"/>
        </w:rPr>
        <w:t>. I</w:t>
      </w:r>
      <w:r w:rsidR="00663FCB" w:rsidRPr="003E138F">
        <w:rPr>
          <w:color w:val="auto"/>
        </w:rPr>
        <w:t>ndividual risk assessments accompany each risk identified for consumers</w:t>
      </w:r>
      <w:r w:rsidR="003E138F" w:rsidRPr="003E138F">
        <w:rPr>
          <w:color w:val="auto"/>
        </w:rPr>
        <w:t xml:space="preserve"> and the incident management manual provides risk prioritisation ratings which inform incident investigations, required actions</w:t>
      </w:r>
      <w:r w:rsidR="0058269D">
        <w:rPr>
          <w:color w:val="auto"/>
        </w:rPr>
        <w:t>,</w:t>
      </w:r>
      <w:r w:rsidR="002D7D6E">
        <w:rPr>
          <w:color w:val="auto"/>
        </w:rPr>
        <w:t xml:space="preserve"> </w:t>
      </w:r>
      <w:r w:rsidR="003E138F" w:rsidRPr="003E138F">
        <w:rPr>
          <w:color w:val="auto"/>
        </w:rPr>
        <w:t>appropriate escalations, reporting and committee referrals</w:t>
      </w:r>
      <w:r w:rsidR="00663FCB" w:rsidRPr="003E138F">
        <w:rPr>
          <w:color w:val="auto"/>
        </w:rPr>
        <w:t>.</w:t>
      </w:r>
      <w:r w:rsidR="003E138F" w:rsidRPr="003E138F">
        <w:rPr>
          <w:color w:val="auto"/>
        </w:rPr>
        <w:t xml:space="preserve"> Improvements have been implemented to the high-impact high-prevalence register and staff training and compliance with the incident management manual has been demonstrated.</w:t>
      </w:r>
    </w:p>
    <w:p w14:paraId="41D684DC" w14:textId="78B39B37" w:rsidR="00AE0F5D" w:rsidRPr="00A46AE8" w:rsidRDefault="003E138F" w:rsidP="00AE0F5D">
      <w:pPr>
        <w:pStyle w:val="NormalArial"/>
        <w:rPr>
          <w:color w:val="auto"/>
        </w:rPr>
      </w:pPr>
      <w:r w:rsidRPr="00A46AE8">
        <w:rPr>
          <w:color w:val="auto"/>
        </w:rPr>
        <w:t xml:space="preserve">The approved provider detailed the weekly clinical governance reporting which has focused on consumer risks, analysis of those risks, implementation of appropriate risk management strategies and progress against </w:t>
      </w:r>
      <w:r w:rsidR="002D7D6E">
        <w:rPr>
          <w:color w:val="auto"/>
        </w:rPr>
        <w:t xml:space="preserve">the </w:t>
      </w:r>
      <w:r w:rsidRPr="00A46AE8">
        <w:rPr>
          <w:color w:val="auto"/>
        </w:rPr>
        <w:t>plan for continuous improvement</w:t>
      </w:r>
      <w:r w:rsidR="00236AF5" w:rsidRPr="00A46AE8">
        <w:rPr>
          <w:color w:val="auto"/>
        </w:rPr>
        <w:t xml:space="preserve"> and compliance with the Quality Standards</w:t>
      </w:r>
      <w:r w:rsidRPr="00A46AE8">
        <w:rPr>
          <w:color w:val="auto"/>
        </w:rPr>
        <w:t xml:space="preserve">. </w:t>
      </w:r>
      <w:r w:rsidR="00AE0F5D" w:rsidRPr="00A46AE8">
        <w:rPr>
          <w:color w:val="auto"/>
        </w:rPr>
        <w:t xml:space="preserve">Weekly focus meetings discuss consumer risk management, informed by the risk register and clinical governance reporting. Daily huddles identify immediate risks and escalations managed by the management team and robust handovers between staff shifts ensure risks are identified and managed accordingly. </w:t>
      </w:r>
    </w:p>
    <w:p w14:paraId="017C4499" w14:textId="10FC54FF" w:rsidR="00AE0F5D" w:rsidRPr="00911FED" w:rsidRDefault="00EB30AF" w:rsidP="00AE0F5D">
      <w:pPr>
        <w:pStyle w:val="NormalArial"/>
        <w:rPr>
          <w:color w:val="auto"/>
        </w:rPr>
      </w:pPr>
      <w:r w:rsidRPr="00911FED">
        <w:rPr>
          <w:color w:val="auto"/>
        </w:rPr>
        <w:t>In detailing supports provided to consumers to live the best life they can, the approved provider discussed systems and processes in place which reduce the possibility of risks and impacts on consumers. This includes comprehensive risk assessment</w:t>
      </w:r>
      <w:r w:rsidR="002D7D6E">
        <w:rPr>
          <w:color w:val="auto"/>
        </w:rPr>
        <w:t xml:space="preserve">s, </w:t>
      </w:r>
      <w:r w:rsidR="00A46AE8" w:rsidRPr="00911FED">
        <w:rPr>
          <w:color w:val="auto"/>
        </w:rPr>
        <w:t>consumer and consumer representative consultation</w:t>
      </w:r>
      <w:r w:rsidRPr="00911FED">
        <w:rPr>
          <w:color w:val="auto"/>
        </w:rPr>
        <w:t xml:space="preserve"> to manage emerging risks</w:t>
      </w:r>
      <w:r w:rsidR="002D7D6E">
        <w:rPr>
          <w:color w:val="auto"/>
        </w:rPr>
        <w:t xml:space="preserve"> and</w:t>
      </w:r>
      <w:r w:rsidRPr="00911FED">
        <w:rPr>
          <w:color w:val="auto"/>
        </w:rPr>
        <w:t xml:space="preserve"> </w:t>
      </w:r>
      <w:r w:rsidR="00A46AE8" w:rsidRPr="00911FED">
        <w:rPr>
          <w:color w:val="auto"/>
        </w:rPr>
        <w:t>ensure minimal impacts on consumers</w:t>
      </w:r>
      <w:r w:rsidR="00232FB5" w:rsidRPr="00911FED">
        <w:rPr>
          <w:color w:val="auto"/>
        </w:rPr>
        <w:t>, and improvement actions to strengthen communication and board reporting.</w:t>
      </w:r>
    </w:p>
    <w:p w14:paraId="6D577867" w14:textId="692CB035" w:rsidR="00232FB5" w:rsidRPr="00AB51C1" w:rsidRDefault="00232FB5" w:rsidP="00AE0F5D">
      <w:pPr>
        <w:pStyle w:val="NormalArial"/>
        <w:rPr>
          <w:color w:val="auto"/>
        </w:rPr>
      </w:pPr>
      <w:r w:rsidRPr="00911FED">
        <w:rPr>
          <w:color w:val="auto"/>
        </w:rPr>
        <w:t xml:space="preserve">The approved provider </w:t>
      </w:r>
      <w:r w:rsidR="00911FED" w:rsidRPr="00911FED">
        <w:rPr>
          <w:color w:val="auto"/>
        </w:rPr>
        <w:t>submitted</w:t>
      </w:r>
      <w:r w:rsidRPr="00911FED">
        <w:rPr>
          <w:color w:val="auto"/>
        </w:rPr>
        <w:t xml:space="preserve"> the incident management system manual </w:t>
      </w:r>
      <w:r w:rsidR="00911FED" w:rsidRPr="00911FED">
        <w:rPr>
          <w:color w:val="auto"/>
        </w:rPr>
        <w:t xml:space="preserve">for consideration </w:t>
      </w:r>
      <w:r w:rsidRPr="00911FED">
        <w:rPr>
          <w:color w:val="auto"/>
        </w:rPr>
        <w:t xml:space="preserve">and detailed the process map and steps for incident management, from identification through to </w:t>
      </w:r>
      <w:r w:rsidRPr="00911FED">
        <w:rPr>
          <w:color w:val="auto"/>
        </w:rPr>
        <w:lastRenderedPageBreak/>
        <w:t>investigation, analysis and actions</w:t>
      </w:r>
      <w:r w:rsidRPr="00AB51C1">
        <w:rPr>
          <w:color w:val="auto"/>
        </w:rPr>
        <w:t xml:space="preserve">. </w:t>
      </w:r>
      <w:r w:rsidR="00911FED" w:rsidRPr="00AB51C1">
        <w:rPr>
          <w:color w:val="auto"/>
        </w:rPr>
        <w:t xml:space="preserve">The organisational governance guide </w:t>
      </w:r>
      <w:r w:rsidR="0066644B" w:rsidRPr="00AB51C1">
        <w:rPr>
          <w:color w:val="auto"/>
        </w:rPr>
        <w:t xml:space="preserve">details the management actions taken when conducting </w:t>
      </w:r>
      <w:r w:rsidR="00911FED" w:rsidRPr="00AB51C1">
        <w:rPr>
          <w:color w:val="auto"/>
        </w:rPr>
        <w:t>incident investigation</w:t>
      </w:r>
      <w:r w:rsidR="0066644B" w:rsidRPr="00AB51C1">
        <w:rPr>
          <w:color w:val="auto"/>
        </w:rPr>
        <w:t>s</w:t>
      </w:r>
      <w:r w:rsidR="00911FED" w:rsidRPr="00AB51C1">
        <w:rPr>
          <w:color w:val="auto"/>
        </w:rPr>
        <w:t xml:space="preserve"> and analysis</w:t>
      </w:r>
      <w:r w:rsidR="0066644B" w:rsidRPr="00AB51C1">
        <w:rPr>
          <w:color w:val="auto"/>
        </w:rPr>
        <w:t xml:space="preserve">, with support from the </w:t>
      </w:r>
      <w:r w:rsidRPr="00AB51C1">
        <w:rPr>
          <w:color w:val="auto"/>
        </w:rPr>
        <w:t xml:space="preserve">clinical risk and governance meeting </w:t>
      </w:r>
      <w:r w:rsidR="0066644B" w:rsidRPr="00AB51C1">
        <w:rPr>
          <w:color w:val="auto"/>
        </w:rPr>
        <w:t>to ensure</w:t>
      </w:r>
      <w:r w:rsidRPr="00AB51C1">
        <w:rPr>
          <w:color w:val="auto"/>
        </w:rPr>
        <w:t xml:space="preserve"> sustainable strategies are implemented</w:t>
      </w:r>
      <w:r w:rsidR="00911FED" w:rsidRPr="00AB51C1">
        <w:rPr>
          <w:color w:val="auto"/>
        </w:rPr>
        <w:t>.</w:t>
      </w:r>
      <w:r w:rsidR="00EF1475" w:rsidRPr="00AB51C1">
        <w:rPr>
          <w:color w:val="auto"/>
        </w:rPr>
        <w:t xml:space="preserve"> Improvement actions were </w:t>
      </w:r>
      <w:r w:rsidR="00D60AFA" w:rsidRPr="00AB51C1">
        <w:rPr>
          <w:color w:val="auto"/>
        </w:rPr>
        <w:t>considered</w:t>
      </w:r>
      <w:r w:rsidR="00EF1475" w:rsidRPr="00AB51C1">
        <w:rPr>
          <w:color w:val="auto"/>
        </w:rPr>
        <w:t xml:space="preserve"> for </w:t>
      </w:r>
      <w:r w:rsidR="00D60AFA" w:rsidRPr="00AB51C1">
        <w:rPr>
          <w:color w:val="auto"/>
        </w:rPr>
        <w:t>early identification of root</w:t>
      </w:r>
      <w:r w:rsidR="00EF1475" w:rsidRPr="00AB51C1">
        <w:rPr>
          <w:color w:val="auto"/>
        </w:rPr>
        <w:t xml:space="preserve"> cause analysis </w:t>
      </w:r>
      <w:r w:rsidR="00D60AFA" w:rsidRPr="00AB51C1">
        <w:rPr>
          <w:color w:val="auto"/>
        </w:rPr>
        <w:t xml:space="preserve">at service level and </w:t>
      </w:r>
      <w:r w:rsidR="00AB51C1" w:rsidRPr="00AB51C1">
        <w:rPr>
          <w:color w:val="auto"/>
        </w:rPr>
        <w:t>refresher</w:t>
      </w:r>
      <w:r w:rsidR="00D60AFA" w:rsidRPr="00AB51C1">
        <w:rPr>
          <w:color w:val="auto"/>
        </w:rPr>
        <w:t xml:space="preserve"> education</w:t>
      </w:r>
      <w:r w:rsidR="00D83E67">
        <w:rPr>
          <w:color w:val="auto"/>
        </w:rPr>
        <w:t xml:space="preserve"> was provided to</w:t>
      </w:r>
      <w:r w:rsidR="00D60AFA" w:rsidRPr="00AB51C1">
        <w:rPr>
          <w:color w:val="auto"/>
        </w:rPr>
        <w:t xml:space="preserve"> </w:t>
      </w:r>
      <w:r w:rsidR="0058269D">
        <w:rPr>
          <w:color w:val="auto"/>
        </w:rPr>
        <w:t>clinical staff</w:t>
      </w:r>
      <w:r w:rsidR="00AB51C1" w:rsidRPr="00AB51C1">
        <w:rPr>
          <w:color w:val="auto"/>
        </w:rPr>
        <w:t>.</w:t>
      </w:r>
    </w:p>
    <w:p w14:paraId="69EB0C7C" w14:textId="352B2662" w:rsidR="007A112B" w:rsidRPr="009962AE" w:rsidRDefault="00A06F82" w:rsidP="00AE0F5D">
      <w:pPr>
        <w:pStyle w:val="NormalArial"/>
        <w:rPr>
          <w:color w:val="auto"/>
        </w:rPr>
      </w:pPr>
      <w:r w:rsidRPr="009962AE">
        <w:rPr>
          <w:color w:val="auto"/>
        </w:rPr>
        <w:t xml:space="preserve">The approved provider </w:t>
      </w:r>
      <w:r w:rsidR="00D83E67">
        <w:rPr>
          <w:color w:val="auto"/>
        </w:rPr>
        <w:t>reiterated</w:t>
      </w:r>
      <w:r w:rsidR="009132C1" w:rsidRPr="009962AE">
        <w:rPr>
          <w:color w:val="auto"/>
        </w:rPr>
        <w:t xml:space="preserve"> that</w:t>
      </w:r>
      <w:r w:rsidRPr="009962AE">
        <w:rPr>
          <w:color w:val="auto"/>
        </w:rPr>
        <w:t xml:space="preserve"> all incidents are investigated and </w:t>
      </w:r>
      <w:r w:rsidR="008E2511" w:rsidRPr="009962AE">
        <w:rPr>
          <w:color w:val="auto"/>
        </w:rPr>
        <w:t>referenced the</w:t>
      </w:r>
      <w:r w:rsidRPr="009962AE">
        <w:rPr>
          <w:color w:val="auto"/>
        </w:rPr>
        <w:t xml:space="preserve"> </w:t>
      </w:r>
      <w:r w:rsidR="00CC2AC6" w:rsidRPr="009962AE">
        <w:rPr>
          <w:color w:val="auto"/>
        </w:rPr>
        <w:t>management of a</w:t>
      </w:r>
      <w:r w:rsidR="008E2511" w:rsidRPr="009962AE">
        <w:rPr>
          <w:color w:val="auto"/>
        </w:rPr>
        <w:t>n incident relevant to the s</w:t>
      </w:r>
      <w:r w:rsidRPr="009962AE">
        <w:rPr>
          <w:color w:val="auto"/>
        </w:rPr>
        <w:t xml:space="preserve">erious </w:t>
      </w:r>
      <w:r w:rsidR="008E2511" w:rsidRPr="009962AE">
        <w:rPr>
          <w:color w:val="auto"/>
        </w:rPr>
        <w:t>i</w:t>
      </w:r>
      <w:r w:rsidRPr="009962AE">
        <w:rPr>
          <w:color w:val="auto"/>
        </w:rPr>
        <w:t xml:space="preserve">ncident </w:t>
      </w:r>
      <w:r w:rsidR="008E2511" w:rsidRPr="009962AE">
        <w:rPr>
          <w:color w:val="auto"/>
        </w:rPr>
        <w:t>r</w:t>
      </w:r>
      <w:r w:rsidRPr="009962AE">
        <w:rPr>
          <w:color w:val="auto"/>
        </w:rPr>
        <w:t xml:space="preserve">esponse </w:t>
      </w:r>
      <w:r w:rsidR="008E2511" w:rsidRPr="009962AE">
        <w:rPr>
          <w:color w:val="auto"/>
        </w:rPr>
        <w:t>s</w:t>
      </w:r>
      <w:r w:rsidRPr="009962AE">
        <w:rPr>
          <w:color w:val="auto"/>
        </w:rPr>
        <w:t>cheme</w:t>
      </w:r>
      <w:r w:rsidR="00763E58" w:rsidRPr="009962AE">
        <w:rPr>
          <w:color w:val="auto"/>
        </w:rPr>
        <w:t xml:space="preserve">. </w:t>
      </w:r>
      <w:r w:rsidR="00CC2AC6" w:rsidRPr="009962AE">
        <w:rPr>
          <w:color w:val="auto"/>
        </w:rPr>
        <w:t xml:space="preserve">Incident </w:t>
      </w:r>
      <w:r w:rsidR="00D83E67">
        <w:rPr>
          <w:color w:val="auto"/>
        </w:rPr>
        <w:t>management</w:t>
      </w:r>
      <w:r w:rsidR="00CC2AC6" w:rsidRPr="009962AE">
        <w:rPr>
          <w:color w:val="auto"/>
        </w:rPr>
        <w:t xml:space="preserve"> included </w:t>
      </w:r>
      <w:r w:rsidR="00763E58" w:rsidRPr="009962AE">
        <w:rPr>
          <w:color w:val="auto"/>
        </w:rPr>
        <w:t xml:space="preserve">escalation to management, </w:t>
      </w:r>
      <w:r w:rsidR="008E2511" w:rsidRPr="009962AE">
        <w:rPr>
          <w:color w:val="auto"/>
        </w:rPr>
        <w:t>engagement with</w:t>
      </w:r>
      <w:r w:rsidR="009962AE" w:rsidRPr="009962AE">
        <w:rPr>
          <w:color w:val="auto"/>
        </w:rPr>
        <w:t xml:space="preserve"> appropriate outside authorities</w:t>
      </w:r>
      <w:r w:rsidR="008E2511" w:rsidRPr="009962AE">
        <w:rPr>
          <w:color w:val="auto"/>
        </w:rPr>
        <w:t xml:space="preserve">, </w:t>
      </w:r>
      <w:r w:rsidR="00CC2AC6" w:rsidRPr="009962AE">
        <w:rPr>
          <w:color w:val="auto"/>
        </w:rPr>
        <w:t>staff monitoring of consumers</w:t>
      </w:r>
      <w:r w:rsidR="009962AE" w:rsidRPr="009962AE">
        <w:rPr>
          <w:color w:val="auto"/>
        </w:rPr>
        <w:t xml:space="preserve">, and </w:t>
      </w:r>
      <w:r w:rsidR="009962AE">
        <w:rPr>
          <w:color w:val="auto"/>
        </w:rPr>
        <w:t xml:space="preserve">implementation of </w:t>
      </w:r>
      <w:r w:rsidR="004470BA" w:rsidRPr="009962AE">
        <w:rPr>
          <w:color w:val="auto"/>
        </w:rPr>
        <w:t>measures to prevent further harm</w:t>
      </w:r>
      <w:r w:rsidR="00CC2AC6" w:rsidRPr="009962AE">
        <w:rPr>
          <w:color w:val="auto"/>
        </w:rPr>
        <w:t>.</w:t>
      </w:r>
      <w:r w:rsidR="009962AE" w:rsidRPr="009962AE">
        <w:rPr>
          <w:color w:val="auto"/>
        </w:rPr>
        <w:t xml:space="preserve"> Incident </w:t>
      </w:r>
      <w:r w:rsidR="00D83E67">
        <w:rPr>
          <w:color w:val="auto"/>
        </w:rPr>
        <w:t xml:space="preserve">investigation and </w:t>
      </w:r>
      <w:r w:rsidR="009962AE" w:rsidRPr="009962AE">
        <w:rPr>
          <w:color w:val="auto"/>
        </w:rPr>
        <w:t>reporting was completed and improvement opportunities were identified, which included review of escalation protocols and processes.</w:t>
      </w:r>
    </w:p>
    <w:p w14:paraId="2EBBBE18" w14:textId="586C476D" w:rsidR="0058269D" w:rsidRPr="00A46AE8" w:rsidRDefault="00AE0F5D" w:rsidP="0058269D">
      <w:pPr>
        <w:pStyle w:val="NormalArial"/>
        <w:rPr>
          <w:color w:val="auto"/>
        </w:rPr>
      </w:pPr>
      <w:r w:rsidRPr="0058269D">
        <w:rPr>
          <w:color w:val="auto"/>
        </w:rPr>
        <w:t>I</w:t>
      </w:r>
      <w:r w:rsidR="00EF43B6" w:rsidRPr="0058269D">
        <w:rPr>
          <w:color w:val="auto"/>
        </w:rPr>
        <w:t xml:space="preserve">n making a decision about Requirement </w:t>
      </w:r>
      <w:r w:rsidR="00550BD5">
        <w:rPr>
          <w:color w:val="auto"/>
        </w:rPr>
        <w:t>8</w:t>
      </w:r>
      <w:r w:rsidR="00EF43B6" w:rsidRPr="0058269D">
        <w:rPr>
          <w:color w:val="auto"/>
        </w:rPr>
        <w:t>(3)(</w:t>
      </w:r>
      <w:r w:rsidR="00550BD5">
        <w:rPr>
          <w:color w:val="auto"/>
        </w:rPr>
        <w:t>d</w:t>
      </w:r>
      <w:r w:rsidR="00EF43B6" w:rsidRPr="0058269D">
        <w:rPr>
          <w:color w:val="auto"/>
        </w:rPr>
        <w:t xml:space="preserve">), I have considered </w:t>
      </w:r>
      <w:r w:rsidR="00A46AE8" w:rsidRPr="0058269D">
        <w:rPr>
          <w:color w:val="auto"/>
        </w:rPr>
        <w:t xml:space="preserve">the intent of the Requirement which provides that organisations have effective systems and processes are in place to identify and assess risks to the health, safety and well-being of consumers. </w:t>
      </w:r>
      <w:r w:rsidR="0058269D" w:rsidRPr="0058269D">
        <w:rPr>
          <w:color w:val="auto"/>
        </w:rPr>
        <w:t>I have</w:t>
      </w:r>
      <w:r w:rsidR="0058269D">
        <w:rPr>
          <w:color w:val="auto"/>
        </w:rPr>
        <w:t xml:space="preserve"> considered the </w:t>
      </w:r>
      <w:r w:rsidR="0058269D" w:rsidRPr="00A46AE8">
        <w:rPr>
          <w:color w:val="auto"/>
        </w:rPr>
        <w:t xml:space="preserve">comprehensive response from the approved provider </w:t>
      </w:r>
      <w:r w:rsidR="0058269D">
        <w:rPr>
          <w:color w:val="auto"/>
        </w:rPr>
        <w:t xml:space="preserve">and the improvement actions taken to rectify the identified issues. I also note the </w:t>
      </w:r>
      <w:r w:rsidR="0058269D" w:rsidRPr="00A46AE8">
        <w:rPr>
          <w:color w:val="auto"/>
        </w:rPr>
        <w:t>commitment to continuous improvement.</w:t>
      </w:r>
    </w:p>
    <w:p w14:paraId="30D2B426" w14:textId="4CFCF7D0" w:rsidR="00EF43B6" w:rsidRPr="00712752" w:rsidRDefault="00D83E67" w:rsidP="0036130C">
      <w:pPr>
        <w:pStyle w:val="NormalArial"/>
      </w:pPr>
      <w:r>
        <w:t xml:space="preserve">I </w:t>
      </w:r>
      <w:r w:rsidR="0058269D">
        <w:t>therefore</w:t>
      </w:r>
      <w:r w:rsidR="00550BD5">
        <w:t>,</w:t>
      </w:r>
      <w:r w:rsidR="0058269D">
        <w:t xml:space="preserve"> </w:t>
      </w:r>
      <w:r>
        <w:t>find that Requirement 8(3)(d) is Compliant.</w:t>
      </w:r>
    </w:p>
    <w:sectPr w:rsidR="00EF43B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C175F" w14:textId="77777777" w:rsidR="004D098D" w:rsidRDefault="004D098D">
      <w:pPr>
        <w:spacing w:after="0"/>
      </w:pPr>
      <w:r>
        <w:separator/>
      </w:r>
    </w:p>
  </w:endnote>
  <w:endnote w:type="continuationSeparator" w:id="0">
    <w:p w14:paraId="1380574A" w14:textId="77777777" w:rsidR="004D098D" w:rsidRDefault="004D09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8CC41" w14:textId="77777777" w:rsidR="00F56CCB" w:rsidRPr="00DF37F2" w:rsidRDefault="002A2A7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Hawkesbury Living Pty Limited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80C223" w14:textId="77777777" w:rsidR="00F56CCB" w:rsidRPr="00DF37F2" w:rsidRDefault="002A2A7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2467</w:t>
    </w:r>
    <w:bookmarkEnd w:id="1"/>
    <w:r w:rsidRPr="00DF37F2">
      <w:rPr>
        <w:rStyle w:val="FooterBold"/>
        <w:rFonts w:ascii="Arial" w:hAnsi="Arial"/>
        <w:b w:val="0"/>
      </w:rPr>
      <w:tab/>
      <w:t xml:space="preserve">OFFICIAL: Sensitive </w:t>
    </w:r>
  </w:p>
  <w:p w14:paraId="2DA4A177" w14:textId="77777777" w:rsidR="00F56CCB" w:rsidRPr="00DF37F2" w:rsidRDefault="002A2A7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72177" w14:textId="77777777" w:rsidR="00F56CCB" w:rsidRDefault="00F56C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AD681" w14:textId="77777777" w:rsidR="004D098D" w:rsidRDefault="004D098D" w:rsidP="00D71F88">
      <w:pPr>
        <w:spacing w:after="0"/>
      </w:pPr>
      <w:r>
        <w:separator/>
      </w:r>
    </w:p>
  </w:footnote>
  <w:footnote w:type="continuationSeparator" w:id="0">
    <w:p w14:paraId="63495C79" w14:textId="77777777" w:rsidR="004D098D" w:rsidRDefault="004D098D" w:rsidP="00D71F88">
      <w:pPr>
        <w:spacing w:after="0"/>
      </w:pPr>
      <w:r>
        <w:continuationSeparator/>
      </w:r>
    </w:p>
  </w:footnote>
  <w:footnote w:id="1">
    <w:p w14:paraId="1FDD9AF6" w14:textId="22C9CA11" w:rsidR="00F56CCB" w:rsidRDefault="002A2A7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17B70">
        <w:rPr>
          <w:rFonts w:ascii="Arial" w:hAnsi="Arial" w:cs="Arial"/>
          <w:color w:val="auto"/>
          <w:sz w:val="20"/>
          <w:szCs w:val="20"/>
        </w:rPr>
        <w:t>68A</w:t>
      </w:r>
      <w:r w:rsidRPr="00B17B7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138E9FD8" w14:textId="77777777" w:rsidR="00F56CCB" w:rsidRDefault="00F56C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855F6" w14:textId="77777777" w:rsidR="00F56CCB" w:rsidRDefault="002A2A74">
    <w:pPr>
      <w:pStyle w:val="Header"/>
    </w:pPr>
    <w:r>
      <w:rPr>
        <w:noProof/>
        <w:color w:val="2B579A"/>
        <w:shd w:val="clear" w:color="auto" w:fill="E6E6E6"/>
        <w:lang w:val="en-US"/>
      </w:rPr>
      <w:drawing>
        <wp:anchor distT="0" distB="0" distL="114300" distR="114300" simplePos="0" relativeHeight="251658241" behindDoc="1" locked="0" layoutInCell="1" allowOverlap="1" wp14:anchorId="7473ED91" wp14:editId="1E6DC97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2845A" w14:textId="77777777" w:rsidR="00F56CCB" w:rsidRDefault="002A2A74">
    <w:pPr>
      <w:pStyle w:val="Header"/>
    </w:pPr>
    <w:r>
      <w:rPr>
        <w:noProof/>
      </w:rPr>
      <w:drawing>
        <wp:anchor distT="0" distB="0" distL="114300" distR="114300" simplePos="0" relativeHeight="251658240" behindDoc="0" locked="0" layoutInCell="1" allowOverlap="1" wp14:anchorId="74D6A262" wp14:editId="692086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8E9454">
      <w:start w:val="1"/>
      <w:numFmt w:val="lowerRoman"/>
      <w:lvlText w:val="(%1)"/>
      <w:lvlJc w:val="left"/>
      <w:pPr>
        <w:ind w:left="1080" w:hanging="720"/>
      </w:pPr>
      <w:rPr>
        <w:rFonts w:hint="default"/>
      </w:rPr>
    </w:lvl>
    <w:lvl w:ilvl="1" w:tplc="C41E2E5E" w:tentative="1">
      <w:start w:val="1"/>
      <w:numFmt w:val="lowerLetter"/>
      <w:lvlText w:val="%2."/>
      <w:lvlJc w:val="left"/>
      <w:pPr>
        <w:ind w:left="1440" w:hanging="360"/>
      </w:pPr>
    </w:lvl>
    <w:lvl w:ilvl="2" w:tplc="3EF460AE" w:tentative="1">
      <w:start w:val="1"/>
      <w:numFmt w:val="lowerRoman"/>
      <w:lvlText w:val="%3."/>
      <w:lvlJc w:val="right"/>
      <w:pPr>
        <w:ind w:left="2160" w:hanging="180"/>
      </w:pPr>
    </w:lvl>
    <w:lvl w:ilvl="3" w:tplc="4A5AE1DA" w:tentative="1">
      <w:start w:val="1"/>
      <w:numFmt w:val="decimal"/>
      <w:lvlText w:val="%4."/>
      <w:lvlJc w:val="left"/>
      <w:pPr>
        <w:ind w:left="2880" w:hanging="360"/>
      </w:pPr>
    </w:lvl>
    <w:lvl w:ilvl="4" w:tplc="1C8222E6" w:tentative="1">
      <w:start w:val="1"/>
      <w:numFmt w:val="lowerLetter"/>
      <w:lvlText w:val="%5."/>
      <w:lvlJc w:val="left"/>
      <w:pPr>
        <w:ind w:left="3600" w:hanging="360"/>
      </w:pPr>
    </w:lvl>
    <w:lvl w:ilvl="5" w:tplc="2208D894" w:tentative="1">
      <w:start w:val="1"/>
      <w:numFmt w:val="lowerRoman"/>
      <w:lvlText w:val="%6."/>
      <w:lvlJc w:val="right"/>
      <w:pPr>
        <w:ind w:left="4320" w:hanging="180"/>
      </w:pPr>
    </w:lvl>
    <w:lvl w:ilvl="6" w:tplc="2BD600FE" w:tentative="1">
      <w:start w:val="1"/>
      <w:numFmt w:val="decimal"/>
      <w:lvlText w:val="%7."/>
      <w:lvlJc w:val="left"/>
      <w:pPr>
        <w:ind w:left="5040" w:hanging="360"/>
      </w:pPr>
    </w:lvl>
    <w:lvl w:ilvl="7" w:tplc="6228FB3E" w:tentative="1">
      <w:start w:val="1"/>
      <w:numFmt w:val="lowerLetter"/>
      <w:lvlText w:val="%8."/>
      <w:lvlJc w:val="left"/>
      <w:pPr>
        <w:ind w:left="5760" w:hanging="360"/>
      </w:pPr>
    </w:lvl>
    <w:lvl w:ilvl="8" w:tplc="03A074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22FC0A">
      <w:start w:val="1"/>
      <w:numFmt w:val="lowerRoman"/>
      <w:lvlText w:val="(%1)"/>
      <w:lvlJc w:val="left"/>
      <w:pPr>
        <w:ind w:left="1080" w:hanging="720"/>
      </w:pPr>
      <w:rPr>
        <w:rFonts w:hint="default"/>
      </w:rPr>
    </w:lvl>
    <w:lvl w:ilvl="1" w:tplc="90408622" w:tentative="1">
      <w:start w:val="1"/>
      <w:numFmt w:val="lowerLetter"/>
      <w:lvlText w:val="%2."/>
      <w:lvlJc w:val="left"/>
      <w:pPr>
        <w:ind w:left="1440" w:hanging="360"/>
      </w:pPr>
    </w:lvl>
    <w:lvl w:ilvl="2" w:tplc="3FCAAEF2" w:tentative="1">
      <w:start w:val="1"/>
      <w:numFmt w:val="lowerRoman"/>
      <w:lvlText w:val="%3."/>
      <w:lvlJc w:val="right"/>
      <w:pPr>
        <w:ind w:left="2160" w:hanging="180"/>
      </w:pPr>
    </w:lvl>
    <w:lvl w:ilvl="3" w:tplc="026C446A" w:tentative="1">
      <w:start w:val="1"/>
      <w:numFmt w:val="decimal"/>
      <w:lvlText w:val="%4."/>
      <w:lvlJc w:val="left"/>
      <w:pPr>
        <w:ind w:left="2880" w:hanging="360"/>
      </w:pPr>
    </w:lvl>
    <w:lvl w:ilvl="4" w:tplc="E7DA135A" w:tentative="1">
      <w:start w:val="1"/>
      <w:numFmt w:val="lowerLetter"/>
      <w:lvlText w:val="%5."/>
      <w:lvlJc w:val="left"/>
      <w:pPr>
        <w:ind w:left="3600" w:hanging="360"/>
      </w:pPr>
    </w:lvl>
    <w:lvl w:ilvl="5" w:tplc="CACA356A" w:tentative="1">
      <w:start w:val="1"/>
      <w:numFmt w:val="lowerRoman"/>
      <w:lvlText w:val="%6."/>
      <w:lvlJc w:val="right"/>
      <w:pPr>
        <w:ind w:left="4320" w:hanging="180"/>
      </w:pPr>
    </w:lvl>
    <w:lvl w:ilvl="6" w:tplc="B3380C70" w:tentative="1">
      <w:start w:val="1"/>
      <w:numFmt w:val="decimal"/>
      <w:lvlText w:val="%7."/>
      <w:lvlJc w:val="left"/>
      <w:pPr>
        <w:ind w:left="5040" w:hanging="360"/>
      </w:pPr>
    </w:lvl>
    <w:lvl w:ilvl="7" w:tplc="AA8C3AE6" w:tentative="1">
      <w:start w:val="1"/>
      <w:numFmt w:val="lowerLetter"/>
      <w:lvlText w:val="%8."/>
      <w:lvlJc w:val="left"/>
      <w:pPr>
        <w:ind w:left="5760" w:hanging="360"/>
      </w:pPr>
    </w:lvl>
    <w:lvl w:ilvl="8" w:tplc="10DAC0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AC8C01A">
      <w:start w:val="1"/>
      <w:numFmt w:val="lowerRoman"/>
      <w:lvlText w:val="(%1)"/>
      <w:lvlJc w:val="left"/>
      <w:pPr>
        <w:ind w:left="1080" w:hanging="720"/>
      </w:pPr>
      <w:rPr>
        <w:rFonts w:hint="default"/>
      </w:rPr>
    </w:lvl>
    <w:lvl w:ilvl="1" w:tplc="2A80E72A" w:tentative="1">
      <w:start w:val="1"/>
      <w:numFmt w:val="lowerLetter"/>
      <w:lvlText w:val="%2."/>
      <w:lvlJc w:val="left"/>
      <w:pPr>
        <w:ind w:left="1440" w:hanging="360"/>
      </w:pPr>
    </w:lvl>
    <w:lvl w:ilvl="2" w:tplc="F2BEECB4" w:tentative="1">
      <w:start w:val="1"/>
      <w:numFmt w:val="lowerRoman"/>
      <w:lvlText w:val="%3."/>
      <w:lvlJc w:val="right"/>
      <w:pPr>
        <w:ind w:left="2160" w:hanging="180"/>
      </w:pPr>
    </w:lvl>
    <w:lvl w:ilvl="3" w:tplc="42C27870" w:tentative="1">
      <w:start w:val="1"/>
      <w:numFmt w:val="decimal"/>
      <w:lvlText w:val="%4."/>
      <w:lvlJc w:val="left"/>
      <w:pPr>
        <w:ind w:left="2880" w:hanging="360"/>
      </w:pPr>
    </w:lvl>
    <w:lvl w:ilvl="4" w:tplc="F9467FA6" w:tentative="1">
      <w:start w:val="1"/>
      <w:numFmt w:val="lowerLetter"/>
      <w:lvlText w:val="%5."/>
      <w:lvlJc w:val="left"/>
      <w:pPr>
        <w:ind w:left="3600" w:hanging="360"/>
      </w:pPr>
    </w:lvl>
    <w:lvl w:ilvl="5" w:tplc="902E97DE" w:tentative="1">
      <w:start w:val="1"/>
      <w:numFmt w:val="lowerRoman"/>
      <w:lvlText w:val="%6."/>
      <w:lvlJc w:val="right"/>
      <w:pPr>
        <w:ind w:left="4320" w:hanging="180"/>
      </w:pPr>
    </w:lvl>
    <w:lvl w:ilvl="6" w:tplc="A01CC1D0" w:tentative="1">
      <w:start w:val="1"/>
      <w:numFmt w:val="decimal"/>
      <w:lvlText w:val="%7."/>
      <w:lvlJc w:val="left"/>
      <w:pPr>
        <w:ind w:left="5040" w:hanging="360"/>
      </w:pPr>
    </w:lvl>
    <w:lvl w:ilvl="7" w:tplc="CED42F66" w:tentative="1">
      <w:start w:val="1"/>
      <w:numFmt w:val="lowerLetter"/>
      <w:lvlText w:val="%8."/>
      <w:lvlJc w:val="left"/>
      <w:pPr>
        <w:ind w:left="5760" w:hanging="360"/>
      </w:pPr>
    </w:lvl>
    <w:lvl w:ilvl="8" w:tplc="BCA6D3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9FE73FE">
      <w:start w:val="1"/>
      <w:numFmt w:val="bullet"/>
      <w:lvlText w:val=""/>
      <w:lvlJc w:val="left"/>
      <w:pPr>
        <w:ind w:left="720" w:hanging="360"/>
      </w:pPr>
      <w:rPr>
        <w:rFonts w:ascii="Symbol" w:hAnsi="Symbol" w:hint="default"/>
        <w:color w:val="auto"/>
        <w:sz w:val="24"/>
        <w:szCs w:val="24"/>
      </w:rPr>
    </w:lvl>
    <w:lvl w:ilvl="1" w:tplc="52B42F18" w:tentative="1">
      <w:start w:val="1"/>
      <w:numFmt w:val="bullet"/>
      <w:lvlText w:val="o"/>
      <w:lvlJc w:val="left"/>
      <w:pPr>
        <w:ind w:left="1440" w:hanging="360"/>
      </w:pPr>
      <w:rPr>
        <w:rFonts w:ascii="Courier New" w:hAnsi="Courier New" w:cs="Courier New" w:hint="default"/>
      </w:rPr>
    </w:lvl>
    <w:lvl w:ilvl="2" w:tplc="28C0B0FC" w:tentative="1">
      <w:start w:val="1"/>
      <w:numFmt w:val="bullet"/>
      <w:lvlText w:val=""/>
      <w:lvlJc w:val="left"/>
      <w:pPr>
        <w:ind w:left="2160" w:hanging="360"/>
      </w:pPr>
      <w:rPr>
        <w:rFonts w:ascii="Wingdings" w:hAnsi="Wingdings" w:hint="default"/>
      </w:rPr>
    </w:lvl>
    <w:lvl w:ilvl="3" w:tplc="39200D08" w:tentative="1">
      <w:start w:val="1"/>
      <w:numFmt w:val="bullet"/>
      <w:lvlText w:val=""/>
      <w:lvlJc w:val="left"/>
      <w:pPr>
        <w:ind w:left="2880" w:hanging="360"/>
      </w:pPr>
      <w:rPr>
        <w:rFonts w:ascii="Symbol" w:hAnsi="Symbol" w:hint="default"/>
      </w:rPr>
    </w:lvl>
    <w:lvl w:ilvl="4" w:tplc="51A6B11E" w:tentative="1">
      <w:start w:val="1"/>
      <w:numFmt w:val="bullet"/>
      <w:lvlText w:val="o"/>
      <w:lvlJc w:val="left"/>
      <w:pPr>
        <w:ind w:left="3600" w:hanging="360"/>
      </w:pPr>
      <w:rPr>
        <w:rFonts w:ascii="Courier New" w:hAnsi="Courier New" w:cs="Courier New" w:hint="default"/>
      </w:rPr>
    </w:lvl>
    <w:lvl w:ilvl="5" w:tplc="38DCA8F0" w:tentative="1">
      <w:start w:val="1"/>
      <w:numFmt w:val="bullet"/>
      <w:lvlText w:val=""/>
      <w:lvlJc w:val="left"/>
      <w:pPr>
        <w:ind w:left="4320" w:hanging="360"/>
      </w:pPr>
      <w:rPr>
        <w:rFonts w:ascii="Wingdings" w:hAnsi="Wingdings" w:hint="default"/>
      </w:rPr>
    </w:lvl>
    <w:lvl w:ilvl="6" w:tplc="796E0592" w:tentative="1">
      <w:start w:val="1"/>
      <w:numFmt w:val="bullet"/>
      <w:lvlText w:val=""/>
      <w:lvlJc w:val="left"/>
      <w:pPr>
        <w:ind w:left="5040" w:hanging="360"/>
      </w:pPr>
      <w:rPr>
        <w:rFonts w:ascii="Symbol" w:hAnsi="Symbol" w:hint="default"/>
      </w:rPr>
    </w:lvl>
    <w:lvl w:ilvl="7" w:tplc="F03E1F1C" w:tentative="1">
      <w:start w:val="1"/>
      <w:numFmt w:val="bullet"/>
      <w:lvlText w:val="o"/>
      <w:lvlJc w:val="left"/>
      <w:pPr>
        <w:ind w:left="5760" w:hanging="360"/>
      </w:pPr>
      <w:rPr>
        <w:rFonts w:ascii="Courier New" w:hAnsi="Courier New" w:cs="Courier New" w:hint="default"/>
      </w:rPr>
    </w:lvl>
    <w:lvl w:ilvl="8" w:tplc="E65CFE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9E7778">
      <w:start w:val="1"/>
      <w:numFmt w:val="lowerRoman"/>
      <w:lvlText w:val="(%1)"/>
      <w:lvlJc w:val="left"/>
      <w:pPr>
        <w:ind w:left="1080" w:hanging="720"/>
      </w:pPr>
      <w:rPr>
        <w:rFonts w:hint="default"/>
      </w:rPr>
    </w:lvl>
    <w:lvl w:ilvl="1" w:tplc="D318C1FC" w:tentative="1">
      <w:start w:val="1"/>
      <w:numFmt w:val="lowerLetter"/>
      <w:lvlText w:val="%2."/>
      <w:lvlJc w:val="left"/>
      <w:pPr>
        <w:ind w:left="1440" w:hanging="360"/>
      </w:pPr>
    </w:lvl>
    <w:lvl w:ilvl="2" w:tplc="659439FE" w:tentative="1">
      <w:start w:val="1"/>
      <w:numFmt w:val="lowerRoman"/>
      <w:lvlText w:val="%3."/>
      <w:lvlJc w:val="right"/>
      <w:pPr>
        <w:ind w:left="2160" w:hanging="180"/>
      </w:pPr>
    </w:lvl>
    <w:lvl w:ilvl="3" w:tplc="2556CCA2" w:tentative="1">
      <w:start w:val="1"/>
      <w:numFmt w:val="decimal"/>
      <w:lvlText w:val="%4."/>
      <w:lvlJc w:val="left"/>
      <w:pPr>
        <w:ind w:left="2880" w:hanging="360"/>
      </w:pPr>
    </w:lvl>
    <w:lvl w:ilvl="4" w:tplc="E98E9DC4" w:tentative="1">
      <w:start w:val="1"/>
      <w:numFmt w:val="lowerLetter"/>
      <w:lvlText w:val="%5."/>
      <w:lvlJc w:val="left"/>
      <w:pPr>
        <w:ind w:left="3600" w:hanging="360"/>
      </w:pPr>
    </w:lvl>
    <w:lvl w:ilvl="5" w:tplc="D7DE1184" w:tentative="1">
      <w:start w:val="1"/>
      <w:numFmt w:val="lowerRoman"/>
      <w:lvlText w:val="%6."/>
      <w:lvlJc w:val="right"/>
      <w:pPr>
        <w:ind w:left="4320" w:hanging="180"/>
      </w:pPr>
    </w:lvl>
    <w:lvl w:ilvl="6" w:tplc="3A06891A" w:tentative="1">
      <w:start w:val="1"/>
      <w:numFmt w:val="decimal"/>
      <w:lvlText w:val="%7."/>
      <w:lvlJc w:val="left"/>
      <w:pPr>
        <w:ind w:left="5040" w:hanging="360"/>
      </w:pPr>
    </w:lvl>
    <w:lvl w:ilvl="7" w:tplc="0BB8F3C0" w:tentative="1">
      <w:start w:val="1"/>
      <w:numFmt w:val="lowerLetter"/>
      <w:lvlText w:val="%8."/>
      <w:lvlJc w:val="left"/>
      <w:pPr>
        <w:ind w:left="5760" w:hanging="360"/>
      </w:pPr>
    </w:lvl>
    <w:lvl w:ilvl="8" w:tplc="B802DC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40CEB6">
      <w:start w:val="1"/>
      <w:numFmt w:val="lowerRoman"/>
      <w:lvlText w:val="(%1)"/>
      <w:lvlJc w:val="left"/>
      <w:pPr>
        <w:ind w:left="1080" w:hanging="720"/>
      </w:pPr>
      <w:rPr>
        <w:rFonts w:hint="default"/>
      </w:rPr>
    </w:lvl>
    <w:lvl w:ilvl="1" w:tplc="C7D60D04" w:tentative="1">
      <w:start w:val="1"/>
      <w:numFmt w:val="lowerLetter"/>
      <w:lvlText w:val="%2."/>
      <w:lvlJc w:val="left"/>
      <w:pPr>
        <w:ind w:left="1440" w:hanging="360"/>
      </w:pPr>
    </w:lvl>
    <w:lvl w:ilvl="2" w:tplc="AF4C665C" w:tentative="1">
      <w:start w:val="1"/>
      <w:numFmt w:val="lowerRoman"/>
      <w:lvlText w:val="%3."/>
      <w:lvlJc w:val="right"/>
      <w:pPr>
        <w:ind w:left="2160" w:hanging="180"/>
      </w:pPr>
    </w:lvl>
    <w:lvl w:ilvl="3" w:tplc="757C9B24" w:tentative="1">
      <w:start w:val="1"/>
      <w:numFmt w:val="decimal"/>
      <w:lvlText w:val="%4."/>
      <w:lvlJc w:val="left"/>
      <w:pPr>
        <w:ind w:left="2880" w:hanging="360"/>
      </w:pPr>
    </w:lvl>
    <w:lvl w:ilvl="4" w:tplc="3822EEFC" w:tentative="1">
      <w:start w:val="1"/>
      <w:numFmt w:val="lowerLetter"/>
      <w:lvlText w:val="%5."/>
      <w:lvlJc w:val="left"/>
      <w:pPr>
        <w:ind w:left="3600" w:hanging="360"/>
      </w:pPr>
    </w:lvl>
    <w:lvl w:ilvl="5" w:tplc="F5E2A168" w:tentative="1">
      <w:start w:val="1"/>
      <w:numFmt w:val="lowerRoman"/>
      <w:lvlText w:val="%6."/>
      <w:lvlJc w:val="right"/>
      <w:pPr>
        <w:ind w:left="4320" w:hanging="180"/>
      </w:pPr>
    </w:lvl>
    <w:lvl w:ilvl="6" w:tplc="8E82ADBC" w:tentative="1">
      <w:start w:val="1"/>
      <w:numFmt w:val="decimal"/>
      <w:lvlText w:val="%7."/>
      <w:lvlJc w:val="left"/>
      <w:pPr>
        <w:ind w:left="5040" w:hanging="360"/>
      </w:pPr>
    </w:lvl>
    <w:lvl w:ilvl="7" w:tplc="7414AEFE" w:tentative="1">
      <w:start w:val="1"/>
      <w:numFmt w:val="lowerLetter"/>
      <w:lvlText w:val="%8."/>
      <w:lvlJc w:val="left"/>
      <w:pPr>
        <w:ind w:left="5760" w:hanging="360"/>
      </w:pPr>
    </w:lvl>
    <w:lvl w:ilvl="8" w:tplc="BCDCD0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9AE7476">
      <w:start w:val="1"/>
      <w:numFmt w:val="lowerRoman"/>
      <w:lvlText w:val="(%1)"/>
      <w:lvlJc w:val="left"/>
      <w:pPr>
        <w:ind w:left="1080" w:hanging="720"/>
      </w:pPr>
      <w:rPr>
        <w:rFonts w:hint="default"/>
      </w:rPr>
    </w:lvl>
    <w:lvl w:ilvl="1" w:tplc="5630C672" w:tentative="1">
      <w:start w:val="1"/>
      <w:numFmt w:val="lowerLetter"/>
      <w:lvlText w:val="%2."/>
      <w:lvlJc w:val="left"/>
      <w:pPr>
        <w:ind w:left="1440" w:hanging="360"/>
      </w:pPr>
    </w:lvl>
    <w:lvl w:ilvl="2" w:tplc="AD566E3E" w:tentative="1">
      <w:start w:val="1"/>
      <w:numFmt w:val="lowerRoman"/>
      <w:lvlText w:val="%3."/>
      <w:lvlJc w:val="right"/>
      <w:pPr>
        <w:ind w:left="2160" w:hanging="180"/>
      </w:pPr>
    </w:lvl>
    <w:lvl w:ilvl="3" w:tplc="C8B693F4" w:tentative="1">
      <w:start w:val="1"/>
      <w:numFmt w:val="decimal"/>
      <w:lvlText w:val="%4."/>
      <w:lvlJc w:val="left"/>
      <w:pPr>
        <w:ind w:left="2880" w:hanging="360"/>
      </w:pPr>
    </w:lvl>
    <w:lvl w:ilvl="4" w:tplc="75F81ECC" w:tentative="1">
      <w:start w:val="1"/>
      <w:numFmt w:val="lowerLetter"/>
      <w:lvlText w:val="%5."/>
      <w:lvlJc w:val="left"/>
      <w:pPr>
        <w:ind w:left="3600" w:hanging="360"/>
      </w:pPr>
    </w:lvl>
    <w:lvl w:ilvl="5" w:tplc="FCDE5CB2" w:tentative="1">
      <w:start w:val="1"/>
      <w:numFmt w:val="lowerRoman"/>
      <w:lvlText w:val="%6."/>
      <w:lvlJc w:val="right"/>
      <w:pPr>
        <w:ind w:left="4320" w:hanging="180"/>
      </w:pPr>
    </w:lvl>
    <w:lvl w:ilvl="6" w:tplc="870A1AB4" w:tentative="1">
      <w:start w:val="1"/>
      <w:numFmt w:val="decimal"/>
      <w:lvlText w:val="%7."/>
      <w:lvlJc w:val="left"/>
      <w:pPr>
        <w:ind w:left="5040" w:hanging="360"/>
      </w:pPr>
    </w:lvl>
    <w:lvl w:ilvl="7" w:tplc="B442DE3E" w:tentative="1">
      <w:start w:val="1"/>
      <w:numFmt w:val="lowerLetter"/>
      <w:lvlText w:val="%8."/>
      <w:lvlJc w:val="left"/>
      <w:pPr>
        <w:ind w:left="5760" w:hanging="360"/>
      </w:pPr>
    </w:lvl>
    <w:lvl w:ilvl="8" w:tplc="8EDC2C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F3005E4">
      <w:start w:val="1"/>
      <w:numFmt w:val="lowerRoman"/>
      <w:lvlText w:val="(%1)"/>
      <w:lvlJc w:val="left"/>
      <w:pPr>
        <w:ind w:left="1080" w:hanging="720"/>
      </w:pPr>
      <w:rPr>
        <w:rFonts w:hint="default"/>
      </w:rPr>
    </w:lvl>
    <w:lvl w:ilvl="1" w:tplc="43C40272" w:tentative="1">
      <w:start w:val="1"/>
      <w:numFmt w:val="lowerLetter"/>
      <w:lvlText w:val="%2."/>
      <w:lvlJc w:val="left"/>
      <w:pPr>
        <w:ind w:left="1440" w:hanging="360"/>
      </w:pPr>
    </w:lvl>
    <w:lvl w:ilvl="2" w:tplc="258A993E" w:tentative="1">
      <w:start w:val="1"/>
      <w:numFmt w:val="lowerRoman"/>
      <w:lvlText w:val="%3."/>
      <w:lvlJc w:val="right"/>
      <w:pPr>
        <w:ind w:left="2160" w:hanging="180"/>
      </w:pPr>
    </w:lvl>
    <w:lvl w:ilvl="3" w:tplc="7D6E5728" w:tentative="1">
      <w:start w:val="1"/>
      <w:numFmt w:val="decimal"/>
      <w:lvlText w:val="%4."/>
      <w:lvlJc w:val="left"/>
      <w:pPr>
        <w:ind w:left="2880" w:hanging="360"/>
      </w:pPr>
    </w:lvl>
    <w:lvl w:ilvl="4" w:tplc="27BE1F26" w:tentative="1">
      <w:start w:val="1"/>
      <w:numFmt w:val="lowerLetter"/>
      <w:lvlText w:val="%5."/>
      <w:lvlJc w:val="left"/>
      <w:pPr>
        <w:ind w:left="3600" w:hanging="360"/>
      </w:pPr>
    </w:lvl>
    <w:lvl w:ilvl="5" w:tplc="7A4C3AFA" w:tentative="1">
      <w:start w:val="1"/>
      <w:numFmt w:val="lowerRoman"/>
      <w:lvlText w:val="%6."/>
      <w:lvlJc w:val="right"/>
      <w:pPr>
        <w:ind w:left="4320" w:hanging="180"/>
      </w:pPr>
    </w:lvl>
    <w:lvl w:ilvl="6" w:tplc="F9A015E8" w:tentative="1">
      <w:start w:val="1"/>
      <w:numFmt w:val="decimal"/>
      <w:lvlText w:val="%7."/>
      <w:lvlJc w:val="left"/>
      <w:pPr>
        <w:ind w:left="5040" w:hanging="360"/>
      </w:pPr>
    </w:lvl>
    <w:lvl w:ilvl="7" w:tplc="AAAAC748" w:tentative="1">
      <w:start w:val="1"/>
      <w:numFmt w:val="lowerLetter"/>
      <w:lvlText w:val="%8."/>
      <w:lvlJc w:val="left"/>
      <w:pPr>
        <w:ind w:left="5760" w:hanging="360"/>
      </w:pPr>
    </w:lvl>
    <w:lvl w:ilvl="8" w:tplc="C966ED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2162E64">
      <w:start w:val="1"/>
      <w:numFmt w:val="lowerRoman"/>
      <w:lvlText w:val="(%1)"/>
      <w:lvlJc w:val="left"/>
      <w:pPr>
        <w:ind w:left="1080" w:hanging="720"/>
      </w:pPr>
      <w:rPr>
        <w:rFonts w:hint="default"/>
      </w:rPr>
    </w:lvl>
    <w:lvl w:ilvl="1" w:tplc="10F61B50" w:tentative="1">
      <w:start w:val="1"/>
      <w:numFmt w:val="lowerLetter"/>
      <w:lvlText w:val="%2."/>
      <w:lvlJc w:val="left"/>
      <w:pPr>
        <w:ind w:left="1440" w:hanging="360"/>
      </w:pPr>
    </w:lvl>
    <w:lvl w:ilvl="2" w:tplc="5040126A" w:tentative="1">
      <w:start w:val="1"/>
      <w:numFmt w:val="lowerRoman"/>
      <w:lvlText w:val="%3."/>
      <w:lvlJc w:val="right"/>
      <w:pPr>
        <w:ind w:left="2160" w:hanging="180"/>
      </w:pPr>
    </w:lvl>
    <w:lvl w:ilvl="3" w:tplc="ED1832C6" w:tentative="1">
      <w:start w:val="1"/>
      <w:numFmt w:val="decimal"/>
      <w:lvlText w:val="%4."/>
      <w:lvlJc w:val="left"/>
      <w:pPr>
        <w:ind w:left="2880" w:hanging="360"/>
      </w:pPr>
    </w:lvl>
    <w:lvl w:ilvl="4" w:tplc="52061382" w:tentative="1">
      <w:start w:val="1"/>
      <w:numFmt w:val="lowerLetter"/>
      <w:lvlText w:val="%5."/>
      <w:lvlJc w:val="left"/>
      <w:pPr>
        <w:ind w:left="3600" w:hanging="360"/>
      </w:pPr>
    </w:lvl>
    <w:lvl w:ilvl="5" w:tplc="CA72263A" w:tentative="1">
      <w:start w:val="1"/>
      <w:numFmt w:val="lowerRoman"/>
      <w:lvlText w:val="%6."/>
      <w:lvlJc w:val="right"/>
      <w:pPr>
        <w:ind w:left="4320" w:hanging="180"/>
      </w:pPr>
    </w:lvl>
    <w:lvl w:ilvl="6" w:tplc="E610B2CC" w:tentative="1">
      <w:start w:val="1"/>
      <w:numFmt w:val="decimal"/>
      <w:lvlText w:val="%7."/>
      <w:lvlJc w:val="left"/>
      <w:pPr>
        <w:ind w:left="5040" w:hanging="360"/>
      </w:pPr>
    </w:lvl>
    <w:lvl w:ilvl="7" w:tplc="BF4C5050" w:tentative="1">
      <w:start w:val="1"/>
      <w:numFmt w:val="lowerLetter"/>
      <w:lvlText w:val="%8."/>
      <w:lvlJc w:val="left"/>
      <w:pPr>
        <w:ind w:left="5760" w:hanging="360"/>
      </w:pPr>
    </w:lvl>
    <w:lvl w:ilvl="8" w:tplc="835283B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24081B8">
      <w:start w:val="1"/>
      <w:numFmt w:val="lowerRoman"/>
      <w:lvlText w:val="(%1)"/>
      <w:lvlJc w:val="left"/>
      <w:pPr>
        <w:ind w:left="1080" w:hanging="720"/>
      </w:pPr>
      <w:rPr>
        <w:rFonts w:hint="default"/>
      </w:rPr>
    </w:lvl>
    <w:lvl w:ilvl="1" w:tplc="FD927B50" w:tentative="1">
      <w:start w:val="1"/>
      <w:numFmt w:val="lowerLetter"/>
      <w:lvlText w:val="%2."/>
      <w:lvlJc w:val="left"/>
      <w:pPr>
        <w:ind w:left="1440" w:hanging="360"/>
      </w:pPr>
    </w:lvl>
    <w:lvl w:ilvl="2" w:tplc="34E8F812" w:tentative="1">
      <w:start w:val="1"/>
      <w:numFmt w:val="lowerRoman"/>
      <w:lvlText w:val="%3."/>
      <w:lvlJc w:val="right"/>
      <w:pPr>
        <w:ind w:left="2160" w:hanging="180"/>
      </w:pPr>
    </w:lvl>
    <w:lvl w:ilvl="3" w:tplc="75221F98" w:tentative="1">
      <w:start w:val="1"/>
      <w:numFmt w:val="decimal"/>
      <w:lvlText w:val="%4."/>
      <w:lvlJc w:val="left"/>
      <w:pPr>
        <w:ind w:left="2880" w:hanging="360"/>
      </w:pPr>
    </w:lvl>
    <w:lvl w:ilvl="4" w:tplc="7968FFAE" w:tentative="1">
      <w:start w:val="1"/>
      <w:numFmt w:val="lowerLetter"/>
      <w:lvlText w:val="%5."/>
      <w:lvlJc w:val="left"/>
      <w:pPr>
        <w:ind w:left="3600" w:hanging="360"/>
      </w:pPr>
    </w:lvl>
    <w:lvl w:ilvl="5" w:tplc="70D4D7B8" w:tentative="1">
      <w:start w:val="1"/>
      <w:numFmt w:val="lowerRoman"/>
      <w:lvlText w:val="%6."/>
      <w:lvlJc w:val="right"/>
      <w:pPr>
        <w:ind w:left="4320" w:hanging="180"/>
      </w:pPr>
    </w:lvl>
    <w:lvl w:ilvl="6" w:tplc="4F8ABC74" w:tentative="1">
      <w:start w:val="1"/>
      <w:numFmt w:val="decimal"/>
      <w:lvlText w:val="%7."/>
      <w:lvlJc w:val="left"/>
      <w:pPr>
        <w:ind w:left="5040" w:hanging="360"/>
      </w:pPr>
    </w:lvl>
    <w:lvl w:ilvl="7" w:tplc="3078DBB8" w:tentative="1">
      <w:start w:val="1"/>
      <w:numFmt w:val="lowerLetter"/>
      <w:lvlText w:val="%8."/>
      <w:lvlJc w:val="left"/>
      <w:pPr>
        <w:ind w:left="5760" w:hanging="360"/>
      </w:pPr>
    </w:lvl>
    <w:lvl w:ilvl="8" w:tplc="9CB2F64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7991214">
    <w:abstractNumId w:val="11"/>
  </w:num>
  <w:num w:numId="2" w16cid:durableId="174851892">
    <w:abstractNumId w:val="4"/>
  </w:num>
  <w:num w:numId="3" w16cid:durableId="1931769985">
    <w:abstractNumId w:val="2"/>
  </w:num>
  <w:num w:numId="4" w16cid:durableId="38405556">
    <w:abstractNumId w:val="7"/>
  </w:num>
  <w:num w:numId="5" w16cid:durableId="2072803980">
    <w:abstractNumId w:val="6"/>
  </w:num>
  <w:num w:numId="6" w16cid:durableId="1421608603">
    <w:abstractNumId w:val="1"/>
  </w:num>
  <w:num w:numId="7" w16cid:durableId="38166134">
    <w:abstractNumId w:val="9"/>
  </w:num>
  <w:num w:numId="8" w16cid:durableId="965476595">
    <w:abstractNumId w:val="5"/>
  </w:num>
  <w:num w:numId="9" w16cid:durableId="1402094117">
    <w:abstractNumId w:val="8"/>
  </w:num>
  <w:num w:numId="10" w16cid:durableId="950208935">
    <w:abstractNumId w:val="3"/>
  </w:num>
  <w:num w:numId="11" w16cid:durableId="1448616814">
    <w:abstractNumId w:val="10"/>
  </w:num>
  <w:num w:numId="12" w16cid:durableId="327102506">
    <w:abstractNumId w:val="0"/>
  </w:num>
  <w:num w:numId="13" w16cid:durableId="1483892655">
    <w:abstractNumId w:val="11"/>
  </w:num>
  <w:num w:numId="14" w16cid:durableId="18639756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AA"/>
    <w:rsid w:val="00002C14"/>
    <w:rsid w:val="00004CFB"/>
    <w:rsid w:val="0001671E"/>
    <w:rsid w:val="000357F9"/>
    <w:rsid w:val="0004597C"/>
    <w:rsid w:val="000928EE"/>
    <w:rsid w:val="00094ED5"/>
    <w:rsid w:val="000C22D0"/>
    <w:rsid w:val="000D4001"/>
    <w:rsid w:val="000E12F5"/>
    <w:rsid w:val="00106A0E"/>
    <w:rsid w:val="00121EEB"/>
    <w:rsid w:val="00131A23"/>
    <w:rsid w:val="00152B27"/>
    <w:rsid w:val="00157F39"/>
    <w:rsid w:val="001746BE"/>
    <w:rsid w:val="00190FFA"/>
    <w:rsid w:val="001C313A"/>
    <w:rsid w:val="001F3A03"/>
    <w:rsid w:val="00205FF9"/>
    <w:rsid w:val="002145BD"/>
    <w:rsid w:val="0023041D"/>
    <w:rsid w:val="00232FB5"/>
    <w:rsid w:val="002341A5"/>
    <w:rsid w:val="00236AF5"/>
    <w:rsid w:val="00264543"/>
    <w:rsid w:val="00272F87"/>
    <w:rsid w:val="002809EC"/>
    <w:rsid w:val="00287DF8"/>
    <w:rsid w:val="002A28D1"/>
    <w:rsid w:val="002A2A74"/>
    <w:rsid w:val="002B05F8"/>
    <w:rsid w:val="002B41B5"/>
    <w:rsid w:val="002B6B74"/>
    <w:rsid w:val="002C5706"/>
    <w:rsid w:val="002D7245"/>
    <w:rsid w:val="002D7D6E"/>
    <w:rsid w:val="003158DE"/>
    <w:rsid w:val="00330588"/>
    <w:rsid w:val="00352E84"/>
    <w:rsid w:val="003548E9"/>
    <w:rsid w:val="00380DB1"/>
    <w:rsid w:val="00383A7F"/>
    <w:rsid w:val="0039018A"/>
    <w:rsid w:val="003C02D3"/>
    <w:rsid w:val="003E0C62"/>
    <w:rsid w:val="003E138F"/>
    <w:rsid w:val="003E7D61"/>
    <w:rsid w:val="003F4CF8"/>
    <w:rsid w:val="00403BFE"/>
    <w:rsid w:val="00413C45"/>
    <w:rsid w:val="00415BBD"/>
    <w:rsid w:val="004332D0"/>
    <w:rsid w:val="00443FA9"/>
    <w:rsid w:val="00444100"/>
    <w:rsid w:val="00444116"/>
    <w:rsid w:val="004470BA"/>
    <w:rsid w:val="00451D02"/>
    <w:rsid w:val="00456E40"/>
    <w:rsid w:val="00496EB1"/>
    <w:rsid w:val="004C1D76"/>
    <w:rsid w:val="004C2B0B"/>
    <w:rsid w:val="004D098D"/>
    <w:rsid w:val="004D558D"/>
    <w:rsid w:val="004D7B8D"/>
    <w:rsid w:val="004F6D03"/>
    <w:rsid w:val="00546D92"/>
    <w:rsid w:val="00550BD5"/>
    <w:rsid w:val="0058269D"/>
    <w:rsid w:val="005A4A90"/>
    <w:rsid w:val="005A6ADB"/>
    <w:rsid w:val="005B61EF"/>
    <w:rsid w:val="005C6F6A"/>
    <w:rsid w:val="00610D84"/>
    <w:rsid w:val="006138EF"/>
    <w:rsid w:val="00613E06"/>
    <w:rsid w:val="00622033"/>
    <w:rsid w:val="00631B39"/>
    <w:rsid w:val="0066156B"/>
    <w:rsid w:val="00663FCB"/>
    <w:rsid w:val="0066644B"/>
    <w:rsid w:val="00685E81"/>
    <w:rsid w:val="006C113F"/>
    <w:rsid w:val="006E18C7"/>
    <w:rsid w:val="006E2062"/>
    <w:rsid w:val="006F0320"/>
    <w:rsid w:val="006F7B36"/>
    <w:rsid w:val="00724A67"/>
    <w:rsid w:val="00731021"/>
    <w:rsid w:val="0073502F"/>
    <w:rsid w:val="00752706"/>
    <w:rsid w:val="00763E58"/>
    <w:rsid w:val="00770B7C"/>
    <w:rsid w:val="00773525"/>
    <w:rsid w:val="007A0448"/>
    <w:rsid w:val="007A112B"/>
    <w:rsid w:val="007B3134"/>
    <w:rsid w:val="007C6D4A"/>
    <w:rsid w:val="007D5645"/>
    <w:rsid w:val="007F20C5"/>
    <w:rsid w:val="008223D5"/>
    <w:rsid w:val="00831694"/>
    <w:rsid w:val="00871734"/>
    <w:rsid w:val="00891C0A"/>
    <w:rsid w:val="008A547A"/>
    <w:rsid w:val="008A555F"/>
    <w:rsid w:val="008B6D69"/>
    <w:rsid w:val="008D5A8E"/>
    <w:rsid w:val="008E2511"/>
    <w:rsid w:val="008F3C64"/>
    <w:rsid w:val="009012BF"/>
    <w:rsid w:val="009066BC"/>
    <w:rsid w:val="00911FED"/>
    <w:rsid w:val="009132C1"/>
    <w:rsid w:val="00932508"/>
    <w:rsid w:val="00951415"/>
    <w:rsid w:val="009962AE"/>
    <w:rsid w:val="009A1BB1"/>
    <w:rsid w:val="009A2DC9"/>
    <w:rsid w:val="009D4124"/>
    <w:rsid w:val="00A06F82"/>
    <w:rsid w:val="00A11271"/>
    <w:rsid w:val="00A4085F"/>
    <w:rsid w:val="00A43E1A"/>
    <w:rsid w:val="00A46AE8"/>
    <w:rsid w:val="00A508EA"/>
    <w:rsid w:val="00A55FBA"/>
    <w:rsid w:val="00A85746"/>
    <w:rsid w:val="00A90628"/>
    <w:rsid w:val="00AA27EB"/>
    <w:rsid w:val="00AA68F7"/>
    <w:rsid w:val="00AB51C1"/>
    <w:rsid w:val="00AC7389"/>
    <w:rsid w:val="00AE0F5D"/>
    <w:rsid w:val="00B17B70"/>
    <w:rsid w:val="00B21E93"/>
    <w:rsid w:val="00B32BF7"/>
    <w:rsid w:val="00B55CED"/>
    <w:rsid w:val="00B62A40"/>
    <w:rsid w:val="00B75AF6"/>
    <w:rsid w:val="00B863F8"/>
    <w:rsid w:val="00BB2BFB"/>
    <w:rsid w:val="00BC40C6"/>
    <w:rsid w:val="00BC5DC5"/>
    <w:rsid w:val="00BD5E1E"/>
    <w:rsid w:val="00BF0162"/>
    <w:rsid w:val="00C22730"/>
    <w:rsid w:val="00C4229A"/>
    <w:rsid w:val="00C549F0"/>
    <w:rsid w:val="00C54B59"/>
    <w:rsid w:val="00C617A5"/>
    <w:rsid w:val="00C76B94"/>
    <w:rsid w:val="00C91B6F"/>
    <w:rsid w:val="00CA3A22"/>
    <w:rsid w:val="00CC2AC6"/>
    <w:rsid w:val="00CD1D17"/>
    <w:rsid w:val="00CE2649"/>
    <w:rsid w:val="00CE6776"/>
    <w:rsid w:val="00D04A29"/>
    <w:rsid w:val="00D14E59"/>
    <w:rsid w:val="00D23B56"/>
    <w:rsid w:val="00D5010D"/>
    <w:rsid w:val="00D5787F"/>
    <w:rsid w:val="00D60AFA"/>
    <w:rsid w:val="00D83E67"/>
    <w:rsid w:val="00D84D6D"/>
    <w:rsid w:val="00DA080E"/>
    <w:rsid w:val="00DB5413"/>
    <w:rsid w:val="00DE17BC"/>
    <w:rsid w:val="00DF03AD"/>
    <w:rsid w:val="00DF181B"/>
    <w:rsid w:val="00DF5A77"/>
    <w:rsid w:val="00E074C1"/>
    <w:rsid w:val="00E258D3"/>
    <w:rsid w:val="00E632E8"/>
    <w:rsid w:val="00E634E8"/>
    <w:rsid w:val="00E96C04"/>
    <w:rsid w:val="00EB30AF"/>
    <w:rsid w:val="00EE0727"/>
    <w:rsid w:val="00EF1475"/>
    <w:rsid w:val="00EF43B6"/>
    <w:rsid w:val="00EF5FAA"/>
    <w:rsid w:val="00F029F7"/>
    <w:rsid w:val="00F06912"/>
    <w:rsid w:val="00F20797"/>
    <w:rsid w:val="00F22830"/>
    <w:rsid w:val="00F56CCB"/>
    <w:rsid w:val="00F6342A"/>
    <w:rsid w:val="00F703C0"/>
    <w:rsid w:val="00F933A3"/>
    <w:rsid w:val="00F96AB2"/>
    <w:rsid w:val="00FC65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3C84B"/>
  <w15:docId w15:val="{2A50F411-1149-420E-888D-B5FB0A7D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1540E" w:rsidRDefault="005F7471">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83E1C" w:rsidRDefault="005F7471"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83E1C" w:rsidRDefault="005F7471"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83E1C" w:rsidRDefault="005F7471"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83E1C" w:rsidRDefault="005F7471"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3E1C"/>
    <w:rsid w:val="0001540E"/>
    <w:rsid w:val="00090AF7"/>
    <w:rsid w:val="00094ED5"/>
    <w:rsid w:val="00106A0E"/>
    <w:rsid w:val="00205FF9"/>
    <w:rsid w:val="00330588"/>
    <w:rsid w:val="004D558D"/>
    <w:rsid w:val="004D7B8D"/>
    <w:rsid w:val="005A6ADB"/>
    <w:rsid w:val="005C6F6A"/>
    <w:rsid w:val="005F7471"/>
    <w:rsid w:val="006C1C64"/>
    <w:rsid w:val="006E18C7"/>
    <w:rsid w:val="00773525"/>
    <w:rsid w:val="00783E1C"/>
    <w:rsid w:val="007E435E"/>
    <w:rsid w:val="007F1A06"/>
    <w:rsid w:val="00831694"/>
    <w:rsid w:val="00832BD8"/>
    <w:rsid w:val="008505C0"/>
    <w:rsid w:val="0087188B"/>
    <w:rsid w:val="00A86DDE"/>
    <w:rsid w:val="00AF0772"/>
    <w:rsid w:val="00B863F8"/>
    <w:rsid w:val="00BE5873"/>
    <w:rsid w:val="00C54B59"/>
    <w:rsid w:val="00D879DF"/>
    <w:rsid w:val="00DF226D"/>
    <w:rsid w:val="00E809D6"/>
    <w:rsid w:val="00F6342A"/>
    <w:rsid w:val="00F82D92"/>
    <w:rsid w:val="00F93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2532</Words>
  <Characters>14435</Characters>
  <Application>Microsoft Office Word</Application>
  <DocSecurity>8</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2024-12-09T00:10:00Z</dcterms:created>
  <dcterms:modified xsi:type="dcterms:W3CDTF">2024-12-09T00:10:00Z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