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BC86" w14:textId="34437777" w:rsidR="001464D6" w:rsidRDefault="00D93856">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2B3AF00" wp14:editId="4BB9DC41">
                <wp:simplePos x="0" y="0"/>
                <wp:positionH relativeFrom="column">
                  <wp:posOffset>-895350</wp:posOffset>
                </wp:positionH>
                <wp:positionV relativeFrom="paragraph">
                  <wp:posOffset>722630</wp:posOffset>
                </wp:positionV>
                <wp:extent cx="5686425" cy="1727200"/>
                <wp:effectExtent l="0" t="0" r="0" b="0"/>
                <wp:wrapSquare wrapText="bothSides"/>
                <wp:docPr id="1051106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1FCA0" w14:textId="77777777" w:rsidR="001464D6" w:rsidRDefault="001464D6">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4B54DAE" w14:textId="77777777" w:rsidR="001464D6" w:rsidRPr="001E694D" w:rsidRDefault="001464D6">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A71F7F4" w14:textId="77777777" w:rsidR="001464D6" w:rsidRPr="001E694D" w:rsidRDefault="001464D6">
                            <w:pPr>
                              <w:pStyle w:val="ContactNumber"/>
                              <w:spacing w:after="600"/>
                              <w:rPr>
                                <w:rFonts w:ascii="Open Sans" w:hAnsi="Open Sans" w:cs="Open Sans"/>
                              </w:rPr>
                            </w:pPr>
                            <w:r w:rsidRPr="001E694D">
                              <w:rPr>
                                <w:rFonts w:ascii="Open Sans" w:hAnsi="Open Sans" w:cs="Open Sans"/>
                              </w:rPr>
                              <w:t>Agedcarequality.gov.au</w:t>
                            </w:r>
                          </w:p>
                          <w:p w14:paraId="0142537D" w14:textId="77777777" w:rsidR="001464D6" w:rsidRDefault="001464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3AF0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C31FCA0" w14:textId="77777777" w:rsidR="001464D6" w:rsidRDefault="001464D6">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4B54DAE" w14:textId="77777777" w:rsidR="001464D6" w:rsidRPr="001E694D" w:rsidRDefault="001464D6">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A71F7F4" w14:textId="77777777" w:rsidR="001464D6" w:rsidRPr="001E694D" w:rsidRDefault="001464D6">
                      <w:pPr>
                        <w:pStyle w:val="ContactNumber"/>
                        <w:spacing w:after="600"/>
                        <w:rPr>
                          <w:rFonts w:ascii="Open Sans" w:hAnsi="Open Sans" w:cs="Open Sans"/>
                        </w:rPr>
                      </w:pPr>
                      <w:r w:rsidRPr="001E694D">
                        <w:rPr>
                          <w:rFonts w:ascii="Open Sans" w:hAnsi="Open Sans" w:cs="Open Sans"/>
                        </w:rPr>
                        <w:t>Agedcarequality.gov.au</w:t>
                      </w:r>
                    </w:p>
                    <w:p w14:paraId="0142537D" w14:textId="77777777" w:rsidR="001464D6" w:rsidRDefault="001464D6"/>
                  </w:txbxContent>
                </v:textbox>
                <w10:wrap type="square"/>
              </v:shape>
            </w:pict>
          </mc:Fallback>
        </mc:AlternateContent>
      </w:r>
      <w:r w:rsidR="001464D6">
        <w:rPr>
          <w:noProof/>
        </w:rPr>
        <w:drawing>
          <wp:anchor distT="360045" distB="180340" distL="114300" distR="114300" simplePos="0" relativeHeight="251659264" behindDoc="1" locked="0" layoutInCell="1" allowOverlap="1" wp14:anchorId="524D626C" wp14:editId="7DC5B7C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F993113" w14:textId="77777777" w:rsidR="001464D6" w:rsidRPr="001E694D" w:rsidRDefault="001464D6">
      <w:pPr>
        <w:tabs>
          <w:tab w:val="left" w:pos="4569"/>
        </w:tabs>
        <w:rPr>
          <w:rFonts w:ascii="Open Sans" w:hAnsi="Open Sans" w:cs="Open Sans"/>
          <w:color w:val="FFFFFF" w:themeColor="background1"/>
          <w:sz w:val="66"/>
          <w:szCs w:val="66"/>
        </w:rPr>
      </w:pPr>
    </w:p>
    <w:p w14:paraId="12FCA249" w14:textId="77777777" w:rsidR="001464D6" w:rsidRDefault="001464D6">
      <w:pPr>
        <w:spacing w:after="0"/>
        <w:rPr>
          <w:rFonts w:ascii="Open Sans" w:hAnsi="Open Sans" w:cs="Open Sans"/>
          <w:b/>
          <w:bCs/>
          <w:color w:val="FFFFFF" w:themeColor="background1"/>
          <w:sz w:val="66"/>
          <w:szCs w:val="66"/>
        </w:rPr>
      </w:pPr>
    </w:p>
    <w:p w14:paraId="00EA9215" w14:textId="77777777" w:rsidR="001464D6" w:rsidRDefault="001464D6">
      <w:pPr>
        <w:spacing w:after="0"/>
        <w:rPr>
          <w:rFonts w:ascii="Open Sans" w:hAnsi="Open Sans" w:cs="Open Sans"/>
          <w:b/>
          <w:bCs/>
          <w:color w:val="FFFFFF" w:themeColor="background1"/>
          <w:sz w:val="66"/>
          <w:szCs w:val="66"/>
        </w:rPr>
      </w:pPr>
    </w:p>
    <w:p w14:paraId="41F2CEA6" w14:textId="77777777" w:rsidR="001464D6" w:rsidRPr="00412FC5" w:rsidRDefault="001464D6">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310376" w14:paraId="51F007FC" w14:textId="77777777" w:rsidTr="00310376">
        <w:tc>
          <w:tcPr>
            <w:cnfStyle w:val="001000000000" w:firstRow="0" w:lastRow="0" w:firstColumn="1" w:lastColumn="0" w:oddVBand="0" w:evenVBand="0" w:oddHBand="0" w:evenHBand="0" w:firstRowFirstColumn="0" w:firstRowLastColumn="0" w:lastRowFirstColumn="0" w:lastRowLastColumn="0"/>
            <w:tcW w:w="3227" w:type="dxa"/>
          </w:tcPr>
          <w:p w14:paraId="1AEE97CA" w14:textId="77777777" w:rsidR="001464D6" w:rsidRPr="001E694D" w:rsidRDefault="001464D6">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E41EB63" w14:textId="77777777" w:rsidR="001464D6" w:rsidRPr="001E694D" w:rsidRDefault="001464D6">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Klemzig Residential Care Services</w:t>
            </w:r>
          </w:p>
        </w:tc>
      </w:tr>
      <w:tr w:rsidR="00310376" w14:paraId="2B17F32D" w14:textId="77777777" w:rsidTr="00310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06F3248" w14:textId="77777777" w:rsidR="001464D6" w:rsidRPr="001E694D" w:rsidRDefault="001464D6">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4E89E91" w14:textId="77777777" w:rsidR="001464D6" w:rsidRPr="001E694D" w:rsidRDefault="001464D6">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6957</w:t>
            </w:r>
          </w:p>
        </w:tc>
      </w:tr>
      <w:tr w:rsidR="00310376" w14:paraId="3906D594" w14:textId="77777777" w:rsidTr="0031037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0D8C3C3" w14:textId="77777777" w:rsidR="001464D6" w:rsidRPr="001E694D" w:rsidRDefault="001464D6">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6DAF572" w14:textId="77777777" w:rsidR="001464D6" w:rsidRPr="001E694D" w:rsidRDefault="001464D6">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 Leighton</w:t>
            </w:r>
            <w:r w:rsidRPr="001E694D">
              <w:rPr>
                <w:rFonts w:ascii="Open Sans" w:eastAsia="Times New Roman" w:hAnsi="Open Sans" w:cs="Open Sans"/>
                <w:lang w:eastAsia="en-AU"/>
              </w:rPr>
              <w:t xml:space="preserve"> Avenue, KLEMZIG, South Australia, 5087</w:t>
            </w:r>
          </w:p>
        </w:tc>
      </w:tr>
      <w:tr w:rsidR="00310376" w14:paraId="5A762CAF" w14:textId="77777777" w:rsidTr="00310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63C6D53" w14:textId="77777777" w:rsidR="001464D6" w:rsidRPr="001E694D" w:rsidRDefault="001464D6">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73AEBD5" w14:textId="77777777" w:rsidR="001464D6" w:rsidRPr="001E694D" w:rsidRDefault="001464D6">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310376" w14:paraId="559F179C" w14:textId="77777777" w:rsidTr="0031037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29D1B68" w14:textId="77777777" w:rsidR="001464D6" w:rsidRPr="001E694D" w:rsidRDefault="001464D6">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031127C" w14:textId="77777777" w:rsidR="001464D6" w:rsidRPr="001E694D" w:rsidRDefault="001464D6">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13 March 2025</w:t>
            </w:r>
          </w:p>
        </w:tc>
      </w:tr>
      <w:tr w:rsidR="00310376" w14:paraId="027BDF9B" w14:textId="77777777" w:rsidTr="00310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359901D" w14:textId="77777777" w:rsidR="001464D6" w:rsidRPr="001E694D" w:rsidRDefault="001464D6">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59273904"/>
            <w:placeholder>
              <w:docPart w:val="DefaultPlaceholder_-1854013437"/>
            </w:placeholder>
            <w:date w:fullDate="2025-04-24T00:00:00Z">
              <w:dateFormat w:val="d MMMM yyyy"/>
              <w:lid w:val="en-AU"/>
              <w:storeMappedDataAs w:val="dateTime"/>
              <w:calendar w:val="gregorian"/>
            </w:date>
          </w:sdtPr>
          <w:sdtEndPr/>
          <w:sdtContent>
            <w:tc>
              <w:tcPr>
                <w:tcW w:w="7114" w:type="dxa"/>
                <w:shd w:val="clear" w:color="auto" w:fill="FFFFFF" w:themeFill="background1"/>
              </w:tcPr>
              <w:p w14:paraId="2DFA9D93" w14:textId="184F1068" w:rsidR="001464D6" w:rsidRPr="001E694D" w:rsidRDefault="00BE61BC">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24 April 2025</w:t>
                </w:r>
              </w:p>
            </w:tc>
          </w:sdtContent>
        </w:sdt>
      </w:tr>
      <w:tr w:rsidR="00310376" w14:paraId="0FB87F38" w14:textId="77777777" w:rsidTr="00310376">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53DF08F" w14:textId="77777777" w:rsidR="001464D6" w:rsidRPr="001E694D" w:rsidRDefault="001464D6">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4428116" w14:textId="77777777" w:rsidR="001464D6" w:rsidRPr="001E694D" w:rsidRDefault="001464D6">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2979 Hahndorf Holdings Pty Ltd </w:t>
            </w:r>
          </w:p>
          <w:p w14:paraId="565ED905" w14:textId="77777777" w:rsidR="001464D6" w:rsidRPr="001E694D" w:rsidRDefault="001464D6">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4365 Klemzig Residential Care Services</w:t>
            </w:r>
          </w:p>
        </w:tc>
      </w:tr>
    </w:tbl>
    <w:bookmarkEnd w:id="0"/>
    <w:p w14:paraId="33F53820" w14:textId="77777777" w:rsidR="001464D6" w:rsidRPr="001E694D" w:rsidRDefault="001464D6">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176E09D" w14:textId="77777777" w:rsidR="001464D6" w:rsidRPr="003E162B" w:rsidRDefault="001464D6">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893E1B2" w14:textId="5DB85754" w:rsidR="001464D6" w:rsidRPr="001E694D" w:rsidRDefault="001464D6">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Klemzig Residential Care Services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496635">
        <w:rPr>
          <w:rFonts w:ascii="Open Sans" w:hAnsi="Open Sans" w:cs="Open Sans"/>
        </w:rPr>
        <w:t>Katherine Richards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C462A67" w14:textId="77777777" w:rsidR="001464D6" w:rsidRPr="001E694D" w:rsidRDefault="001464D6">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AD588DC" w14:textId="77777777" w:rsidR="001464D6" w:rsidRPr="001E694D" w:rsidRDefault="001464D6">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CF038CA" w14:textId="77777777" w:rsidR="001464D6" w:rsidRPr="003E162B" w:rsidRDefault="001464D6">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6BF6132" w14:textId="77777777" w:rsidR="001464D6" w:rsidRPr="001E694D" w:rsidRDefault="001464D6">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7007D67" w14:textId="2E3C69D1" w:rsidR="001464D6" w:rsidRPr="00154583" w:rsidRDefault="001464D6">
      <w:pPr>
        <w:pStyle w:val="ListParagraph"/>
        <w:numPr>
          <w:ilvl w:val="0"/>
          <w:numId w:val="2"/>
        </w:numPr>
        <w:spacing w:line="240" w:lineRule="atLeast"/>
        <w:ind w:left="714" w:hanging="357"/>
        <w:contextualSpacing w:val="0"/>
        <w:rPr>
          <w:rFonts w:ascii="Open Sans" w:hAnsi="Open Sans" w:cs="Open Sans"/>
        </w:rPr>
      </w:pPr>
      <w:r w:rsidRPr="00154583">
        <w:rPr>
          <w:rFonts w:ascii="Open Sans" w:hAnsi="Open Sans" w:cs="Open Sans"/>
        </w:rPr>
        <w:t>the assessment team’s report for the Assessment contact (performance assessment) – site report was informed by a site assessment, observations at the service, review of documents and interviews with older people</w:t>
      </w:r>
      <w:r w:rsidR="00154583" w:rsidRPr="00154583">
        <w:rPr>
          <w:rFonts w:ascii="Open Sans" w:hAnsi="Open Sans" w:cs="Open Sans"/>
        </w:rPr>
        <w:t xml:space="preserve">, </w:t>
      </w:r>
      <w:r w:rsidRPr="00154583">
        <w:rPr>
          <w:rFonts w:ascii="Open Sans" w:hAnsi="Open Sans" w:cs="Open Sans"/>
        </w:rPr>
        <w:t>representatives</w:t>
      </w:r>
      <w:r w:rsidR="00154583" w:rsidRPr="00154583">
        <w:rPr>
          <w:rFonts w:ascii="Open Sans" w:hAnsi="Open Sans" w:cs="Open Sans"/>
        </w:rPr>
        <w:t>, staff, management,</w:t>
      </w:r>
      <w:r w:rsidRPr="00154583">
        <w:rPr>
          <w:rFonts w:ascii="Open Sans" w:hAnsi="Open Sans" w:cs="Open Sans"/>
        </w:rPr>
        <w:t xml:space="preserve"> and others</w:t>
      </w:r>
      <w:r w:rsidR="00154583" w:rsidRPr="00154583">
        <w:rPr>
          <w:rFonts w:ascii="Open Sans" w:hAnsi="Open Sans" w:cs="Open Sans"/>
        </w:rPr>
        <w:t>; and</w:t>
      </w:r>
    </w:p>
    <w:p w14:paraId="78D7A1C5" w14:textId="112AD215" w:rsidR="001464D6" w:rsidRPr="00154583" w:rsidRDefault="001464D6">
      <w:pPr>
        <w:pStyle w:val="ListParagraph"/>
        <w:numPr>
          <w:ilvl w:val="0"/>
          <w:numId w:val="2"/>
        </w:numPr>
        <w:spacing w:line="240" w:lineRule="atLeast"/>
        <w:ind w:left="714" w:hanging="357"/>
        <w:contextualSpacing w:val="0"/>
        <w:rPr>
          <w:rFonts w:ascii="Open Sans" w:hAnsi="Open Sans" w:cs="Open Sans"/>
        </w:rPr>
      </w:pPr>
      <w:r w:rsidRPr="00154583">
        <w:rPr>
          <w:rFonts w:ascii="Open Sans" w:hAnsi="Open Sans" w:cs="Open Sans"/>
        </w:rPr>
        <w:t xml:space="preserve">the provider’s response to the assessment team’s report received </w:t>
      </w:r>
      <w:r w:rsidR="00154583" w:rsidRPr="00154583">
        <w:rPr>
          <w:rFonts w:ascii="Open Sans" w:hAnsi="Open Sans" w:cs="Open Sans"/>
        </w:rPr>
        <w:t>9 April 2025.</w:t>
      </w:r>
    </w:p>
    <w:p w14:paraId="647E1A05" w14:textId="6143F687" w:rsidR="001464D6" w:rsidRPr="00154583" w:rsidRDefault="001464D6">
      <w:pPr>
        <w:pStyle w:val="ListParagraph"/>
        <w:numPr>
          <w:ilvl w:val="0"/>
          <w:numId w:val="2"/>
        </w:numPr>
        <w:spacing w:line="22" w:lineRule="atLeast"/>
        <w:ind w:left="714" w:hanging="357"/>
        <w:contextualSpacing w:val="0"/>
        <w:rPr>
          <w:rFonts w:ascii="Open Sans" w:hAnsi="Open Sans" w:cs="Open Sans"/>
        </w:rPr>
      </w:pPr>
      <w:r w:rsidRPr="00154583">
        <w:rPr>
          <w:rFonts w:ascii="Open Sans" w:hAnsi="Open Sans" w:cs="Open Sans"/>
        </w:rPr>
        <w:br w:type="page"/>
      </w:r>
    </w:p>
    <w:p w14:paraId="54B92355" w14:textId="77777777" w:rsidR="001464D6" w:rsidRPr="003E162B" w:rsidRDefault="001464D6">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10376" w14:paraId="2742DC9D" w14:textId="77777777" w:rsidTr="0031037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6A14374" w14:textId="77777777" w:rsidR="001464D6" w:rsidRPr="001E694D" w:rsidRDefault="001464D6">
            <w:pPr>
              <w:keepNext/>
              <w:spacing w:before="0" w:line="22" w:lineRule="atLeast"/>
              <w:ind w:right="-109"/>
              <w:rPr>
                <w:rFonts w:ascii="Open Sans" w:hAnsi="Open Sans" w:cs="Open Sans"/>
              </w:rPr>
            </w:pPr>
            <w:r w:rsidRPr="001E694D">
              <w:rPr>
                <w:rFonts w:ascii="Open Sans" w:hAnsi="Open Sans" w:cs="Open Sans"/>
              </w:rPr>
              <w:t xml:space="preserve">Standard 2 </w:t>
            </w:r>
            <w:r w:rsidRPr="00154583">
              <w:rPr>
                <w:rFonts w:ascii="Open Sans" w:hAnsi="Open Sans" w:cs="Open Sans"/>
                <w:b w:val="0"/>
                <w:bCs/>
              </w:rPr>
              <w:t>Ongoing assessment and planning with consumers</w:t>
            </w:r>
          </w:p>
        </w:tc>
        <w:tc>
          <w:tcPr>
            <w:tcW w:w="1060" w:type="pct"/>
            <w:shd w:val="clear" w:color="auto" w:fill="auto"/>
          </w:tcPr>
          <w:p w14:paraId="23A5B5F9" w14:textId="62EE6201" w:rsidR="001464D6" w:rsidRPr="00850F6E" w:rsidRDefault="00850F6E">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850F6E">
              <w:rPr>
                <w:rFonts w:ascii="Open Sans" w:hAnsi="Open Sans" w:cs="Open Sans"/>
              </w:rPr>
              <w:t>Not Fully Assessed</w:t>
            </w:r>
          </w:p>
        </w:tc>
      </w:tr>
      <w:tr w:rsidR="00310376" w14:paraId="5B85CC57" w14:textId="77777777" w:rsidTr="0031037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B162DA1" w14:textId="77777777" w:rsidR="001464D6" w:rsidRPr="001E694D" w:rsidRDefault="001464D6">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CE154FA" w14:textId="54936F65" w:rsidR="001464D6" w:rsidRPr="001E694D" w:rsidRDefault="00B0055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6076921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154583">
                  <w:rPr>
                    <w:rFonts w:ascii="Open Sans" w:hAnsi="Open Sans" w:cs="Open Sans"/>
                    <w:b/>
                    <w:bCs/>
                  </w:rPr>
                  <w:t>Not Compliant</w:t>
                </w:r>
              </w:sdtContent>
            </w:sdt>
          </w:p>
        </w:tc>
      </w:tr>
      <w:tr w:rsidR="00310376" w14:paraId="0BB7AF03" w14:textId="77777777" w:rsidTr="0031037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6FEA661" w14:textId="77777777" w:rsidR="001464D6" w:rsidRPr="001E694D" w:rsidRDefault="001464D6">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241A72F" w14:textId="7FCABD1F" w:rsidR="001464D6" w:rsidRPr="001E694D" w:rsidRDefault="00850F6E">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Fully Assessed</w:t>
            </w:r>
          </w:p>
        </w:tc>
      </w:tr>
    </w:tbl>
    <w:p w14:paraId="20C1C003" w14:textId="77777777" w:rsidR="001464D6" w:rsidRPr="001E694D" w:rsidRDefault="001464D6">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3EFF63A" w14:textId="77777777" w:rsidR="001464D6" w:rsidRPr="003E162B" w:rsidRDefault="001464D6">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8E3B633" w14:textId="77777777" w:rsidR="001464D6" w:rsidRPr="001E694D" w:rsidRDefault="001464D6">
      <w:pPr>
        <w:pStyle w:val="NormalArial"/>
        <w:rPr>
          <w:rFonts w:ascii="Open Sans" w:hAnsi="Open Sans" w:cs="Open Sans"/>
        </w:rPr>
      </w:pPr>
      <w:r w:rsidRPr="00AB587C">
        <w:rPr>
          <w:rFonts w:ascii="Open Sans" w:hAnsi="Open Sans" w:cs="Open Sans"/>
        </w:rPr>
        <w:t xml:space="preserve">Areas have been identified in which </w:t>
      </w:r>
      <w:r w:rsidRPr="00AB587C">
        <w:rPr>
          <w:rFonts w:ascii="Open Sans" w:hAnsi="Open Sans" w:cs="Open Sans"/>
          <w:b/>
        </w:rPr>
        <w:t>improvements must be made to ensure compliance with the Quality Standards</w:t>
      </w:r>
      <w:r w:rsidRPr="00AB587C">
        <w:rPr>
          <w:rFonts w:ascii="Open Sans" w:hAnsi="Open Sans" w:cs="Open Sans"/>
        </w:rPr>
        <w:t>. This is based on non-compliance with the Quality Standards as described in this performance report.</w:t>
      </w:r>
    </w:p>
    <w:p w14:paraId="12D184B1" w14:textId="74338216" w:rsidR="001464D6" w:rsidRPr="00AB587C" w:rsidRDefault="00AB587C">
      <w:pPr>
        <w:pStyle w:val="ListBullet"/>
        <w:spacing w:before="0" w:after="120" w:line="22" w:lineRule="atLeast"/>
        <w:ind w:left="425" w:hanging="425"/>
        <w:rPr>
          <w:rFonts w:ascii="Open Sans" w:hAnsi="Open Sans" w:cs="Open Sans"/>
          <w:b/>
          <w:bCs/>
        </w:rPr>
      </w:pPr>
      <w:r>
        <w:rPr>
          <w:rFonts w:ascii="Open Sans" w:hAnsi="Open Sans" w:cs="Open Sans"/>
          <w:b/>
          <w:bCs/>
        </w:rPr>
        <w:t xml:space="preserve">Requirement 3(3)(b) </w:t>
      </w:r>
      <w:r w:rsidR="00BE61BC" w:rsidRPr="00BE61BC">
        <w:rPr>
          <w:rFonts w:ascii="Open Sans" w:hAnsi="Open Sans" w:cs="Open Sans"/>
        </w:rPr>
        <w:t xml:space="preserve">The provider is to ensure high impact and high prevalence risks for each consumer are effectively assessed and managed. Where chemical restraint is required, documentation including consent, behaviour support plans, and consumer charting, are compliant with legislative requirements and demonstrate it </w:t>
      </w:r>
      <w:r w:rsidR="00BE61BC">
        <w:rPr>
          <w:rFonts w:ascii="Open Sans" w:hAnsi="Open Sans" w:cs="Open Sans"/>
        </w:rPr>
        <w:t>i</w:t>
      </w:r>
      <w:r w:rsidR="00BE61BC" w:rsidRPr="00BE61BC">
        <w:rPr>
          <w:rFonts w:ascii="Open Sans" w:hAnsi="Open Sans" w:cs="Open Sans"/>
        </w:rPr>
        <w:t>s used as a last resort.</w:t>
      </w:r>
    </w:p>
    <w:p w14:paraId="3E11033B" w14:textId="37254F3B" w:rsidR="001464D6" w:rsidRPr="001E694D" w:rsidRDefault="001464D6">
      <w:pPr>
        <w:pStyle w:val="NormalArial"/>
        <w:rPr>
          <w:rFonts w:ascii="Open Sans" w:hAnsi="Open Sans" w:cs="Open Sans"/>
        </w:rPr>
      </w:pPr>
      <w:r w:rsidRPr="001E694D">
        <w:rPr>
          <w:rFonts w:ascii="Open Sans" w:hAnsi="Open Sans" w:cs="Open Sans"/>
        </w:rPr>
        <w:br w:type="page"/>
      </w:r>
    </w:p>
    <w:p w14:paraId="20A5B63F" w14:textId="77777777" w:rsidR="001464D6" w:rsidRPr="001E694D" w:rsidRDefault="001464D6">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10376" w14:paraId="184D9332" w14:textId="77777777" w:rsidTr="001545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104D4A62" w14:textId="77777777" w:rsidR="001464D6" w:rsidRPr="001E694D" w:rsidRDefault="001464D6">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002B4DA0" w14:textId="77777777" w:rsidR="001464D6" w:rsidRPr="001E694D" w:rsidRDefault="001464D6">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10376" w14:paraId="2A88CC4E" w14:textId="77777777" w:rsidTr="00154583">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7314B51C" w14:textId="77777777" w:rsidR="001464D6" w:rsidRPr="001E694D" w:rsidRDefault="001464D6">
            <w:pPr>
              <w:spacing w:line="22" w:lineRule="atLeast"/>
              <w:rPr>
                <w:rFonts w:ascii="Open Sans" w:hAnsi="Open Sans" w:cs="Open Sans"/>
              </w:rPr>
            </w:pPr>
            <w:r w:rsidRPr="001E694D">
              <w:rPr>
                <w:rFonts w:ascii="Open Sans" w:hAnsi="Open Sans" w:cs="Open Sans"/>
              </w:rPr>
              <w:t>Requirement 2(3)(a)</w:t>
            </w:r>
          </w:p>
        </w:tc>
        <w:tc>
          <w:tcPr>
            <w:tcW w:w="3170" w:type="pct"/>
            <w:shd w:val="clear" w:color="auto" w:fill="auto"/>
          </w:tcPr>
          <w:p w14:paraId="7C74FA78" w14:textId="77777777" w:rsidR="001464D6" w:rsidRPr="001E694D" w:rsidRDefault="001464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shd w:val="clear" w:color="auto" w:fill="auto"/>
          </w:tcPr>
          <w:p w14:paraId="2EB9D763" w14:textId="77777777" w:rsidR="001464D6" w:rsidRPr="001E694D" w:rsidRDefault="00B0055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846487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1464D6" w:rsidRPr="001E694D">
                  <w:rPr>
                    <w:rFonts w:ascii="Open Sans" w:hAnsi="Open Sans" w:cs="Open Sans"/>
                  </w:rPr>
                  <w:t>Compliant</w:t>
                </w:r>
              </w:sdtContent>
            </w:sdt>
          </w:p>
        </w:tc>
      </w:tr>
      <w:tr w:rsidR="00310376" w14:paraId="557A5C29" w14:textId="77777777" w:rsidTr="001545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5C91F1F5" w14:textId="77777777" w:rsidR="001464D6" w:rsidRPr="001E694D" w:rsidRDefault="001464D6">
            <w:pPr>
              <w:spacing w:line="22" w:lineRule="atLeast"/>
              <w:rPr>
                <w:rFonts w:ascii="Open Sans" w:hAnsi="Open Sans" w:cs="Open Sans"/>
              </w:rPr>
            </w:pPr>
            <w:r w:rsidRPr="001E694D">
              <w:rPr>
                <w:rFonts w:ascii="Open Sans" w:hAnsi="Open Sans" w:cs="Open Sans"/>
              </w:rPr>
              <w:t>Requirement 2(3)(e)</w:t>
            </w:r>
          </w:p>
        </w:tc>
        <w:tc>
          <w:tcPr>
            <w:tcW w:w="3170" w:type="pct"/>
            <w:shd w:val="clear" w:color="auto" w:fill="auto"/>
          </w:tcPr>
          <w:p w14:paraId="65FC2855" w14:textId="77777777" w:rsidR="001464D6" w:rsidRPr="001E694D" w:rsidRDefault="001464D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00" w:type="pct"/>
            <w:shd w:val="clear" w:color="auto" w:fill="auto"/>
          </w:tcPr>
          <w:p w14:paraId="15A4270A" w14:textId="77777777" w:rsidR="001464D6" w:rsidRPr="001E694D" w:rsidRDefault="00B0055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748690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1464D6" w:rsidRPr="001E694D">
                  <w:rPr>
                    <w:rFonts w:ascii="Open Sans" w:hAnsi="Open Sans" w:cs="Open Sans"/>
                  </w:rPr>
                  <w:t>Compliant</w:t>
                </w:r>
              </w:sdtContent>
            </w:sdt>
          </w:p>
        </w:tc>
      </w:tr>
    </w:tbl>
    <w:p w14:paraId="522E6D35" w14:textId="77777777" w:rsidR="001464D6" w:rsidRPr="003E162B" w:rsidRDefault="001464D6">
      <w:pPr>
        <w:pStyle w:val="Heading20"/>
        <w:rPr>
          <w:rFonts w:ascii="Open Sans" w:hAnsi="Open Sans" w:cs="Open Sans"/>
          <w:color w:val="781E77"/>
        </w:rPr>
      </w:pPr>
      <w:r w:rsidRPr="003E162B">
        <w:rPr>
          <w:rFonts w:ascii="Open Sans" w:hAnsi="Open Sans" w:cs="Open Sans"/>
          <w:color w:val="781E77"/>
        </w:rPr>
        <w:t>Findings</w:t>
      </w:r>
    </w:p>
    <w:p w14:paraId="1D601D05" w14:textId="078FBAED" w:rsidR="001D4004" w:rsidRDefault="001D4004" w:rsidP="001D4004">
      <w:pPr>
        <w:pStyle w:val="NormalArial"/>
        <w:rPr>
          <w:rFonts w:ascii="Open Sans" w:hAnsi="Open Sans" w:cs="Open Sans"/>
        </w:rPr>
      </w:pPr>
      <w:r>
        <w:rPr>
          <w:rFonts w:ascii="Open Sans" w:hAnsi="Open Sans" w:cs="Open Sans"/>
        </w:rPr>
        <w:t xml:space="preserve">Staff were knowledgeable of assessment and planning principles, and outlined how these were used to identify risk. Consumers and representatives felt engaged in the process, which was used to understand their needs, goals, and preferences as well as risks. Care planning documentation evidenced use of </w:t>
      </w:r>
      <w:r w:rsidR="00604994">
        <w:rPr>
          <w:rFonts w:ascii="Open Sans" w:hAnsi="Open Sans" w:cs="Open Sans"/>
        </w:rPr>
        <w:t xml:space="preserve">monitoring and validated </w:t>
      </w:r>
      <w:r>
        <w:rPr>
          <w:rFonts w:ascii="Open Sans" w:hAnsi="Open Sans" w:cs="Open Sans"/>
        </w:rPr>
        <w:t xml:space="preserve">assessment </w:t>
      </w:r>
      <w:r w:rsidR="00604994">
        <w:rPr>
          <w:rFonts w:ascii="Open Sans" w:hAnsi="Open Sans" w:cs="Open Sans"/>
        </w:rPr>
        <w:t xml:space="preserve">tools </w:t>
      </w:r>
      <w:r>
        <w:rPr>
          <w:rFonts w:ascii="Open Sans" w:hAnsi="Open Sans" w:cs="Open Sans"/>
        </w:rPr>
        <w:t xml:space="preserve">to consider risks and </w:t>
      </w:r>
      <w:r w:rsidR="00604994">
        <w:rPr>
          <w:rFonts w:ascii="Open Sans" w:hAnsi="Open Sans" w:cs="Open Sans"/>
        </w:rPr>
        <w:t xml:space="preserve">develop care strategies. </w:t>
      </w:r>
    </w:p>
    <w:p w14:paraId="753866DE" w14:textId="3086E9BD" w:rsidR="00604994" w:rsidRDefault="00604994" w:rsidP="001D4004">
      <w:pPr>
        <w:pStyle w:val="NormalArial"/>
        <w:rPr>
          <w:rFonts w:ascii="Open Sans" w:hAnsi="Open Sans" w:cs="Open Sans"/>
        </w:rPr>
      </w:pPr>
      <w:r>
        <w:rPr>
          <w:rFonts w:ascii="Open Sans" w:hAnsi="Open Sans" w:cs="Open Sans"/>
        </w:rPr>
        <w:t xml:space="preserve">Consumers and representatives were aware care and services were reviewed regularly and following incident or change in circumstances. Staff described the review processes, including 4 monthly </w:t>
      </w:r>
      <w:r w:rsidR="00EC588E">
        <w:rPr>
          <w:rFonts w:ascii="Open Sans" w:hAnsi="Open Sans" w:cs="Open Sans"/>
        </w:rPr>
        <w:t>reviews</w:t>
      </w:r>
      <w:r>
        <w:rPr>
          <w:rFonts w:ascii="Open Sans" w:hAnsi="Open Sans" w:cs="Open Sans"/>
        </w:rPr>
        <w:t xml:space="preserve"> of assessments and comprehensive annual review, with monitoring used to trigger ad hoc reviews if needs changed or incidents occurred. </w:t>
      </w:r>
      <w:r w:rsidR="00EC588E">
        <w:rPr>
          <w:rFonts w:ascii="Open Sans" w:hAnsi="Open Sans" w:cs="Open Sans"/>
        </w:rPr>
        <w:t>Care planning documentation demonstrated timely review and adjustments to care following change in consumer needs or circumstances, and regular evaluation of efficacy.</w:t>
      </w:r>
    </w:p>
    <w:p w14:paraId="0AAECC1F" w14:textId="4FAB3BA4" w:rsidR="001D4004" w:rsidRPr="001D4004" w:rsidRDefault="001D4004" w:rsidP="001D4004">
      <w:pPr>
        <w:pStyle w:val="NormalArial"/>
        <w:rPr>
          <w:rFonts w:ascii="Open Sans" w:hAnsi="Open Sans" w:cs="Open Sans"/>
        </w:rPr>
      </w:pPr>
      <w:r w:rsidRPr="001D4004">
        <w:rPr>
          <w:rFonts w:ascii="Open Sans" w:hAnsi="Open Sans" w:cs="Open Sans"/>
        </w:rPr>
        <w:t xml:space="preserve">Based on the assessment team’s report, I find requirements </w:t>
      </w:r>
      <w:r w:rsidR="00750D35">
        <w:rPr>
          <w:rFonts w:ascii="Open Sans" w:hAnsi="Open Sans" w:cs="Open Sans"/>
        </w:rPr>
        <w:t>2</w:t>
      </w:r>
      <w:r w:rsidRPr="001D4004">
        <w:rPr>
          <w:rFonts w:ascii="Open Sans" w:hAnsi="Open Sans" w:cs="Open Sans"/>
        </w:rPr>
        <w:t>(3)(</w:t>
      </w:r>
      <w:r>
        <w:rPr>
          <w:rFonts w:ascii="Open Sans" w:hAnsi="Open Sans" w:cs="Open Sans"/>
        </w:rPr>
        <w:t>a</w:t>
      </w:r>
      <w:r w:rsidRPr="001D4004">
        <w:rPr>
          <w:rFonts w:ascii="Open Sans" w:hAnsi="Open Sans" w:cs="Open Sans"/>
        </w:rPr>
        <w:t xml:space="preserve">) and </w:t>
      </w:r>
      <w:r w:rsidR="00750D35">
        <w:rPr>
          <w:rFonts w:ascii="Open Sans" w:hAnsi="Open Sans" w:cs="Open Sans"/>
        </w:rPr>
        <w:t>2</w:t>
      </w:r>
      <w:r w:rsidRPr="001D4004">
        <w:rPr>
          <w:rFonts w:ascii="Open Sans" w:hAnsi="Open Sans" w:cs="Open Sans"/>
        </w:rPr>
        <w:t xml:space="preserve">(3)(e) in Standard 2 Ongoing assessment and planning with consumers compliant. </w:t>
      </w:r>
    </w:p>
    <w:p w14:paraId="5A205BB3" w14:textId="26505D5C" w:rsidR="001464D6" w:rsidRPr="001E694D" w:rsidRDefault="001464D6">
      <w:pPr>
        <w:pStyle w:val="NormalArial"/>
        <w:rPr>
          <w:rFonts w:ascii="Open Sans" w:hAnsi="Open Sans" w:cs="Open Sans"/>
        </w:rPr>
      </w:pPr>
    </w:p>
    <w:p w14:paraId="266ACCE1" w14:textId="77777777" w:rsidR="001464D6" w:rsidRPr="001E694D" w:rsidRDefault="001464D6">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6A4287F6" w14:textId="77777777" w:rsidR="001464D6" w:rsidRPr="001E694D" w:rsidRDefault="001464D6">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10376" w14:paraId="0A6CF9B5" w14:textId="77777777" w:rsidTr="001545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1566D95D" w14:textId="77777777" w:rsidR="001464D6" w:rsidRPr="001E694D" w:rsidRDefault="001464D6">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25AD74F7" w14:textId="77777777" w:rsidR="001464D6" w:rsidRPr="001E694D" w:rsidRDefault="001464D6">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10376" w14:paraId="2B446ACF" w14:textId="77777777" w:rsidTr="001545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72D1D9" w14:textId="77777777" w:rsidR="001464D6" w:rsidRPr="001E694D" w:rsidRDefault="001464D6">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1DE94228" w14:textId="77777777" w:rsidR="001464D6" w:rsidRPr="001E694D" w:rsidRDefault="001464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189BC795" w14:textId="18C13538" w:rsidR="001464D6" w:rsidRPr="001E694D" w:rsidRDefault="00B0055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971030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850F6E">
                  <w:rPr>
                    <w:rFonts w:ascii="Open Sans" w:hAnsi="Open Sans" w:cs="Open Sans"/>
                    <w:color w:val="auto"/>
                  </w:rPr>
                  <w:t>Not Compliant</w:t>
                </w:r>
              </w:sdtContent>
            </w:sdt>
          </w:p>
        </w:tc>
      </w:tr>
    </w:tbl>
    <w:p w14:paraId="535B9175" w14:textId="77777777" w:rsidR="001464D6" w:rsidRPr="003E162B" w:rsidRDefault="001464D6">
      <w:pPr>
        <w:pStyle w:val="Heading20"/>
        <w:rPr>
          <w:rFonts w:ascii="Open Sans" w:hAnsi="Open Sans" w:cs="Open Sans"/>
          <w:color w:val="781E77"/>
        </w:rPr>
      </w:pPr>
      <w:r w:rsidRPr="003E162B">
        <w:rPr>
          <w:rFonts w:ascii="Open Sans" w:hAnsi="Open Sans" w:cs="Open Sans"/>
          <w:color w:val="781E77"/>
        </w:rPr>
        <w:t>Findings</w:t>
      </w:r>
    </w:p>
    <w:p w14:paraId="11686383" w14:textId="5FADE19C" w:rsidR="009A3005" w:rsidRDefault="00750D35" w:rsidP="00AA6BDF">
      <w:pPr>
        <w:pStyle w:val="NormalArial"/>
        <w:rPr>
          <w:rFonts w:ascii="Open Sans" w:hAnsi="Open Sans" w:cs="Open Sans"/>
        </w:rPr>
      </w:pPr>
      <w:r>
        <w:rPr>
          <w:rFonts w:ascii="Open Sans" w:hAnsi="Open Sans" w:cs="Open Sans"/>
        </w:rPr>
        <w:t>The assessment team recommended Requirement 3(3)(b</w:t>
      </w:r>
      <w:r w:rsidR="000F5EF3">
        <w:rPr>
          <w:rFonts w:ascii="Open Sans" w:hAnsi="Open Sans" w:cs="Open Sans"/>
        </w:rPr>
        <w:t>) Not Met, identifying gaps in monitoring consumers with changed behaviours and implementation and documentation of restrictive practices. Authorisation for chemical restraint was not reflective of informed consent, as it did not</w:t>
      </w:r>
      <w:r w:rsidR="00AA6BDF">
        <w:rPr>
          <w:rFonts w:ascii="Open Sans" w:hAnsi="Open Sans" w:cs="Open Sans"/>
        </w:rPr>
        <w:t xml:space="preserve"> contain sufficient detail such as the medication name, to support discussion of specific side effects. Prescribing</w:t>
      </w:r>
      <w:r w:rsidR="000F5EF3">
        <w:rPr>
          <w:rFonts w:ascii="Open Sans" w:hAnsi="Open Sans" w:cs="Open Sans"/>
        </w:rPr>
        <w:t xml:space="preserve"> reasons </w:t>
      </w:r>
      <w:r w:rsidR="00BE376C">
        <w:rPr>
          <w:rFonts w:ascii="Open Sans" w:hAnsi="Open Sans" w:cs="Open Sans"/>
        </w:rPr>
        <w:t xml:space="preserve">for one consumer </w:t>
      </w:r>
      <w:r w:rsidR="000F5EF3">
        <w:rPr>
          <w:rFonts w:ascii="Open Sans" w:hAnsi="Open Sans" w:cs="Open Sans"/>
        </w:rPr>
        <w:t xml:space="preserve">did not align with </w:t>
      </w:r>
      <w:r w:rsidR="00AA6BDF">
        <w:rPr>
          <w:rFonts w:ascii="Open Sans" w:hAnsi="Open Sans" w:cs="Open Sans"/>
        </w:rPr>
        <w:t>the consumer’s diagnosed medical conditions</w:t>
      </w:r>
      <w:r w:rsidR="000F5EF3">
        <w:rPr>
          <w:rFonts w:ascii="Open Sans" w:hAnsi="Open Sans" w:cs="Open Sans"/>
        </w:rPr>
        <w:t xml:space="preserve">. </w:t>
      </w:r>
    </w:p>
    <w:p w14:paraId="7AE8261E" w14:textId="6CD25CEE" w:rsidR="001464D6" w:rsidRDefault="000F5EF3" w:rsidP="00AA6BDF">
      <w:pPr>
        <w:pStyle w:val="NormalArial"/>
        <w:rPr>
          <w:rFonts w:ascii="Open Sans" w:hAnsi="Open Sans" w:cs="Open Sans"/>
        </w:rPr>
      </w:pPr>
      <w:r>
        <w:rPr>
          <w:rFonts w:ascii="Open Sans" w:hAnsi="Open Sans" w:cs="Open Sans"/>
        </w:rPr>
        <w:t xml:space="preserve">There was a lack of evidence, including within care planning and documentation processes, supporting restrictive practices were used as a last resort. </w:t>
      </w:r>
      <w:r w:rsidR="00AA6BDF">
        <w:rPr>
          <w:rFonts w:ascii="Open Sans" w:hAnsi="Open Sans" w:cs="Open Sans"/>
        </w:rPr>
        <w:t xml:space="preserve">Behaviour charting was not consistently undertaken prior to </w:t>
      </w:r>
      <w:r w:rsidR="00AA6BDF" w:rsidRPr="00482C9B">
        <w:rPr>
          <w:rFonts w:ascii="Open Sans" w:hAnsi="Open Sans" w:cs="Open Sans"/>
        </w:rPr>
        <w:t xml:space="preserve">use of </w:t>
      </w:r>
      <w:r w:rsidR="00850F6E" w:rsidRPr="00482C9B">
        <w:rPr>
          <w:rFonts w:ascii="Open Sans" w:hAnsi="Open Sans" w:cs="Open Sans"/>
        </w:rPr>
        <w:t xml:space="preserve">‘as required’ </w:t>
      </w:r>
      <w:r w:rsidR="00AA6BDF" w:rsidRPr="00482C9B">
        <w:rPr>
          <w:rFonts w:ascii="Open Sans" w:hAnsi="Open Sans" w:cs="Open Sans"/>
        </w:rPr>
        <w:t>chemical restraint, and when noted in progress notes</w:t>
      </w:r>
      <w:r w:rsidR="00482C9B" w:rsidRPr="00482C9B">
        <w:rPr>
          <w:rFonts w:ascii="Open Sans" w:hAnsi="Open Sans" w:cs="Open Sans"/>
        </w:rPr>
        <w:t>,</w:t>
      </w:r>
      <w:r w:rsidR="00AA6BDF" w:rsidRPr="00482C9B">
        <w:rPr>
          <w:rFonts w:ascii="Open Sans" w:hAnsi="Open Sans" w:cs="Open Sans"/>
        </w:rPr>
        <w:t xml:space="preserve"> </w:t>
      </w:r>
      <w:r w:rsidR="00850F6E" w:rsidRPr="00482C9B">
        <w:rPr>
          <w:rFonts w:ascii="Open Sans" w:hAnsi="Open Sans" w:cs="Open Sans"/>
        </w:rPr>
        <w:t>interventions were</w:t>
      </w:r>
      <w:r w:rsidR="00AA6BDF" w:rsidRPr="00482C9B">
        <w:rPr>
          <w:rFonts w:ascii="Open Sans" w:hAnsi="Open Sans" w:cs="Open Sans"/>
        </w:rPr>
        <w:t xml:space="preserve"> </w:t>
      </w:r>
      <w:r w:rsidR="00850F6E" w:rsidRPr="00482C9B">
        <w:rPr>
          <w:rFonts w:ascii="Open Sans" w:hAnsi="Open Sans" w:cs="Open Sans"/>
        </w:rPr>
        <w:t>generic</w:t>
      </w:r>
      <w:r w:rsidR="004341D3">
        <w:rPr>
          <w:rFonts w:ascii="Open Sans" w:hAnsi="Open Sans" w:cs="Open Sans"/>
        </w:rPr>
        <w:t xml:space="preserve"> rather</w:t>
      </w:r>
      <w:r w:rsidR="00850F6E">
        <w:rPr>
          <w:rFonts w:ascii="Open Sans" w:hAnsi="Open Sans" w:cs="Open Sans"/>
        </w:rPr>
        <w:t xml:space="preserve"> than reflecting those outlined in the behaviour support plan</w:t>
      </w:r>
      <w:r w:rsidR="00AA6BDF">
        <w:rPr>
          <w:rFonts w:ascii="Open Sans" w:hAnsi="Open Sans" w:cs="Open Sans"/>
        </w:rPr>
        <w:t>. Management stat</w:t>
      </w:r>
      <w:r w:rsidR="00BE376C">
        <w:rPr>
          <w:rFonts w:ascii="Open Sans" w:hAnsi="Open Sans" w:cs="Open Sans"/>
        </w:rPr>
        <w:t>ed</w:t>
      </w:r>
      <w:r w:rsidR="00AA6BDF">
        <w:rPr>
          <w:rFonts w:ascii="Open Sans" w:hAnsi="Open Sans" w:cs="Open Sans"/>
        </w:rPr>
        <w:t xml:space="preserve"> they did not commence behaviour charts where the demonstrated behaviour was normal for the consumer without recognising this impacted effective monitoring of changed behaviours, triggers, or behaviour support strategies. </w:t>
      </w:r>
    </w:p>
    <w:p w14:paraId="5DC35F77" w14:textId="519729F3" w:rsidR="009A3005" w:rsidRDefault="009A3005" w:rsidP="00AA6BDF">
      <w:pPr>
        <w:pStyle w:val="NormalArial"/>
        <w:rPr>
          <w:rFonts w:ascii="Open Sans" w:hAnsi="Open Sans" w:cs="Open Sans"/>
        </w:rPr>
      </w:pPr>
      <w:r>
        <w:rPr>
          <w:rFonts w:ascii="Open Sans" w:hAnsi="Open Sans" w:cs="Open Sans"/>
        </w:rPr>
        <w:t>Consumers with changed behaviours of wandering were not monitored for falls, with a lack of detail in care plans to guide staff on the frequency of sighting. For one consumer, with an incident of unauthorised absence from the service, directives for regular monitoring did not include timeframes or frequency. Management advised monitoring/sighting charts were not routinely completed unless there was an inciden</w:t>
      </w:r>
      <w:r w:rsidR="00850F6E">
        <w:rPr>
          <w:rFonts w:ascii="Open Sans" w:hAnsi="Open Sans" w:cs="Open Sans"/>
        </w:rPr>
        <w:t>t, however, this also not supported within viewed documentation for a sampled consumer</w:t>
      </w:r>
      <w:r>
        <w:rPr>
          <w:rFonts w:ascii="Open Sans" w:hAnsi="Open Sans" w:cs="Open Sans"/>
        </w:rPr>
        <w:t xml:space="preserve">. </w:t>
      </w:r>
    </w:p>
    <w:p w14:paraId="368E5031" w14:textId="43243A11" w:rsidR="001A1FC1" w:rsidRDefault="009A3005" w:rsidP="00AA6BDF">
      <w:pPr>
        <w:pStyle w:val="NormalArial"/>
        <w:rPr>
          <w:rFonts w:ascii="Open Sans" w:hAnsi="Open Sans" w:cs="Open Sans"/>
        </w:rPr>
      </w:pPr>
      <w:r>
        <w:rPr>
          <w:rFonts w:ascii="Open Sans" w:hAnsi="Open Sans" w:cs="Open Sans"/>
        </w:rPr>
        <w:t xml:space="preserve">The provider </w:t>
      </w:r>
      <w:r w:rsidR="00D0337A">
        <w:rPr>
          <w:rFonts w:ascii="Open Sans" w:hAnsi="Open Sans" w:cs="Open Sans"/>
        </w:rPr>
        <w:t xml:space="preserve">has refuted the findings, </w:t>
      </w:r>
      <w:r w:rsidR="00B374FE">
        <w:rPr>
          <w:rFonts w:ascii="Open Sans" w:hAnsi="Open Sans" w:cs="Open Sans"/>
        </w:rPr>
        <w:t xml:space="preserve">clarifying comments made within interviews and discussions, and provided explanation of how they demonstrate compliance and supporting documentation. They </w:t>
      </w:r>
      <w:r w:rsidR="00D0337A">
        <w:rPr>
          <w:rFonts w:ascii="Open Sans" w:hAnsi="Open Sans" w:cs="Open Sans"/>
        </w:rPr>
        <w:t>explain the</w:t>
      </w:r>
      <w:r w:rsidR="00B374FE">
        <w:rPr>
          <w:rFonts w:ascii="Open Sans" w:hAnsi="Open Sans" w:cs="Open Sans"/>
        </w:rPr>
        <w:t xml:space="preserve"> medication</w:t>
      </w:r>
      <w:r w:rsidR="00D0337A">
        <w:rPr>
          <w:rFonts w:ascii="Open Sans" w:hAnsi="Open Sans" w:cs="Open Sans"/>
        </w:rPr>
        <w:t xml:space="preserve"> identified by the assessment team was appropriately </w:t>
      </w:r>
      <w:r w:rsidR="00496635">
        <w:rPr>
          <w:rFonts w:ascii="Open Sans" w:hAnsi="Open Sans" w:cs="Open Sans"/>
        </w:rPr>
        <w:t>prescribed for a mental health condition</w:t>
      </w:r>
      <w:r w:rsidR="00C24E23">
        <w:rPr>
          <w:rFonts w:ascii="Open Sans" w:hAnsi="Open Sans" w:cs="Open Sans"/>
        </w:rPr>
        <w:t>, and was not chemical restraint</w:t>
      </w:r>
      <w:r w:rsidR="00DF7BDB">
        <w:rPr>
          <w:rFonts w:ascii="Open Sans" w:hAnsi="Open Sans" w:cs="Open Sans"/>
        </w:rPr>
        <w:t>,</w:t>
      </w:r>
      <w:r w:rsidR="00C24E23">
        <w:rPr>
          <w:rFonts w:ascii="Open Sans" w:hAnsi="Open Sans" w:cs="Open Sans"/>
        </w:rPr>
        <w:t xml:space="preserve"> </w:t>
      </w:r>
      <w:r w:rsidR="00D0337A">
        <w:rPr>
          <w:rFonts w:ascii="Open Sans" w:hAnsi="Open Sans" w:cs="Open Sans"/>
        </w:rPr>
        <w:t>evidenced with</w:t>
      </w:r>
      <w:r w:rsidR="00D86A98">
        <w:rPr>
          <w:rFonts w:ascii="Open Sans" w:hAnsi="Open Sans" w:cs="Open Sans"/>
        </w:rPr>
        <w:t>in submitted</w:t>
      </w:r>
      <w:r w:rsidR="00D0337A">
        <w:rPr>
          <w:rFonts w:ascii="Open Sans" w:hAnsi="Open Sans" w:cs="Open Sans"/>
        </w:rPr>
        <w:t xml:space="preserve"> health summaries. The</w:t>
      </w:r>
      <w:r w:rsidR="00C24E23">
        <w:rPr>
          <w:rFonts w:ascii="Open Sans" w:hAnsi="Open Sans" w:cs="Open Sans"/>
        </w:rPr>
        <w:t>y explain the</w:t>
      </w:r>
      <w:r w:rsidR="00D0337A">
        <w:rPr>
          <w:rFonts w:ascii="Open Sans" w:hAnsi="Open Sans" w:cs="Open Sans"/>
        </w:rPr>
        <w:t xml:space="preserve"> </w:t>
      </w:r>
      <w:r w:rsidR="00420BF3">
        <w:rPr>
          <w:rFonts w:ascii="Open Sans" w:hAnsi="Open Sans" w:cs="Open Sans"/>
        </w:rPr>
        <w:t xml:space="preserve">service uses a </w:t>
      </w:r>
      <w:r w:rsidR="00C24E23">
        <w:rPr>
          <w:rFonts w:ascii="Open Sans" w:hAnsi="Open Sans" w:cs="Open Sans"/>
        </w:rPr>
        <w:t>consent</w:t>
      </w:r>
      <w:r w:rsidR="00420BF3">
        <w:rPr>
          <w:rFonts w:ascii="Open Sans" w:hAnsi="Open Sans" w:cs="Open Sans"/>
        </w:rPr>
        <w:t xml:space="preserve"> form for psychotropic medication, regardless of whether it is for chemical restraint</w:t>
      </w:r>
      <w:r w:rsidR="00C24E23">
        <w:rPr>
          <w:rFonts w:ascii="Open Sans" w:hAnsi="Open Sans" w:cs="Open Sans"/>
        </w:rPr>
        <w:t>, and state the assessment team focused on an alternate document</w:t>
      </w:r>
      <w:r w:rsidR="00420BF3">
        <w:rPr>
          <w:rFonts w:ascii="Open Sans" w:hAnsi="Open Sans" w:cs="Open Sans"/>
        </w:rPr>
        <w:t xml:space="preserve">. </w:t>
      </w:r>
    </w:p>
    <w:p w14:paraId="35C0D5AD" w14:textId="2DD22789" w:rsidR="00C24E23" w:rsidRDefault="00420BF3" w:rsidP="00AA6BDF">
      <w:pPr>
        <w:pStyle w:val="NormalArial"/>
        <w:rPr>
          <w:rFonts w:ascii="Open Sans" w:hAnsi="Open Sans" w:cs="Open Sans"/>
        </w:rPr>
      </w:pPr>
      <w:r>
        <w:rPr>
          <w:rFonts w:ascii="Open Sans" w:hAnsi="Open Sans" w:cs="Open Sans"/>
        </w:rPr>
        <w:lastRenderedPageBreak/>
        <w:t xml:space="preserve">The provider </w:t>
      </w:r>
      <w:r w:rsidR="00BE61BC">
        <w:rPr>
          <w:rFonts w:ascii="Open Sans" w:hAnsi="Open Sans" w:cs="Open Sans"/>
        </w:rPr>
        <w:t>contends</w:t>
      </w:r>
      <w:r>
        <w:rPr>
          <w:rFonts w:ascii="Open Sans" w:hAnsi="Open Sans" w:cs="Open Sans"/>
        </w:rPr>
        <w:t xml:space="preserve"> the</w:t>
      </w:r>
      <w:r w:rsidR="00DF7BDB">
        <w:rPr>
          <w:rFonts w:ascii="Open Sans" w:hAnsi="Open Sans" w:cs="Open Sans"/>
        </w:rPr>
        <w:t xml:space="preserve"> consumer’s</w:t>
      </w:r>
      <w:r>
        <w:rPr>
          <w:rFonts w:ascii="Open Sans" w:hAnsi="Open Sans" w:cs="Open Sans"/>
        </w:rPr>
        <w:t xml:space="preserve"> behaviour support plan effectively </w:t>
      </w:r>
      <w:r w:rsidR="00C82ED4">
        <w:rPr>
          <w:rFonts w:ascii="Open Sans" w:hAnsi="Open Sans" w:cs="Open Sans"/>
        </w:rPr>
        <w:t>identifies</w:t>
      </w:r>
      <w:r>
        <w:rPr>
          <w:rFonts w:ascii="Open Sans" w:hAnsi="Open Sans" w:cs="Open Sans"/>
        </w:rPr>
        <w:t xml:space="preserve"> risks and includes</w:t>
      </w:r>
      <w:r w:rsidR="00C24E23">
        <w:rPr>
          <w:rFonts w:ascii="Open Sans" w:hAnsi="Open Sans" w:cs="Open Sans"/>
        </w:rPr>
        <w:t xml:space="preserve"> evidence of</w:t>
      </w:r>
      <w:r>
        <w:rPr>
          <w:rFonts w:ascii="Open Sans" w:hAnsi="Open Sans" w:cs="Open Sans"/>
        </w:rPr>
        <w:t xml:space="preserve"> informed consent</w:t>
      </w:r>
      <w:r w:rsidR="00DF7BDB">
        <w:rPr>
          <w:rFonts w:ascii="Open Sans" w:hAnsi="Open Sans" w:cs="Open Sans"/>
        </w:rPr>
        <w:t xml:space="preserve">. </w:t>
      </w:r>
      <w:r w:rsidR="00C82ED4">
        <w:rPr>
          <w:rFonts w:ascii="Open Sans" w:hAnsi="Open Sans" w:cs="Open Sans"/>
        </w:rPr>
        <w:t>T</w:t>
      </w:r>
      <w:r>
        <w:rPr>
          <w:rFonts w:ascii="Open Sans" w:hAnsi="Open Sans" w:cs="Open Sans"/>
        </w:rPr>
        <w:t xml:space="preserve">he </w:t>
      </w:r>
      <w:r w:rsidR="00C24E23">
        <w:rPr>
          <w:rFonts w:ascii="Open Sans" w:hAnsi="Open Sans" w:cs="Open Sans"/>
        </w:rPr>
        <w:t>consumer’s chemical restraint</w:t>
      </w:r>
      <w:r>
        <w:rPr>
          <w:rFonts w:ascii="Open Sans" w:hAnsi="Open Sans" w:cs="Open Sans"/>
        </w:rPr>
        <w:t xml:space="preserve"> was ceased in July 2024 and documentation updated</w:t>
      </w:r>
      <w:r w:rsidR="00C82ED4">
        <w:rPr>
          <w:rFonts w:ascii="Open Sans" w:hAnsi="Open Sans" w:cs="Open Sans"/>
        </w:rPr>
        <w:t xml:space="preserve"> accordingly</w:t>
      </w:r>
      <w:r>
        <w:rPr>
          <w:rFonts w:ascii="Open Sans" w:hAnsi="Open Sans" w:cs="Open Sans"/>
        </w:rPr>
        <w:t>, although they acknowledge issues in archiving of outdated information.</w:t>
      </w:r>
      <w:r w:rsidR="00C24E23">
        <w:rPr>
          <w:rFonts w:ascii="Open Sans" w:hAnsi="Open Sans" w:cs="Open Sans"/>
        </w:rPr>
        <w:t xml:space="preserve"> The provider states they have reviewed all relevant guidance on chemical restraint and find no evidence to support </w:t>
      </w:r>
      <w:r w:rsidR="00DF7BDB">
        <w:rPr>
          <w:rFonts w:ascii="Open Sans" w:hAnsi="Open Sans" w:cs="Open Sans"/>
        </w:rPr>
        <w:t xml:space="preserve">feedback from </w:t>
      </w:r>
      <w:r w:rsidR="00C24E23">
        <w:rPr>
          <w:rFonts w:ascii="Open Sans" w:hAnsi="Open Sans" w:cs="Open Sans"/>
        </w:rPr>
        <w:t>the assessment team to specifically name the medication used as chemical restraint within the behaviour support plan. They consider their current practice to meet best practice guidelines.</w:t>
      </w:r>
    </w:p>
    <w:p w14:paraId="08310FED" w14:textId="0AD2C7CC" w:rsidR="00C24E23" w:rsidRDefault="00C24E23" w:rsidP="00AA6BDF">
      <w:pPr>
        <w:pStyle w:val="NormalArial"/>
        <w:rPr>
          <w:rFonts w:ascii="Open Sans" w:hAnsi="Open Sans" w:cs="Open Sans"/>
        </w:rPr>
      </w:pPr>
      <w:r>
        <w:rPr>
          <w:rFonts w:ascii="Open Sans" w:hAnsi="Open Sans" w:cs="Open Sans"/>
        </w:rPr>
        <w:t>In relation to the administration of a psychotropic medication, the</w:t>
      </w:r>
      <w:r w:rsidR="00B374FE">
        <w:rPr>
          <w:rFonts w:ascii="Open Sans" w:hAnsi="Open Sans" w:cs="Open Sans"/>
        </w:rPr>
        <w:t xml:space="preserve"> provider cites use was minimal and their review of progress notes support use of non-pharmacological interventions prior to use. Although progress notes do not include specifics of interventions, the behaviour support plan outlines what these would be. The consumer entered the service on regular chemical restraint, and this has subsequently been deprescribed through use of effective assessment, planning, and support.</w:t>
      </w:r>
      <w:r w:rsidR="00420BF3">
        <w:rPr>
          <w:rFonts w:ascii="Open Sans" w:hAnsi="Open Sans" w:cs="Open Sans"/>
        </w:rPr>
        <w:t xml:space="preserve"> </w:t>
      </w:r>
    </w:p>
    <w:p w14:paraId="17E930D5" w14:textId="2D4F5E23" w:rsidR="00C24E23" w:rsidRDefault="00DF7BDB" w:rsidP="00AA6BDF">
      <w:pPr>
        <w:pStyle w:val="NormalArial"/>
        <w:rPr>
          <w:rFonts w:ascii="Open Sans" w:hAnsi="Open Sans" w:cs="Open Sans"/>
        </w:rPr>
      </w:pPr>
      <w:r>
        <w:rPr>
          <w:rFonts w:ascii="Open Sans" w:hAnsi="Open Sans" w:cs="Open Sans"/>
        </w:rPr>
        <w:t xml:space="preserve">The provider explains monitoring practices are individualised and determined by care plans and assessed needs of consumers, responding to routines. They state the assessment team’s understanding of monitoring of consumers following an incident was incorrect, as there are numerous </w:t>
      </w:r>
      <w:r w:rsidR="00482C9B">
        <w:rPr>
          <w:rFonts w:ascii="Open Sans" w:hAnsi="Open Sans" w:cs="Open Sans"/>
        </w:rPr>
        <w:t>policies,</w:t>
      </w:r>
      <w:r>
        <w:rPr>
          <w:rFonts w:ascii="Open Sans" w:hAnsi="Open Sans" w:cs="Open Sans"/>
        </w:rPr>
        <w:t xml:space="preserve"> and the clinical judgement of staff involved in the process. In relation to the consumer’s unauthorised absence, neurological observations were being undertaken rather than sight charting, with documentation of regular review. Regular charting is not </w:t>
      </w:r>
      <w:r w:rsidR="00AB587C">
        <w:rPr>
          <w:rFonts w:ascii="Open Sans" w:hAnsi="Open Sans" w:cs="Open Sans"/>
        </w:rPr>
        <w:t>routine but</w:t>
      </w:r>
      <w:r>
        <w:rPr>
          <w:rFonts w:ascii="Open Sans" w:hAnsi="Open Sans" w:cs="Open Sans"/>
        </w:rPr>
        <w:t xml:space="preserve"> used as a short-term measure to understand patterns or assess effectiveness of strategies. </w:t>
      </w:r>
      <w:r w:rsidR="00165223">
        <w:rPr>
          <w:rFonts w:ascii="Open Sans" w:hAnsi="Open Sans" w:cs="Open Sans"/>
        </w:rPr>
        <w:t xml:space="preserve">However, staff have received education on charting guidelines to enhance accuracy and consistency in documentation. Consumers with known risks of falls or wandering have correlating strategies developed, including involving in group activities, encouraging spending time in high traffic areas, or providing person centred supports. </w:t>
      </w:r>
    </w:p>
    <w:p w14:paraId="117CBCCE" w14:textId="4D515D23" w:rsidR="00C35D3F" w:rsidRDefault="00C24E23" w:rsidP="00AA6BDF">
      <w:pPr>
        <w:pStyle w:val="NormalArial"/>
        <w:rPr>
          <w:rFonts w:ascii="Open Sans" w:hAnsi="Open Sans" w:cs="Open Sans"/>
        </w:rPr>
      </w:pPr>
      <w:r>
        <w:rPr>
          <w:rFonts w:ascii="Open Sans" w:hAnsi="Open Sans" w:cs="Open Sans"/>
        </w:rPr>
        <w:t xml:space="preserve">I acknowledge the provider’s </w:t>
      </w:r>
      <w:r w:rsidR="00C35D3F">
        <w:rPr>
          <w:rFonts w:ascii="Open Sans" w:hAnsi="Open Sans" w:cs="Open Sans"/>
        </w:rPr>
        <w:t>response</w:t>
      </w:r>
      <w:r w:rsidR="00AB587C">
        <w:rPr>
          <w:rFonts w:ascii="Open Sans" w:hAnsi="Open Sans" w:cs="Open Sans"/>
        </w:rPr>
        <w:t xml:space="preserve"> and improvement actions</w:t>
      </w:r>
      <w:r w:rsidR="00C35D3F">
        <w:rPr>
          <w:rFonts w:ascii="Open Sans" w:hAnsi="Open Sans" w:cs="Open Sans"/>
        </w:rPr>
        <w:t xml:space="preserve"> and</w:t>
      </w:r>
      <w:r>
        <w:rPr>
          <w:rFonts w:ascii="Open Sans" w:hAnsi="Open Sans" w:cs="Open Sans"/>
        </w:rPr>
        <w:t xml:space="preserve"> have considered all evidence before me in making my decision. </w:t>
      </w:r>
      <w:r w:rsidR="00C35D3F">
        <w:rPr>
          <w:rFonts w:ascii="Open Sans" w:hAnsi="Open Sans" w:cs="Open Sans"/>
        </w:rPr>
        <w:t xml:space="preserve">In relation to monitoring consumers with wandering changed behaviours, I find the provider’s explanation of the cited incident supports the service increased monitoring of the consumer’s whereabouts following an unexplained absence. The provider’s explanation outlines the timeline and detailed investigation of how the issue arose. Care planning documentation identified need for monitoring for consumers at risk, but not the frequency, with the provider stating this is undertaken through daily routines. I would encourage the service to ensure documentation is sufficient to guide staff, especially those who are unfamiliar with the consumer, in risk and monitoring. In the absence of evidence of deficiencies within staff knowledge, or incidents reflecting the practices were </w:t>
      </w:r>
      <w:r w:rsidR="00C35D3F">
        <w:rPr>
          <w:rFonts w:ascii="Open Sans" w:hAnsi="Open Sans" w:cs="Open Sans"/>
        </w:rPr>
        <w:lastRenderedPageBreak/>
        <w:t>ineffective, I find the practice is currently effectively managing these consumer risks.</w:t>
      </w:r>
    </w:p>
    <w:p w14:paraId="22119812" w14:textId="1816F526" w:rsidR="00EB7134" w:rsidRDefault="00EB7134" w:rsidP="00EB7134">
      <w:pPr>
        <w:pStyle w:val="NormalArial"/>
        <w:rPr>
          <w:rFonts w:ascii="Open Sans" w:hAnsi="Open Sans" w:cs="Open Sans"/>
        </w:rPr>
      </w:pPr>
      <w:r>
        <w:rPr>
          <w:rFonts w:ascii="Open Sans" w:hAnsi="Open Sans" w:cs="Open Sans"/>
        </w:rPr>
        <w:t xml:space="preserve">However, the provider states they find no evidence in legislation or guidance material of requirement to name medications within the behaviour support plan. Section 15FC of the </w:t>
      </w:r>
      <w:r>
        <w:rPr>
          <w:rFonts w:ascii="Open Sans" w:hAnsi="Open Sans" w:cs="Open Sans"/>
          <w:i/>
          <w:iCs/>
        </w:rPr>
        <w:t xml:space="preserve">Quality of Care Principles 2014 </w:t>
      </w:r>
      <w:r>
        <w:rPr>
          <w:rFonts w:ascii="Open Sans" w:hAnsi="Open Sans" w:cs="Open Sans"/>
        </w:rPr>
        <w:t>which outlines the requirements for the use of restrictive practices that are chemical restraint. Point (1)(b)(vb) states the behaviour support plan must include details of the prescription for the prescribed medication, including its name, dosage, and when it may be used. I would also caution that each medication within a pharmacological classification has its own unique set of side effects and risks which should be considered within the informed consent process.</w:t>
      </w:r>
    </w:p>
    <w:p w14:paraId="585DB93B" w14:textId="1732DBE8" w:rsidR="00C24E23" w:rsidRDefault="009F3A0B" w:rsidP="00AA6BDF">
      <w:pPr>
        <w:pStyle w:val="NormalArial"/>
        <w:rPr>
          <w:rFonts w:ascii="Open Sans" w:hAnsi="Open Sans" w:cs="Open Sans"/>
        </w:rPr>
      </w:pPr>
      <w:r>
        <w:rPr>
          <w:rFonts w:ascii="Open Sans" w:hAnsi="Open Sans" w:cs="Open Sans"/>
        </w:rPr>
        <w:t xml:space="preserve">Failing to understand and comply with the legislated obligations has resulted in a lack of clarity for staff on when and how to use chemical restraint. For the consumer named in the assessment team report, this resulted in use of medication </w:t>
      </w:r>
      <w:r w:rsidR="001A67DA">
        <w:rPr>
          <w:rFonts w:ascii="Open Sans" w:hAnsi="Open Sans" w:cs="Open Sans"/>
        </w:rPr>
        <w:t xml:space="preserve">as chemical restraint </w:t>
      </w:r>
      <w:r>
        <w:rPr>
          <w:rFonts w:ascii="Open Sans" w:hAnsi="Open Sans" w:cs="Open Sans"/>
        </w:rPr>
        <w:t xml:space="preserve">for </w:t>
      </w:r>
      <w:r w:rsidR="001A67DA">
        <w:rPr>
          <w:rFonts w:ascii="Open Sans" w:hAnsi="Open Sans" w:cs="Open Sans"/>
        </w:rPr>
        <w:t>a changed behaviour of</w:t>
      </w:r>
      <w:r>
        <w:rPr>
          <w:rFonts w:ascii="Open Sans" w:hAnsi="Open Sans" w:cs="Open Sans"/>
        </w:rPr>
        <w:t xml:space="preserve"> pacing up and down the corridor. Whilst the provider notes </w:t>
      </w:r>
      <w:r w:rsidR="001A67DA">
        <w:rPr>
          <w:rFonts w:ascii="Open Sans" w:hAnsi="Open Sans" w:cs="Open Sans"/>
        </w:rPr>
        <w:t>the consumer only required medication</w:t>
      </w:r>
      <w:r>
        <w:rPr>
          <w:rFonts w:ascii="Open Sans" w:hAnsi="Open Sans" w:cs="Open Sans"/>
        </w:rPr>
        <w:t xml:space="preserve"> on two occasions in the past 6 months, the lack of understanding </w:t>
      </w:r>
      <w:r w:rsidR="001A67DA">
        <w:rPr>
          <w:rFonts w:ascii="Open Sans" w:hAnsi="Open Sans" w:cs="Open Sans"/>
        </w:rPr>
        <w:t>of legislative requirements for documentation</w:t>
      </w:r>
      <w:r w:rsidR="00534D37">
        <w:rPr>
          <w:rFonts w:ascii="Open Sans" w:hAnsi="Open Sans" w:cs="Open Sans"/>
        </w:rPr>
        <w:t>, consent,</w:t>
      </w:r>
      <w:r w:rsidR="001A67DA">
        <w:rPr>
          <w:rFonts w:ascii="Open Sans" w:hAnsi="Open Sans" w:cs="Open Sans"/>
        </w:rPr>
        <w:t xml:space="preserve"> and use of chemical restraint and behaviour support planning may place other existing and future consumers at risk of increased use and associated hazards.  </w:t>
      </w:r>
      <w:r w:rsidR="001B3279">
        <w:rPr>
          <w:rFonts w:ascii="Open Sans" w:hAnsi="Open Sans" w:cs="Open Sans"/>
        </w:rPr>
        <w:t xml:space="preserve"> </w:t>
      </w:r>
    </w:p>
    <w:p w14:paraId="727790D1" w14:textId="2149061B" w:rsidR="00AB587C" w:rsidRDefault="00AB587C" w:rsidP="00AA6BDF">
      <w:pPr>
        <w:pStyle w:val="NormalArial"/>
        <w:rPr>
          <w:rFonts w:ascii="Open Sans" w:hAnsi="Open Sans" w:cs="Open Sans"/>
        </w:rPr>
      </w:pPr>
      <w:r>
        <w:rPr>
          <w:rFonts w:ascii="Open Sans" w:hAnsi="Open Sans" w:cs="Open Sans"/>
        </w:rPr>
        <w:t xml:space="preserve">For these reasons, </w:t>
      </w:r>
      <w:r w:rsidRPr="001D4004">
        <w:rPr>
          <w:rFonts w:ascii="Open Sans" w:hAnsi="Open Sans" w:cs="Open Sans"/>
        </w:rPr>
        <w:t xml:space="preserve">I find requirement </w:t>
      </w:r>
      <w:r>
        <w:rPr>
          <w:rFonts w:ascii="Open Sans" w:hAnsi="Open Sans" w:cs="Open Sans"/>
        </w:rPr>
        <w:t>3</w:t>
      </w:r>
      <w:r w:rsidRPr="001D4004">
        <w:rPr>
          <w:rFonts w:ascii="Open Sans" w:hAnsi="Open Sans" w:cs="Open Sans"/>
        </w:rPr>
        <w:t>(3)(</w:t>
      </w:r>
      <w:r>
        <w:rPr>
          <w:rFonts w:ascii="Open Sans" w:hAnsi="Open Sans" w:cs="Open Sans"/>
        </w:rPr>
        <w:t>b</w:t>
      </w:r>
      <w:r w:rsidRPr="001D4004">
        <w:rPr>
          <w:rFonts w:ascii="Open Sans" w:hAnsi="Open Sans" w:cs="Open Sans"/>
        </w:rPr>
        <w:t xml:space="preserve">) in Standard </w:t>
      </w:r>
      <w:r>
        <w:rPr>
          <w:rFonts w:ascii="Open Sans" w:hAnsi="Open Sans" w:cs="Open Sans"/>
        </w:rPr>
        <w:t>3 Personal care and clinical care is not compliant.</w:t>
      </w:r>
    </w:p>
    <w:p w14:paraId="648E37B8" w14:textId="77777777" w:rsidR="001A1FC1" w:rsidRDefault="001A1FC1" w:rsidP="00AA6BDF">
      <w:pPr>
        <w:pStyle w:val="NormalArial"/>
        <w:rPr>
          <w:rFonts w:ascii="Open Sans" w:hAnsi="Open Sans" w:cs="Open Sans"/>
        </w:rPr>
      </w:pPr>
    </w:p>
    <w:p w14:paraId="2CF44DFC" w14:textId="7B9E95A4" w:rsidR="009A3005" w:rsidRPr="001E694D" w:rsidRDefault="00BE376C" w:rsidP="00AA6BDF">
      <w:pPr>
        <w:pStyle w:val="NormalArial"/>
        <w:rPr>
          <w:rFonts w:ascii="Open Sans" w:hAnsi="Open Sans" w:cs="Open Sans"/>
        </w:rPr>
      </w:pPr>
      <w:r>
        <w:rPr>
          <w:rFonts w:ascii="Open Sans" w:hAnsi="Open Sans" w:cs="Open Sans"/>
        </w:rPr>
        <w:t xml:space="preserve">    </w:t>
      </w:r>
    </w:p>
    <w:p w14:paraId="370B4D54" w14:textId="77777777" w:rsidR="001464D6" w:rsidRPr="001E694D" w:rsidRDefault="001464D6">
      <w:pPr>
        <w:pStyle w:val="NormalArial"/>
        <w:rPr>
          <w:rFonts w:ascii="Open Sans" w:hAnsi="Open Sans" w:cs="Open Sans"/>
        </w:rPr>
      </w:pPr>
      <w:r w:rsidRPr="001E694D">
        <w:rPr>
          <w:rFonts w:ascii="Open Sans" w:hAnsi="Open Sans" w:cs="Open Sans"/>
        </w:rPr>
        <w:br w:type="page"/>
      </w:r>
    </w:p>
    <w:p w14:paraId="12421CD4" w14:textId="77777777" w:rsidR="001464D6" w:rsidRPr="001E694D" w:rsidRDefault="001464D6">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10376" w14:paraId="757047B7" w14:textId="77777777" w:rsidTr="001545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0D58B3A1" w14:textId="77777777" w:rsidR="001464D6" w:rsidRPr="001E694D" w:rsidRDefault="001464D6">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1EEFED53" w14:textId="77777777" w:rsidR="001464D6" w:rsidRPr="001E694D" w:rsidRDefault="001464D6">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10376" w14:paraId="5434504C" w14:textId="77777777" w:rsidTr="00154583">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D930F6A" w14:textId="77777777" w:rsidR="001464D6" w:rsidRPr="001E694D" w:rsidRDefault="001464D6">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5DC2FD12" w14:textId="77777777" w:rsidR="001464D6" w:rsidRPr="001E694D" w:rsidRDefault="001464D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C7371C9" w14:textId="77777777" w:rsidR="001464D6" w:rsidRPr="001E694D" w:rsidRDefault="001464D6">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3E0E21F" w14:textId="77777777" w:rsidR="001464D6" w:rsidRPr="001E694D" w:rsidRDefault="001464D6">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54F7848" w14:textId="77777777" w:rsidR="001464D6" w:rsidRPr="001E694D" w:rsidRDefault="001464D6">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4C644C3" w14:textId="77777777" w:rsidR="001464D6" w:rsidRPr="001E694D" w:rsidRDefault="001464D6">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0548C82E" w14:textId="77777777" w:rsidR="001464D6" w:rsidRPr="001E694D" w:rsidRDefault="00B00554">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977348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1464D6" w:rsidRPr="001E694D">
                  <w:rPr>
                    <w:rFonts w:ascii="Open Sans" w:hAnsi="Open Sans" w:cs="Open Sans"/>
                  </w:rPr>
                  <w:t>Compliant</w:t>
                </w:r>
              </w:sdtContent>
            </w:sdt>
          </w:p>
        </w:tc>
      </w:tr>
      <w:tr w:rsidR="00310376" w14:paraId="377ECC04" w14:textId="77777777" w:rsidTr="001545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5F9474D" w14:textId="77777777" w:rsidR="001464D6" w:rsidRPr="001E694D" w:rsidRDefault="001464D6">
            <w:pPr>
              <w:spacing w:line="22" w:lineRule="atLeast"/>
              <w:rPr>
                <w:rFonts w:ascii="Open Sans" w:hAnsi="Open Sans" w:cs="Open Sans"/>
              </w:rPr>
            </w:pPr>
            <w:r w:rsidRPr="001E694D">
              <w:rPr>
                <w:rFonts w:ascii="Open Sans" w:hAnsi="Open Sans" w:cs="Open Sans"/>
              </w:rPr>
              <w:t>Requirement 8(3)(e)</w:t>
            </w:r>
          </w:p>
        </w:tc>
        <w:tc>
          <w:tcPr>
            <w:tcW w:w="5610" w:type="dxa"/>
            <w:shd w:val="clear" w:color="auto" w:fill="auto"/>
          </w:tcPr>
          <w:p w14:paraId="7731510D" w14:textId="77777777" w:rsidR="001464D6" w:rsidRPr="001E694D" w:rsidRDefault="001464D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9FF5822" w14:textId="77777777" w:rsidR="001464D6" w:rsidRPr="001E694D" w:rsidRDefault="001464D6">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3E4E64C" w14:textId="77777777" w:rsidR="001464D6" w:rsidRPr="001E694D" w:rsidRDefault="001464D6">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F63B232" w14:textId="77777777" w:rsidR="001464D6" w:rsidRPr="001E694D" w:rsidRDefault="001464D6">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729" w:type="dxa"/>
            <w:shd w:val="clear" w:color="auto" w:fill="auto"/>
          </w:tcPr>
          <w:p w14:paraId="3EB81808" w14:textId="77777777" w:rsidR="001464D6" w:rsidRPr="001E694D" w:rsidRDefault="00B00554">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224618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1464D6" w:rsidRPr="001E694D">
                  <w:rPr>
                    <w:rFonts w:ascii="Open Sans" w:hAnsi="Open Sans" w:cs="Open Sans"/>
                  </w:rPr>
                  <w:t>Compliant</w:t>
                </w:r>
              </w:sdtContent>
            </w:sdt>
          </w:p>
        </w:tc>
      </w:tr>
    </w:tbl>
    <w:p w14:paraId="16657884" w14:textId="77777777" w:rsidR="001464D6" w:rsidRPr="007A2323" w:rsidRDefault="001464D6">
      <w:pPr>
        <w:pStyle w:val="NormalArial"/>
        <w:rPr>
          <w:rFonts w:ascii="Open Sans" w:hAnsi="Open Sans" w:cs="Open Sans"/>
          <w:b/>
          <w:bCs/>
          <w:color w:val="781E77"/>
        </w:rPr>
      </w:pPr>
      <w:r w:rsidRPr="007A2323">
        <w:rPr>
          <w:rFonts w:ascii="Open Sans" w:hAnsi="Open Sans" w:cs="Open Sans"/>
          <w:b/>
          <w:bCs/>
          <w:color w:val="781E77"/>
        </w:rPr>
        <w:t>Findings</w:t>
      </w:r>
    </w:p>
    <w:p w14:paraId="4DCD293C" w14:textId="456ED3D8" w:rsidR="001464D6" w:rsidRDefault="00407D84">
      <w:pPr>
        <w:pStyle w:val="NormalArial"/>
        <w:rPr>
          <w:rFonts w:ascii="Open Sans" w:hAnsi="Open Sans" w:cs="Open Sans"/>
          <w:color w:val="auto"/>
        </w:rPr>
      </w:pPr>
      <w:r>
        <w:rPr>
          <w:rFonts w:ascii="Open Sans" w:hAnsi="Open Sans" w:cs="Open Sans"/>
          <w:color w:val="auto"/>
        </w:rPr>
        <w:t xml:space="preserve">Risk management systems and processes, including risk registers and reporting, enabled effective oversight </w:t>
      </w:r>
      <w:r w:rsidR="005C67D7">
        <w:rPr>
          <w:rFonts w:ascii="Open Sans" w:hAnsi="Open Sans" w:cs="Open Sans"/>
          <w:color w:val="auto"/>
        </w:rPr>
        <w:t xml:space="preserve">and governance </w:t>
      </w:r>
      <w:r>
        <w:rPr>
          <w:rFonts w:ascii="Open Sans" w:hAnsi="Open Sans" w:cs="Open Sans"/>
          <w:color w:val="auto"/>
        </w:rPr>
        <w:t>of high impact or high prevalence risks</w:t>
      </w:r>
      <w:r w:rsidR="005C67D7">
        <w:rPr>
          <w:rFonts w:ascii="Open Sans" w:hAnsi="Open Sans" w:cs="Open Sans"/>
          <w:color w:val="auto"/>
        </w:rPr>
        <w:t xml:space="preserve">. Information in the register includes risks for each consumer and the most prevalent risks at the </w:t>
      </w:r>
      <w:r w:rsidR="00574F1C">
        <w:rPr>
          <w:rFonts w:ascii="Open Sans" w:hAnsi="Open Sans" w:cs="Open Sans"/>
          <w:color w:val="auto"/>
        </w:rPr>
        <w:t>service, is reviewed during all clinical handovers and meetings, and is accessible to executive management within the electronic care management system.</w:t>
      </w:r>
      <w:r w:rsidR="005C67D7">
        <w:rPr>
          <w:rFonts w:ascii="Open Sans" w:hAnsi="Open Sans" w:cs="Open Sans"/>
          <w:color w:val="auto"/>
        </w:rPr>
        <w:t xml:space="preserve"> Executive committee and board meeting agendas included review of risks and incident management and prevention. </w:t>
      </w:r>
      <w:r w:rsidR="00574F1C">
        <w:rPr>
          <w:rFonts w:ascii="Open Sans" w:hAnsi="Open Sans" w:cs="Open Sans"/>
          <w:color w:val="auto"/>
        </w:rPr>
        <w:t xml:space="preserve">Staff were knowledgeable about forms and signs of elder abuse, and aware of their responsibilities, evidenced through incident reporting and investigation. Care planning documentation evidenced consumers were supported to take risks in line with organisational policies, and monitoring information for consumer risks of choice recorded in a dignity of risk register. </w:t>
      </w:r>
    </w:p>
    <w:p w14:paraId="3E051C39" w14:textId="0085BCDC" w:rsidR="00407D84" w:rsidRDefault="00750D35">
      <w:pPr>
        <w:pStyle w:val="NormalArial"/>
        <w:rPr>
          <w:rFonts w:ascii="Open Sans" w:hAnsi="Open Sans" w:cs="Open Sans"/>
          <w:color w:val="auto"/>
        </w:rPr>
      </w:pPr>
      <w:r>
        <w:rPr>
          <w:rFonts w:ascii="Open Sans" w:hAnsi="Open Sans" w:cs="Open Sans"/>
          <w:color w:val="auto"/>
        </w:rPr>
        <w:t xml:space="preserve">Clinical governance systems and processes, including reporting mechanisms, supported effective oversight of clinical care provision. The clinical governance committee supports the governing body through advising on management of clinical care, risks, incidents, and policies and procedures. Roles and </w:t>
      </w:r>
      <w:r>
        <w:rPr>
          <w:rFonts w:ascii="Open Sans" w:hAnsi="Open Sans" w:cs="Open Sans"/>
          <w:color w:val="auto"/>
        </w:rPr>
        <w:lastRenderedPageBreak/>
        <w:t xml:space="preserve">responsibilities are outlined within the framework, including reporting obligations for clinical indicators including incidents. Staff receive education on clinical care processes and demonstrated understanding of policies, which were readily accessible and easy to understand. Registers were used to monitor key clinical information, including risks, infections, and use of restraint. Open disclosure was understood by staff and consumers verified it was consistently used if things went wrong. </w:t>
      </w:r>
      <w:r w:rsidR="00AB587C">
        <w:rPr>
          <w:rFonts w:ascii="Open Sans" w:hAnsi="Open Sans" w:cs="Open Sans"/>
          <w:color w:val="auto"/>
        </w:rPr>
        <w:t>However, the provider has not demonstrated clear understanding of requirements for consent and use of chemical restraint, as evidenced in Standard 3 Requirement 3(3)(b), and I would encourage them to review guidance and monitoring material to ensure all they comply with all legislated obligations.</w:t>
      </w:r>
    </w:p>
    <w:p w14:paraId="7799BD1E" w14:textId="05310C09" w:rsidR="00407D84" w:rsidRPr="007A2323" w:rsidRDefault="00407D84">
      <w:pPr>
        <w:pStyle w:val="NormalArial"/>
        <w:rPr>
          <w:rFonts w:ascii="Open Sans" w:hAnsi="Open Sans" w:cs="Open Sans"/>
          <w:color w:val="auto"/>
        </w:rPr>
      </w:pPr>
      <w:r w:rsidRPr="001D4004">
        <w:rPr>
          <w:rFonts w:ascii="Open Sans" w:hAnsi="Open Sans" w:cs="Open Sans"/>
        </w:rPr>
        <w:t xml:space="preserve">Based on the assessment team’s report, I find requirements </w:t>
      </w:r>
      <w:r w:rsidR="00750D35">
        <w:rPr>
          <w:rFonts w:ascii="Open Sans" w:hAnsi="Open Sans" w:cs="Open Sans"/>
        </w:rPr>
        <w:t>8</w:t>
      </w:r>
      <w:r w:rsidRPr="001D4004">
        <w:rPr>
          <w:rFonts w:ascii="Open Sans" w:hAnsi="Open Sans" w:cs="Open Sans"/>
        </w:rPr>
        <w:t>(3)(</w:t>
      </w:r>
      <w:r>
        <w:rPr>
          <w:rFonts w:ascii="Open Sans" w:hAnsi="Open Sans" w:cs="Open Sans"/>
        </w:rPr>
        <w:t>d</w:t>
      </w:r>
      <w:r w:rsidRPr="001D4004">
        <w:rPr>
          <w:rFonts w:ascii="Open Sans" w:hAnsi="Open Sans" w:cs="Open Sans"/>
        </w:rPr>
        <w:t xml:space="preserve">) and </w:t>
      </w:r>
      <w:r w:rsidR="00750D35">
        <w:rPr>
          <w:rFonts w:ascii="Open Sans" w:hAnsi="Open Sans" w:cs="Open Sans"/>
        </w:rPr>
        <w:t>8</w:t>
      </w:r>
      <w:r w:rsidRPr="001D4004">
        <w:rPr>
          <w:rFonts w:ascii="Open Sans" w:hAnsi="Open Sans" w:cs="Open Sans"/>
        </w:rPr>
        <w:t xml:space="preserve">(3)(e) in Standard </w:t>
      </w:r>
      <w:r>
        <w:rPr>
          <w:rFonts w:ascii="Open Sans" w:hAnsi="Open Sans" w:cs="Open Sans"/>
        </w:rPr>
        <w:t>8 Organisational governance compliant.</w:t>
      </w:r>
    </w:p>
    <w:sectPr w:rsidR="00407D84" w:rsidRPr="007A2323">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9F43" w14:textId="77777777" w:rsidR="00C83F2A" w:rsidRDefault="00C83F2A">
      <w:pPr>
        <w:spacing w:after="0"/>
      </w:pPr>
      <w:r>
        <w:separator/>
      </w:r>
    </w:p>
  </w:endnote>
  <w:endnote w:type="continuationSeparator" w:id="0">
    <w:p w14:paraId="28ED9C87" w14:textId="77777777" w:rsidR="00C83F2A" w:rsidRDefault="00C83F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7877" w14:textId="77777777" w:rsidR="001464D6" w:rsidRPr="00DF37F2" w:rsidRDefault="001464D6">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Klemzig Residential Care Services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1AC4DD1" w14:textId="77777777" w:rsidR="001464D6" w:rsidRPr="00DF37F2" w:rsidRDefault="001464D6">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6957</w:t>
    </w:r>
    <w:bookmarkEnd w:id="1"/>
    <w:r w:rsidRPr="00DF37F2">
      <w:rPr>
        <w:rStyle w:val="FooterBold"/>
        <w:rFonts w:ascii="Arial" w:hAnsi="Arial"/>
        <w:b w:val="0"/>
      </w:rPr>
      <w:tab/>
      <w:t xml:space="preserve">OFFICIAL: Sensitive </w:t>
    </w:r>
  </w:p>
  <w:p w14:paraId="1A320393" w14:textId="77777777" w:rsidR="001464D6" w:rsidRPr="00DF37F2" w:rsidRDefault="001464D6">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7E40" w14:textId="77777777" w:rsidR="001464D6" w:rsidRDefault="001464D6">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12539" w14:textId="77777777" w:rsidR="00C83F2A" w:rsidRDefault="00C83F2A">
      <w:pPr>
        <w:spacing w:after="0"/>
      </w:pPr>
      <w:r>
        <w:separator/>
      </w:r>
    </w:p>
  </w:footnote>
  <w:footnote w:type="continuationSeparator" w:id="0">
    <w:p w14:paraId="402F1803" w14:textId="77777777" w:rsidR="00C83F2A" w:rsidRDefault="00C83F2A">
      <w:pPr>
        <w:spacing w:after="0"/>
      </w:pPr>
      <w:r>
        <w:continuationSeparator/>
      </w:r>
    </w:p>
  </w:footnote>
  <w:footnote w:id="1">
    <w:p w14:paraId="5405F847" w14:textId="2B27DE91" w:rsidR="001464D6" w:rsidRDefault="001464D6">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w:t>
      </w:r>
      <w:r w:rsidRPr="00154583">
        <w:rPr>
          <w:rFonts w:ascii="Arial" w:hAnsi="Arial"/>
          <w:sz w:val="20"/>
          <w:szCs w:val="20"/>
        </w:rPr>
        <w:t>accordance with section 68A</w:t>
      </w:r>
      <w:r w:rsidR="00154583" w:rsidRPr="00154583">
        <w:rPr>
          <w:rFonts w:ascii="Arial" w:hAnsi="Arial"/>
          <w:sz w:val="20"/>
          <w:szCs w:val="20"/>
        </w:rPr>
        <w:t xml:space="preserve"> </w:t>
      </w:r>
      <w:r w:rsidRPr="00154583">
        <w:rPr>
          <w:rFonts w:ascii="Arial" w:hAnsi="Arial"/>
          <w:sz w:val="20"/>
          <w:szCs w:val="20"/>
        </w:rPr>
        <w:t>of the Aged Care Quality and Safety Commission Rules 2018.</w:t>
      </w:r>
    </w:p>
    <w:p w14:paraId="0412A3A6" w14:textId="77777777" w:rsidR="001464D6" w:rsidRDefault="001464D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F086" w14:textId="77777777" w:rsidR="001464D6" w:rsidRDefault="001464D6">
    <w:pPr>
      <w:pStyle w:val="Header"/>
    </w:pPr>
    <w:r>
      <w:rPr>
        <w:noProof/>
        <w:color w:val="2B579A"/>
        <w:shd w:val="clear" w:color="auto" w:fill="E6E6E6"/>
        <w:lang w:val="en-US"/>
      </w:rPr>
      <w:drawing>
        <wp:anchor distT="0" distB="0" distL="114300" distR="114300" simplePos="0" relativeHeight="251658241" behindDoc="1" locked="0" layoutInCell="1" allowOverlap="1" wp14:anchorId="5B45708C" wp14:editId="11FB9B4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E133" w14:textId="77777777" w:rsidR="001464D6" w:rsidRDefault="001464D6">
    <w:pPr>
      <w:pStyle w:val="Header"/>
    </w:pPr>
    <w:r>
      <w:rPr>
        <w:noProof/>
      </w:rPr>
      <w:drawing>
        <wp:anchor distT="0" distB="0" distL="114300" distR="114300" simplePos="0" relativeHeight="251658240" behindDoc="0" locked="0" layoutInCell="1" allowOverlap="1" wp14:anchorId="7C7FD1C5" wp14:editId="4E9F6581">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08ED6FA">
      <w:start w:val="1"/>
      <w:numFmt w:val="lowerRoman"/>
      <w:lvlText w:val="(%1)"/>
      <w:lvlJc w:val="left"/>
      <w:pPr>
        <w:ind w:left="1080" w:hanging="720"/>
      </w:pPr>
      <w:rPr>
        <w:rFonts w:hint="default"/>
      </w:rPr>
    </w:lvl>
    <w:lvl w:ilvl="1" w:tplc="E49CF312" w:tentative="1">
      <w:start w:val="1"/>
      <w:numFmt w:val="lowerLetter"/>
      <w:lvlText w:val="%2."/>
      <w:lvlJc w:val="left"/>
      <w:pPr>
        <w:ind w:left="1440" w:hanging="360"/>
      </w:pPr>
    </w:lvl>
    <w:lvl w:ilvl="2" w:tplc="8B3C0664" w:tentative="1">
      <w:start w:val="1"/>
      <w:numFmt w:val="lowerRoman"/>
      <w:lvlText w:val="%3."/>
      <w:lvlJc w:val="right"/>
      <w:pPr>
        <w:ind w:left="2160" w:hanging="180"/>
      </w:pPr>
    </w:lvl>
    <w:lvl w:ilvl="3" w:tplc="A6AE0FCC" w:tentative="1">
      <w:start w:val="1"/>
      <w:numFmt w:val="decimal"/>
      <w:lvlText w:val="%4."/>
      <w:lvlJc w:val="left"/>
      <w:pPr>
        <w:ind w:left="2880" w:hanging="360"/>
      </w:pPr>
    </w:lvl>
    <w:lvl w:ilvl="4" w:tplc="6B5AF70E" w:tentative="1">
      <w:start w:val="1"/>
      <w:numFmt w:val="lowerLetter"/>
      <w:lvlText w:val="%5."/>
      <w:lvlJc w:val="left"/>
      <w:pPr>
        <w:ind w:left="3600" w:hanging="360"/>
      </w:pPr>
    </w:lvl>
    <w:lvl w:ilvl="5" w:tplc="570AA7B4" w:tentative="1">
      <w:start w:val="1"/>
      <w:numFmt w:val="lowerRoman"/>
      <w:lvlText w:val="%6."/>
      <w:lvlJc w:val="right"/>
      <w:pPr>
        <w:ind w:left="4320" w:hanging="180"/>
      </w:pPr>
    </w:lvl>
    <w:lvl w:ilvl="6" w:tplc="2A568486" w:tentative="1">
      <w:start w:val="1"/>
      <w:numFmt w:val="decimal"/>
      <w:lvlText w:val="%7."/>
      <w:lvlJc w:val="left"/>
      <w:pPr>
        <w:ind w:left="5040" w:hanging="360"/>
      </w:pPr>
    </w:lvl>
    <w:lvl w:ilvl="7" w:tplc="962EF2FA" w:tentative="1">
      <w:start w:val="1"/>
      <w:numFmt w:val="lowerLetter"/>
      <w:lvlText w:val="%8."/>
      <w:lvlJc w:val="left"/>
      <w:pPr>
        <w:ind w:left="5760" w:hanging="360"/>
      </w:pPr>
    </w:lvl>
    <w:lvl w:ilvl="8" w:tplc="1D2A4DF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DE6591E">
      <w:start w:val="1"/>
      <w:numFmt w:val="lowerRoman"/>
      <w:lvlText w:val="(%1)"/>
      <w:lvlJc w:val="left"/>
      <w:pPr>
        <w:ind w:left="1080" w:hanging="720"/>
      </w:pPr>
      <w:rPr>
        <w:rFonts w:hint="default"/>
      </w:rPr>
    </w:lvl>
    <w:lvl w:ilvl="1" w:tplc="28E643C2" w:tentative="1">
      <w:start w:val="1"/>
      <w:numFmt w:val="lowerLetter"/>
      <w:lvlText w:val="%2."/>
      <w:lvlJc w:val="left"/>
      <w:pPr>
        <w:ind w:left="1440" w:hanging="360"/>
      </w:pPr>
    </w:lvl>
    <w:lvl w:ilvl="2" w:tplc="EB129D68" w:tentative="1">
      <w:start w:val="1"/>
      <w:numFmt w:val="lowerRoman"/>
      <w:lvlText w:val="%3."/>
      <w:lvlJc w:val="right"/>
      <w:pPr>
        <w:ind w:left="2160" w:hanging="180"/>
      </w:pPr>
    </w:lvl>
    <w:lvl w:ilvl="3" w:tplc="2C647E6A" w:tentative="1">
      <w:start w:val="1"/>
      <w:numFmt w:val="decimal"/>
      <w:lvlText w:val="%4."/>
      <w:lvlJc w:val="left"/>
      <w:pPr>
        <w:ind w:left="2880" w:hanging="360"/>
      </w:pPr>
    </w:lvl>
    <w:lvl w:ilvl="4" w:tplc="4D1455B4" w:tentative="1">
      <w:start w:val="1"/>
      <w:numFmt w:val="lowerLetter"/>
      <w:lvlText w:val="%5."/>
      <w:lvlJc w:val="left"/>
      <w:pPr>
        <w:ind w:left="3600" w:hanging="360"/>
      </w:pPr>
    </w:lvl>
    <w:lvl w:ilvl="5" w:tplc="2F809694" w:tentative="1">
      <w:start w:val="1"/>
      <w:numFmt w:val="lowerRoman"/>
      <w:lvlText w:val="%6."/>
      <w:lvlJc w:val="right"/>
      <w:pPr>
        <w:ind w:left="4320" w:hanging="180"/>
      </w:pPr>
    </w:lvl>
    <w:lvl w:ilvl="6" w:tplc="5060038A" w:tentative="1">
      <w:start w:val="1"/>
      <w:numFmt w:val="decimal"/>
      <w:lvlText w:val="%7."/>
      <w:lvlJc w:val="left"/>
      <w:pPr>
        <w:ind w:left="5040" w:hanging="360"/>
      </w:pPr>
    </w:lvl>
    <w:lvl w:ilvl="7" w:tplc="049627A4" w:tentative="1">
      <w:start w:val="1"/>
      <w:numFmt w:val="lowerLetter"/>
      <w:lvlText w:val="%8."/>
      <w:lvlJc w:val="left"/>
      <w:pPr>
        <w:ind w:left="5760" w:hanging="360"/>
      </w:pPr>
    </w:lvl>
    <w:lvl w:ilvl="8" w:tplc="438834C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7566C6E">
      <w:start w:val="1"/>
      <w:numFmt w:val="lowerRoman"/>
      <w:lvlText w:val="(%1)"/>
      <w:lvlJc w:val="left"/>
      <w:pPr>
        <w:ind w:left="1080" w:hanging="720"/>
      </w:pPr>
      <w:rPr>
        <w:rFonts w:hint="default"/>
      </w:rPr>
    </w:lvl>
    <w:lvl w:ilvl="1" w:tplc="3ED8348C" w:tentative="1">
      <w:start w:val="1"/>
      <w:numFmt w:val="lowerLetter"/>
      <w:lvlText w:val="%2."/>
      <w:lvlJc w:val="left"/>
      <w:pPr>
        <w:ind w:left="1440" w:hanging="360"/>
      </w:pPr>
    </w:lvl>
    <w:lvl w:ilvl="2" w:tplc="60AAF772" w:tentative="1">
      <w:start w:val="1"/>
      <w:numFmt w:val="lowerRoman"/>
      <w:lvlText w:val="%3."/>
      <w:lvlJc w:val="right"/>
      <w:pPr>
        <w:ind w:left="2160" w:hanging="180"/>
      </w:pPr>
    </w:lvl>
    <w:lvl w:ilvl="3" w:tplc="9758B4C0" w:tentative="1">
      <w:start w:val="1"/>
      <w:numFmt w:val="decimal"/>
      <w:lvlText w:val="%4."/>
      <w:lvlJc w:val="left"/>
      <w:pPr>
        <w:ind w:left="2880" w:hanging="360"/>
      </w:pPr>
    </w:lvl>
    <w:lvl w:ilvl="4" w:tplc="9A2052CC" w:tentative="1">
      <w:start w:val="1"/>
      <w:numFmt w:val="lowerLetter"/>
      <w:lvlText w:val="%5."/>
      <w:lvlJc w:val="left"/>
      <w:pPr>
        <w:ind w:left="3600" w:hanging="360"/>
      </w:pPr>
    </w:lvl>
    <w:lvl w:ilvl="5" w:tplc="C414D13C" w:tentative="1">
      <w:start w:val="1"/>
      <w:numFmt w:val="lowerRoman"/>
      <w:lvlText w:val="%6."/>
      <w:lvlJc w:val="right"/>
      <w:pPr>
        <w:ind w:left="4320" w:hanging="180"/>
      </w:pPr>
    </w:lvl>
    <w:lvl w:ilvl="6" w:tplc="8A3CC02E" w:tentative="1">
      <w:start w:val="1"/>
      <w:numFmt w:val="decimal"/>
      <w:lvlText w:val="%7."/>
      <w:lvlJc w:val="left"/>
      <w:pPr>
        <w:ind w:left="5040" w:hanging="360"/>
      </w:pPr>
    </w:lvl>
    <w:lvl w:ilvl="7" w:tplc="4E0C84FA" w:tentative="1">
      <w:start w:val="1"/>
      <w:numFmt w:val="lowerLetter"/>
      <w:lvlText w:val="%8."/>
      <w:lvlJc w:val="left"/>
      <w:pPr>
        <w:ind w:left="5760" w:hanging="360"/>
      </w:pPr>
    </w:lvl>
    <w:lvl w:ilvl="8" w:tplc="DEB6823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A6A6D30">
      <w:start w:val="1"/>
      <w:numFmt w:val="bullet"/>
      <w:lvlText w:val=""/>
      <w:lvlJc w:val="left"/>
      <w:pPr>
        <w:ind w:left="720" w:hanging="360"/>
      </w:pPr>
      <w:rPr>
        <w:rFonts w:ascii="Symbol" w:hAnsi="Symbol" w:hint="default"/>
        <w:color w:val="auto"/>
        <w:sz w:val="24"/>
        <w:szCs w:val="24"/>
      </w:rPr>
    </w:lvl>
    <w:lvl w:ilvl="1" w:tplc="4E580FDE" w:tentative="1">
      <w:start w:val="1"/>
      <w:numFmt w:val="bullet"/>
      <w:lvlText w:val="o"/>
      <w:lvlJc w:val="left"/>
      <w:pPr>
        <w:ind w:left="1440" w:hanging="360"/>
      </w:pPr>
      <w:rPr>
        <w:rFonts w:ascii="Courier New" w:hAnsi="Courier New" w:cs="Courier New" w:hint="default"/>
      </w:rPr>
    </w:lvl>
    <w:lvl w:ilvl="2" w:tplc="3D9039BC" w:tentative="1">
      <w:start w:val="1"/>
      <w:numFmt w:val="bullet"/>
      <w:lvlText w:val=""/>
      <w:lvlJc w:val="left"/>
      <w:pPr>
        <w:ind w:left="2160" w:hanging="360"/>
      </w:pPr>
      <w:rPr>
        <w:rFonts w:ascii="Wingdings" w:hAnsi="Wingdings" w:hint="default"/>
      </w:rPr>
    </w:lvl>
    <w:lvl w:ilvl="3" w:tplc="3EBC2EE8" w:tentative="1">
      <w:start w:val="1"/>
      <w:numFmt w:val="bullet"/>
      <w:lvlText w:val=""/>
      <w:lvlJc w:val="left"/>
      <w:pPr>
        <w:ind w:left="2880" w:hanging="360"/>
      </w:pPr>
      <w:rPr>
        <w:rFonts w:ascii="Symbol" w:hAnsi="Symbol" w:hint="default"/>
      </w:rPr>
    </w:lvl>
    <w:lvl w:ilvl="4" w:tplc="E180703E" w:tentative="1">
      <w:start w:val="1"/>
      <w:numFmt w:val="bullet"/>
      <w:lvlText w:val="o"/>
      <w:lvlJc w:val="left"/>
      <w:pPr>
        <w:ind w:left="3600" w:hanging="360"/>
      </w:pPr>
      <w:rPr>
        <w:rFonts w:ascii="Courier New" w:hAnsi="Courier New" w:cs="Courier New" w:hint="default"/>
      </w:rPr>
    </w:lvl>
    <w:lvl w:ilvl="5" w:tplc="91608E48" w:tentative="1">
      <w:start w:val="1"/>
      <w:numFmt w:val="bullet"/>
      <w:lvlText w:val=""/>
      <w:lvlJc w:val="left"/>
      <w:pPr>
        <w:ind w:left="4320" w:hanging="360"/>
      </w:pPr>
      <w:rPr>
        <w:rFonts w:ascii="Wingdings" w:hAnsi="Wingdings" w:hint="default"/>
      </w:rPr>
    </w:lvl>
    <w:lvl w:ilvl="6" w:tplc="D0945A9A" w:tentative="1">
      <w:start w:val="1"/>
      <w:numFmt w:val="bullet"/>
      <w:lvlText w:val=""/>
      <w:lvlJc w:val="left"/>
      <w:pPr>
        <w:ind w:left="5040" w:hanging="360"/>
      </w:pPr>
      <w:rPr>
        <w:rFonts w:ascii="Symbol" w:hAnsi="Symbol" w:hint="default"/>
      </w:rPr>
    </w:lvl>
    <w:lvl w:ilvl="7" w:tplc="488220A0" w:tentative="1">
      <w:start w:val="1"/>
      <w:numFmt w:val="bullet"/>
      <w:lvlText w:val="o"/>
      <w:lvlJc w:val="left"/>
      <w:pPr>
        <w:ind w:left="5760" w:hanging="360"/>
      </w:pPr>
      <w:rPr>
        <w:rFonts w:ascii="Courier New" w:hAnsi="Courier New" w:cs="Courier New" w:hint="default"/>
      </w:rPr>
    </w:lvl>
    <w:lvl w:ilvl="8" w:tplc="056098B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00BCAA0E">
      <w:start w:val="1"/>
      <w:numFmt w:val="lowerRoman"/>
      <w:lvlText w:val="(%1)"/>
      <w:lvlJc w:val="left"/>
      <w:pPr>
        <w:ind w:left="1080" w:hanging="720"/>
      </w:pPr>
      <w:rPr>
        <w:rFonts w:hint="default"/>
      </w:rPr>
    </w:lvl>
    <w:lvl w:ilvl="1" w:tplc="70B8BCD0" w:tentative="1">
      <w:start w:val="1"/>
      <w:numFmt w:val="lowerLetter"/>
      <w:lvlText w:val="%2."/>
      <w:lvlJc w:val="left"/>
      <w:pPr>
        <w:ind w:left="1440" w:hanging="360"/>
      </w:pPr>
    </w:lvl>
    <w:lvl w:ilvl="2" w:tplc="2450583A" w:tentative="1">
      <w:start w:val="1"/>
      <w:numFmt w:val="lowerRoman"/>
      <w:lvlText w:val="%3."/>
      <w:lvlJc w:val="right"/>
      <w:pPr>
        <w:ind w:left="2160" w:hanging="180"/>
      </w:pPr>
    </w:lvl>
    <w:lvl w:ilvl="3" w:tplc="38661322" w:tentative="1">
      <w:start w:val="1"/>
      <w:numFmt w:val="decimal"/>
      <w:lvlText w:val="%4."/>
      <w:lvlJc w:val="left"/>
      <w:pPr>
        <w:ind w:left="2880" w:hanging="360"/>
      </w:pPr>
    </w:lvl>
    <w:lvl w:ilvl="4" w:tplc="85B4C10C" w:tentative="1">
      <w:start w:val="1"/>
      <w:numFmt w:val="lowerLetter"/>
      <w:lvlText w:val="%5."/>
      <w:lvlJc w:val="left"/>
      <w:pPr>
        <w:ind w:left="3600" w:hanging="360"/>
      </w:pPr>
    </w:lvl>
    <w:lvl w:ilvl="5" w:tplc="619278AE" w:tentative="1">
      <w:start w:val="1"/>
      <w:numFmt w:val="lowerRoman"/>
      <w:lvlText w:val="%6."/>
      <w:lvlJc w:val="right"/>
      <w:pPr>
        <w:ind w:left="4320" w:hanging="180"/>
      </w:pPr>
    </w:lvl>
    <w:lvl w:ilvl="6" w:tplc="448ADD50" w:tentative="1">
      <w:start w:val="1"/>
      <w:numFmt w:val="decimal"/>
      <w:lvlText w:val="%7."/>
      <w:lvlJc w:val="left"/>
      <w:pPr>
        <w:ind w:left="5040" w:hanging="360"/>
      </w:pPr>
    </w:lvl>
    <w:lvl w:ilvl="7" w:tplc="079439BE" w:tentative="1">
      <w:start w:val="1"/>
      <w:numFmt w:val="lowerLetter"/>
      <w:lvlText w:val="%8."/>
      <w:lvlJc w:val="left"/>
      <w:pPr>
        <w:ind w:left="5760" w:hanging="360"/>
      </w:pPr>
    </w:lvl>
    <w:lvl w:ilvl="8" w:tplc="AA786DC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6F257F0">
      <w:start w:val="1"/>
      <w:numFmt w:val="lowerRoman"/>
      <w:lvlText w:val="(%1)"/>
      <w:lvlJc w:val="left"/>
      <w:pPr>
        <w:ind w:left="1080" w:hanging="720"/>
      </w:pPr>
      <w:rPr>
        <w:rFonts w:hint="default"/>
      </w:rPr>
    </w:lvl>
    <w:lvl w:ilvl="1" w:tplc="EDD6EC8C" w:tentative="1">
      <w:start w:val="1"/>
      <w:numFmt w:val="lowerLetter"/>
      <w:lvlText w:val="%2."/>
      <w:lvlJc w:val="left"/>
      <w:pPr>
        <w:ind w:left="1440" w:hanging="360"/>
      </w:pPr>
    </w:lvl>
    <w:lvl w:ilvl="2" w:tplc="5380C008" w:tentative="1">
      <w:start w:val="1"/>
      <w:numFmt w:val="lowerRoman"/>
      <w:lvlText w:val="%3."/>
      <w:lvlJc w:val="right"/>
      <w:pPr>
        <w:ind w:left="2160" w:hanging="180"/>
      </w:pPr>
    </w:lvl>
    <w:lvl w:ilvl="3" w:tplc="8886173E" w:tentative="1">
      <w:start w:val="1"/>
      <w:numFmt w:val="decimal"/>
      <w:lvlText w:val="%4."/>
      <w:lvlJc w:val="left"/>
      <w:pPr>
        <w:ind w:left="2880" w:hanging="360"/>
      </w:pPr>
    </w:lvl>
    <w:lvl w:ilvl="4" w:tplc="2534C8F8" w:tentative="1">
      <w:start w:val="1"/>
      <w:numFmt w:val="lowerLetter"/>
      <w:lvlText w:val="%5."/>
      <w:lvlJc w:val="left"/>
      <w:pPr>
        <w:ind w:left="3600" w:hanging="360"/>
      </w:pPr>
    </w:lvl>
    <w:lvl w:ilvl="5" w:tplc="83803B84" w:tentative="1">
      <w:start w:val="1"/>
      <w:numFmt w:val="lowerRoman"/>
      <w:lvlText w:val="%6."/>
      <w:lvlJc w:val="right"/>
      <w:pPr>
        <w:ind w:left="4320" w:hanging="180"/>
      </w:pPr>
    </w:lvl>
    <w:lvl w:ilvl="6" w:tplc="B352CD0A" w:tentative="1">
      <w:start w:val="1"/>
      <w:numFmt w:val="decimal"/>
      <w:lvlText w:val="%7."/>
      <w:lvlJc w:val="left"/>
      <w:pPr>
        <w:ind w:left="5040" w:hanging="360"/>
      </w:pPr>
    </w:lvl>
    <w:lvl w:ilvl="7" w:tplc="93128106" w:tentative="1">
      <w:start w:val="1"/>
      <w:numFmt w:val="lowerLetter"/>
      <w:lvlText w:val="%8."/>
      <w:lvlJc w:val="left"/>
      <w:pPr>
        <w:ind w:left="5760" w:hanging="360"/>
      </w:pPr>
    </w:lvl>
    <w:lvl w:ilvl="8" w:tplc="52F8436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D48967A">
      <w:start w:val="1"/>
      <w:numFmt w:val="lowerRoman"/>
      <w:lvlText w:val="(%1)"/>
      <w:lvlJc w:val="left"/>
      <w:pPr>
        <w:ind w:left="1080" w:hanging="720"/>
      </w:pPr>
      <w:rPr>
        <w:rFonts w:hint="default"/>
      </w:rPr>
    </w:lvl>
    <w:lvl w:ilvl="1" w:tplc="2AFE9BE2" w:tentative="1">
      <w:start w:val="1"/>
      <w:numFmt w:val="lowerLetter"/>
      <w:lvlText w:val="%2."/>
      <w:lvlJc w:val="left"/>
      <w:pPr>
        <w:ind w:left="1440" w:hanging="360"/>
      </w:pPr>
    </w:lvl>
    <w:lvl w:ilvl="2" w:tplc="A78C16A8" w:tentative="1">
      <w:start w:val="1"/>
      <w:numFmt w:val="lowerRoman"/>
      <w:lvlText w:val="%3."/>
      <w:lvlJc w:val="right"/>
      <w:pPr>
        <w:ind w:left="2160" w:hanging="180"/>
      </w:pPr>
    </w:lvl>
    <w:lvl w:ilvl="3" w:tplc="809E9D2A" w:tentative="1">
      <w:start w:val="1"/>
      <w:numFmt w:val="decimal"/>
      <w:lvlText w:val="%4."/>
      <w:lvlJc w:val="left"/>
      <w:pPr>
        <w:ind w:left="2880" w:hanging="360"/>
      </w:pPr>
    </w:lvl>
    <w:lvl w:ilvl="4" w:tplc="F804605A" w:tentative="1">
      <w:start w:val="1"/>
      <w:numFmt w:val="lowerLetter"/>
      <w:lvlText w:val="%5."/>
      <w:lvlJc w:val="left"/>
      <w:pPr>
        <w:ind w:left="3600" w:hanging="360"/>
      </w:pPr>
    </w:lvl>
    <w:lvl w:ilvl="5" w:tplc="B554ED40" w:tentative="1">
      <w:start w:val="1"/>
      <w:numFmt w:val="lowerRoman"/>
      <w:lvlText w:val="%6."/>
      <w:lvlJc w:val="right"/>
      <w:pPr>
        <w:ind w:left="4320" w:hanging="180"/>
      </w:pPr>
    </w:lvl>
    <w:lvl w:ilvl="6" w:tplc="7160C8A0" w:tentative="1">
      <w:start w:val="1"/>
      <w:numFmt w:val="decimal"/>
      <w:lvlText w:val="%7."/>
      <w:lvlJc w:val="left"/>
      <w:pPr>
        <w:ind w:left="5040" w:hanging="360"/>
      </w:pPr>
    </w:lvl>
    <w:lvl w:ilvl="7" w:tplc="5E3E0B08" w:tentative="1">
      <w:start w:val="1"/>
      <w:numFmt w:val="lowerLetter"/>
      <w:lvlText w:val="%8."/>
      <w:lvlJc w:val="left"/>
      <w:pPr>
        <w:ind w:left="5760" w:hanging="360"/>
      </w:pPr>
    </w:lvl>
    <w:lvl w:ilvl="8" w:tplc="A1F6E25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76EB680">
      <w:start w:val="1"/>
      <w:numFmt w:val="lowerRoman"/>
      <w:lvlText w:val="(%1)"/>
      <w:lvlJc w:val="left"/>
      <w:pPr>
        <w:ind w:left="1080" w:hanging="720"/>
      </w:pPr>
      <w:rPr>
        <w:rFonts w:hint="default"/>
      </w:rPr>
    </w:lvl>
    <w:lvl w:ilvl="1" w:tplc="EA00BFD2" w:tentative="1">
      <w:start w:val="1"/>
      <w:numFmt w:val="lowerLetter"/>
      <w:lvlText w:val="%2."/>
      <w:lvlJc w:val="left"/>
      <w:pPr>
        <w:ind w:left="1440" w:hanging="360"/>
      </w:pPr>
    </w:lvl>
    <w:lvl w:ilvl="2" w:tplc="8EF286C6" w:tentative="1">
      <w:start w:val="1"/>
      <w:numFmt w:val="lowerRoman"/>
      <w:lvlText w:val="%3."/>
      <w:lvlJc w:val="right"/>
      <w:pPr>
        <w:ind w:left="2160" w:hanging="180"/>
      </w:pPr>
    </w:lvl>
    <w:lvl w:ilvl="3" w:tplc="C74E9C0A" w:tentative="1">
      <w:start w:val="1"/>
      <w:numFmt w:val="decimal"/>
      <w:lvlText w:val="%4."/>
      <w:lvlJc w:val="left"/>
      <w:pPr>
        <w:ind w:left="2880" w:hanging="360"/>
      </w:pPr>
    </w:lvl>
    <w:lvl w:ilvl="4" w:tplc="9EF2123E" w:tentative="1">
      <w:start w:val="1"/>
      <w:numFmt w:val="lowerLetter"/>
      <w:lvlText w:val="%5."/>
      <w:lvlJc w:val="left"/>
      <w:pPr>
        <w:ind w:left="3600" w:hanging="360"/>
      </w:pPr>
    </w:lvl>
    <w:lvl w:ilvl="5" w:tplc="5BEA8E84" w:tentative="1">
      <w:start w:val="1"/>
      <w:numFmt w:val="lowerRoman"/>
      <w:lvlText w:val="%6."/>
      <w:lvlJc w:val="right"/>
      <w:pPr>
        <w:ind w:left="4320" w:hanging="180"/>
      </w:pPr>
    </w:lvl>
    <w:lvl w:ilvl="6" w:tplc="D63A1D14" w:tentative="1">
      <w:start w:val="1"/>
      <w:numFmt w:val="decimal"/>
      <w:lvlText w:val="%7."/>
      <w:lvlJc w:val="left"/>
      <w:pPr>
        <w:ind w:left="5040" w:hanging="360"/>
      </w:pPr>
    </w:lvl>
    <w:lvl w:ilvl="7" w:tplc="09F2CF3E" w:tentative="1">
      <w:start w:val="1"/>
      <w:numFmt w:val="lowerLetter"/>
      <w:lvlText w:val="%8."/>
      <w:lvlJc w:val="left"/>
      <w:pPr>
        <w:ind w:left="5760" w:hanging="360"/>
      </w:pPr>
    </w:lvl>
    <w:lvl w:ilvl="8" w:tplc="FDF67CD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021412C2">
      <w:start w:val="1"/>
      <w:numFmt w:val="lowerRoman"/>
      <w:lvlText w:val="(%1)"/>
      <w:lvlJc w:val="left"/>
      <w:pPr>
        <w:ind w:left="1080" w:hanging="720"/>
      </w:pPr>
      <w:rPr>
        <w:rFonts w:hint="default"/>
      </w:rPr>
    </w:lvl>
    <w:lvl w:ilvl="1" w:tplc="E19EF800" w:tentative="1">
      <w:start w:val="1"/>
      <w:numFmt w:val="lowerLetter"/>
      <w:lvlText w:val="%2."/>
      <w:lvlJc w:val="left"/>
      <w:pPr>
        <w:ind w:left="1440" w:hanging="360"/>
      </w:pPr>
    </w:lvl>
    <w:lvl w:ilvl="2" w:tplc="DFBCA8AA" w:tentative="1">
      <w:start w:val="1"/>
      <w:numFmt w:val="lowerRoman"/>
      <w:lvlText w:val="%3."/>
      <w:lvlJc w:val="right"/>
      <w:pPr>
        <w:ind w:left="2160" w:hanging="180"/>
      </w:pPr>
    </w:lvl>
    <w:lvl w:ilvl="3" w:tplc="F6DACF3C" w:tentative="1">
      <w:start w:val="1"/>
      <w:numFmt w:val="decimal"/>
      <w:lvlText w:val="%4."/>
      <w:lvlJc w:val="left"/>
      <w:pPr>
        <w:ind w:left="2880" w:hanging="360"/>
      </w:pPr>
    </w:lvl>
    <w:lvl w:ilvl="4" w:tplc="E75C661A" w:tentative="1">
      <w:start w:val="1"/>
      <w:numFmt w:val="lowerLetter"/>
      <w:lvlText w:val="%5."/>
      <w:lvlJc w:val="left"/>
      <w:pPr>
        <w:ind w:left="3600" w:hanging="360"/>
      </w:pPr>
    </w:lvl>
    <w:lvl w:ilvl="5" w:tplc="664CD40A" w:tentative="1">
      <w:start w:val="1"/>
      <w:numFmt w:val="lowerRoman"/>
      <w:lvlText w:val="%6."/>
      <w:lvlJc w:val="right"/>
      <w:pPr>
        <w:ind w:left="4320" w:hanging="180"/>
      </w:pPr>
    </w:lvl>
    <w:lvl w:ilvl="6" w:tplc="1BA037DE" w:tentative="1">
      <w:start w:val="1"/>
      <w:numFmt w:val="decimal"/>
      <w:lvlText w:val="%7."/>
      <w:lvlJc w:val="left"/>
      <w:pPr>
        <w:ind w:left="5040" w:hanging="360"/>
      </w:pPr>
    </w:lvl>
    <w:lvl w:ilvl="7" w:tplc="91EED1AC" w:tentative="1">
      <w:start w:val="1"/>
      <w:numFmt w:val="lowerLetter"/>
      <w:lvlText w:val="%8."/>
      <w:lvlJc w:val="left"/>
      <w:pPr>
        <w:ind w:left="5760" w:hanging="360"/>
      </w:pPr>
    </w:lvl>
    <w:lvl w:ilvl="8" w:tplc="2FD208C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C156B87A">
      <w:start w:val="1"/>
      <w:numFmt w:val="lowerRoman"/>
      <w:lvlText w:val="(%1)"/>
      <w:lvlJc w:val="left"/>
      <w:pPr>
        <w:ind w:left="1080" w:hanging="720"/>
      </w:pPr>
      <w:rPr>
        <w:rFonts w:hint="default"/>
      </w:rPr>
    </w:lvl>
    <w:lvl w:ilvl="1" w:tplc="BC50F56E" w:tentative="1">
      <w:start w:val="1"/>
      <w:numFmt w:val="lowerLetter"/>
      <w:lvlText w:val="%2."/>
      <w:lvlJc w:val="left"/>
      <w:pPr>
        <w:ind w:left="1440" w:hanging="360"/>
      </w:pPr>
    </w:lvl>
    <w:lvl w:ilvl="2" w:tplc="3AF63D88" w:tentative="1">
      <w:start w:val="1"/>
      <w:numFmt w:val="lowerRoman"/>
      <w:lvlText w:val="%3."/>
      <w:lvlJc w:val="right"/>
      <w:pPr>
        <w:ind w:left="2160" w:hanging="180"/>
      </w:pPr>
    </w:lvl>
    <w:lvl w:ilvl="3" w:tplc="DDE8ADB2" w:tentative="1">
      <w:start w:val="1"/>
      <w:numFmt w:val="decimal"/>
      <w:lvlText w:val="%4."/>
      <w:lvlJc w:val="left"/>
      <w:pPr>
        <w:ind w:left="2880" w:hanging="360"/>
      </w:pPr>
    </w:lvl>
    <w:lvl w:ilvl="4" w:tplc="29261E16" w:tentative="1">
      <w:start w:val="1"/>
      <w:numFmt w:val="lowerLetter"/>
      <w:lvlText w:val="%5."/>
      <w:lvlJc w:val="left"/>
      <w:pPr>
        <w:ind w:left="3600" w:hanging="360"/>
      </w:pPr>
    </w:lvl>
    <w:lvl w:ilvl="5" w:tplc="AB4E84AA" w:tentative="1">
      <w:start w:val="1"/>
      <w:numFmt w:val="lowerRoman"/>
      <w:lvlText w:val="%6."/>
      <w:lvlJc w:val="right"/>
      <w:pPr>
        <w:ind w:left="4320" w:hanging="180"/>
      </w:pPr>
    </w:lvl>
    <w:lvl w:ilvl="6" w:tplc="17F09EC0" w:tentative="1">
      <w:start w:val="1"/>
      <w:numFmt w:val="decimal"/>
      <w:lvlText w:val="%7."/>
      <w:lvlJc w:val="left"/>
      <w:pPr>
        <w:ind w:left="5040" w:hanging="360"/>
      </w:pPr>
    </w:lvl>
    <w:lvl w:ilvl="7" w:tplc="D66220BC" w:tentative="1">
      <w:start w:val="1"/>
      <w:numFmt w:val="lowerLetter"/>
      <w:lvlText w:val="%8."/>
      <w:lvlJc w:val="left"/>
      <w:pPr>
        <w:ind w:left="5760" w:hanging="360"/>
      </w:pPr>
    </w:lvl>
    <w:lvl w:ilvl="8" w:tplc="43EAE5E0"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5172212">
    <w:abstractNumId w:val="11"/>
  </w:num>
  <w:num w:numId="2" w16cid:durableId="395737851">
    <w:abstractNumId w:val="4"/>
  </w:num>
  <w:num w:numId="3" w16cid:durableId="1183937947">
    <w:abstractNumId w:val="2"/>
  </w:num>
  <w:num w:numId="4" w16cid:durableId="2066023651">
    <w:abstractNumId w:val="7"/>
  </w:num>
  <w:num w:numId="5" w16cid:durableId="1086879487">
    <w:abstractNumId w:val="6"/>
  </w:num>
  <w:num w:numId="6" w16cid:durableId="2110391682">
    <w:abstractNumId w:val="1"/>
  </w:num>
  <w:num w:numId="7" w16cid:durableId="1243947470">
    <w:abstractNumId w:val="9"/>
  </w:num>
  <w:num w:numId="8" w16cid:durableId="1782332556">
    <w:abstractNumId w:val="5"/>
  </w:num>
  <w:num w:numId="9" w16cid:durableId="16470176">
    <w:abstractNumId w:val="8"/>
  </w:num>
  <w:num w:numId="10" w16cid:durableId="1253665645">
    <w:abstractNumId w:val="3"/>
  </w:num>
  <w:num w:numId="11" w16cid:durableId="83454995">
    <w:abstractNumId w:val="10"/>
  </w:num>
  <w:num w:numId="12" w16cid:durableId="1223713019">
    <w:abstractNumId w:val="0"/>
  </w:num>
  <w:num w:numId="13" w16cid:durableId="2111462500">
    <w:abstractNumId w:val="11"/>
  </w:num>
  <w:num w:numId="14" w16cid:durableId="137722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76"/>
    <w:rsid w:val="00000FED"/>
    <w:rsid w:val="000E22F5"/>
    <w:rsid w:val="000F5EF3"/>
    <w:rsid w:val="001464D6"/>
    <w:rsid w:val="00154583"/>
    <w:rsid w:val="00165223"/>
    <w:rsid w:val="001A1FC1"/>
    <w:rsid w:val="001A67DA"/>
    <w:rsid w:val="001B3279"/>
    <w:rsid w:val="001D4004"/>
    <w:rsid w:val="00310376"/>
    <w:rsid w:val="003C4A63"/>
    <w:rsid w:val="00407D84"/>
    <w:rsid w:val="004134F2"/>
    <w:rsid w:val="00420BF3"/>
    <w:rsid w:val="004341D3"/>
    <w:rsid w:val="00482C9B"/>
    <w:rsid w:val="00496635"/>
    <w:rsid w:val="00534D37"/>
    <w:rsid w:val="00555E46"/>
    <w:rsid w:val="00574F1C"/>
    <w:rsid w:val="005C67D7"/>
    <w:rsid w:val="005C7658"/>
    <w:rsid w:val="005D354D"/>
    <w:rsid w:val="00604994"/>
    <w:rsid w:val="00750D35"/>
    <w:rsid w:val="00850F6E"/>
    <w:rsid w:val="0088228D"/>
    <w:rsid w:val="009A3005"/>
    <w:rsid w:val="009F3A0B"/>
    <w:rsid w:val="00AA6BDF"/>
    <w:rsid w:val="00AB587C"/>
    <w:rsid w:val="00B374FE"/>
    <w:rsid w:val="00BE376C"/>
    <w:rsid w:val="00BE61BC"/>
    <w:rsid w:val="00C24E23"/>
    <w:rsid w:val="00C35D3F"/>
    <w:rsid w:val="00C37D3C"/>
    <w:rsid w:val="00C82ED4"/>
    <w:rsid w:val="00C83F2A"/>
    <w:rsid w:val="00C9569E"/>
    <w:rsid w:val="00D0337A"/>
    <w:rsid w:val="00D3264E"/>
    <w:rsid w:val="00D810F8"/>
    <w:rsid w:val="00D86A98"/>
    <w:rsid w:val="00D93856"/>
    <w:rsid w:val="00DA396D"/>
    <w:rsid w:val="00DF7BDB"/>
    <w:rsid w:val="00EB7134"/>
    <w:rsid w:val="00EC588E"/>
    <w:rsid w:val="00F259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0E19"/>
  <w15:docId w15:val="{B303647D-9C17-43F7-A6DF-FF2BF84E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89598">
      <w:bodyDiv w:val="1"/>
      <w:marLeft w:val="0"/>
      <w:marRight w:val="0"/>
      <w:marTop w:val="0"/>
      <w:marBottom w:val="0"/>
      <w:divBdr>
        <w:top w:val="none" w:sz="0" w:space="0" w:color="auto"/>
        <w:left w:val="none" w:sz="0" w:space="0" w:color="auto"/>
        <w:bottom w:val="none" w:sz="0" w:space="0" w:color="auto"/>
        <w:right w:val="none" w:sz="0" w:space="0" w:color="auto"/>
      </w:divBdr>
    </w:div>
    <w:div w:id="178435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53254" w:rsidRDefault="00053254">
          <w:r w:rsidRPr="00925A3E">
            <w:rPr>
              <w:rStyle w:val="PlaceholderText"/>
            </w:rPr>
            <w:t>Click or tap to enter a date.</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53254" w:rsidRDefault="00053254">
          <w:pPr>
            <w:pStyle w:val="D6903D02D7CB4A26959385EE7707C951"/>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53254" w:rsidRDefault="00053254">
          <w:pPr>
            <w:pStyle w:val="C796FB26220542558C2A81DE34485313"/>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53254" w:rsidRDefault="00053254">
          <w:pPr>
            <w:pStyle w:val="19A3EEAB3DB84406ABA1A13CDD5E3A41"/>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53254" w:rsidRDefault="00053254">
          <w:pPr>
            <w:pStyle w:val="B49FA1BBEF644AB6B201ADBCD49F2011"/>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53254" w:rsidRDefault="00053254">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53254" w:rsidRDefault="00053254">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53254"/>
    <w:rsid w:val="00000FED"/>
    <w:rsid w:val="00053254"/>
    <w:rsid w:val="000E22F5"/>
    <w:rsid w:val="00624B39"/>
    <w:rsid w:val="00786DD7"/>
    <w:rsid w:val="00D3264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D6903D02D7CB4A26959385EE7707C951">
    <w:name w:val="D6903D02D7CB4A26959385EE7707C951"/>
    <w:rsid w:val="00AF0AC5"/>
  </w:style>
  <w:style w:type="paragraph" w:customStyle="1" w:styleId="C796FB26220542558C2A81DE34485313">
    <w:name w:val="C796FB26220542558C2A81DE34485313"/>
    <w:rsid w:val="00AF0AC5"/>
  </w:style>
  <w:style w:type="paragraph" w:customStyle="1" w:styleId="19A3EEAB3DB84406ABA1A13CDD5E3A41">
    <w:name w:val="19A3EEAB3DB84406ABA1A13CDD5E3A41"/>
    <w:rsid w:val="00AF0AC5"/>
  </w:style>
  <w:style w:type="paragraph" w:customStyle="1" w:styleId="B49FA1BBEF644AB6B201ADBCD49F2011">
    <w:name w:val="B49FA1BBEF644AB6B201ADBCD49F2011"/>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B88A0F79-3572-48CB-A50F-6DDE2CFD84E7}"/>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2060</Words>
  <Characters>11747</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dc:description/>
  <cp:lastModifiedBy>Shayne-Marie Burke</cp:lastModifiedBy>
  <cp:revision>3</cp:revision>
  <dcterms:created xsi:type="dcterms:W3CDTF">2025-04-28T23:27:00Z</dcterms:created>
  <dcterms:modified xsi:type="dcterms:W3CDTF">2025-04-28T23:27:00Z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