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F728A" w14:textId="77777777" w:rsidR="00D2559D" w:rsidRPr="002C3EBF" w:rsidRDefault="00460B9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D1F73C6" wp14:editId="7D1F73C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0798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D1F728B" w14:textId="77777777" w:rsidR="00D2559D" w:rsidRDefault="00460B9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1F728C" w14:textId="77777777" w:rsidR="00D2559D" w:rsidRDefault="00460B9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1F728D" w14:textId="77777777" w:rsidR="00D2559D" w:rsidRPr="002C3EBF" w:rsidRDefault="00460B9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C7C48" w14:paraId="7D1F7290" w14:textId="77777777" w:rsidTr="00FC7C48">
        <w:tc>
          <w:tcPr>
            <w:cnfStyle w:val="001000000000" w:firstRow="0" w:lastRow="0" w:firstColumn="1" w:lastColumn="0" w:oddVBand="0" w:evenVBand="0" w:oddHBand="0" w:evenHBand="0" w:firstRowFirstColumn="0" w:firstRowLastColumn="0" w:lastRowFirstColumn="0" w:lastRowLastColumn="0"/>
            <w:tcW w:w="3227" w:type="dxa"/>
          </w:tcPr>
          <w:p w14:paraId="7D1F728E" w14:textId="77777777" w:rsidR="00D2559D" w:rsidRPr="00996FAF" w:rsidRDefault="00460B9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D1F728F" w14:textId="77777777" w:rsidR="00D2559D" w:rsidRPr="00996FAF" w:rsidRDefault="00460B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Mary MacKillop Hostel Carrington Retirement Village</w:t>
            </w:r>
          </w:p>
        </w:tc>
      </w:tr>
      <w:tr w:rsidR="00FC7C48" w14:paraId="7D1F7293" w14:textId="77777777" w:rsidTr="00FC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1F7291" w14:textId="77777777" w:rsidR="00CA37CB" w:rsidRPr="00996FAF" w:rsidRDefault="00460B9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D1F7292" w14:textId="77777777" w:rsidR="00CA37CB" w:rsidRPr="00996FAF" w:rsidRDefault="00460B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90 Werombi Road</w:t>
            </w:r>
            <w:r w:rsidRPr="00602258">
              <w:rPr>
                <w:rFonts w:ascii="Arial" w:hAnsi="Arial" w:cs="Arial"/>
                <w:color w:val="auto"/>
              </w:rPr>
              <w:t xml:space="preserve"> GRASMERE NSW 2570</w:t>
            </w:r>
          </w:p>
        </w:tc>
      </w:tr>
      <w:tr w:rsidR="00FC7C48" w14:paraId="7D1F7296" w14:textId="77777777" w:rsidTr="00FC7C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1F7294" w14:textId="77777777" w:rsidR="00CA37CB" w:rsidRPr="00996FAF" w:rsidRDefault="00460B9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1F7295" w14:textId="77777777" w:rsidR="00CA37CB" w:rsidRPr="00996FAF" w:rsidRDefault="00460B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0399</w:t>
            </w:r>
          </w:p>
        </w:tc>
      </w:tr>
      <w:tr w:rsidR="00FC7C48" w14:paraId="7D1F7299" w14:textId="77777777" w:rsidTr="00FC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1F7297" w14:textId="77777777" w:rsidR="00D2559D" w:rsidRPr="00996FAF" w:rsidRDefault="00460B9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D1F7298" w14:textId="77777777" w:rsidR="00D2559D" w:rsidRPr="00996FAF" w:rsidRDefault="00460B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Carrington Centennial Care Limited</w:t>
            </w:r>
          </w:p>
        </w:tc>
      </w:tr>
      <w:tr w:rsidR="00FC7C48" w14:paraId="7D1F729C" w14:textId="77777777" w:rsidTr="00FC7C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1F729A" w14:textId="77777777" w:rsidR="00D2559D" w:rsidRPr="00996FAF" w:rsidRDefault="00460B9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D1F729B" w14:textId="77777777" w:rsidR="00D2559D" w:rsidRPr="00996FAF" w:rsidRDefault="00460B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C7C48" w14:paraId="7D1F729F" w14:textId="77777777" w:rsidTr="00FC7C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1F729D" w14:textId="77777777" w:rsidR="00D2559D" w:rsidRPr="00996FAF" w:rsidRDefault="00460B9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1F729E" w14:textId="77777777" w:rsidR="00D2559D" w:rsidRPr="00996FAF" w:rsidRDefault="00460B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26 April 2023</w:t>
            </w:r>
          </w:p>
        </w:tc>
      </w:tr>
      <w:tr w:rsidR="00FC7C48" w14:paraId="7D1F72A2" w14:textId="77777777" w:rsidTr="00FC7C4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1F72A0" w14:textId="77777777" w:rsidR="00D2559D" w:rsidRPr="00996FAF" w:rsidRDefault="00460B9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D1F72A1" w14:textId="72638E8F" w:rsidR="00D2559D" w:rsidRPr="00996FAF" w:rsidRDefault="00460B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60B95">
              <w:rPr>
                <w:rFonts w:ascii="Arial" w:hAnsi="Arial" w:cs="Arial"/>
                <w:color w:val="auto"/>
              </w:rPr>
              <w:t>8 June 2023</w:t>
            </w:r>
          </w:p>
        </w:tc>
      </w:tr>
    </w:tbl>
    <w:bookmarkEnd w:id="0"/>
    <w:p w14:paraId="7D1F72A3" w14:textId="77777777" w:rsidR="00FA0A5B" w:rsidRPr="00996FAF" w:rsidRDefault="00460B9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E70BCE4" w14:textId="77777777" w:rsidR="00460B95" w:rsidRPr="00460B95" w:rsidRDefault="00460B95" w:rsidP="00460B95">
      <w:pPr>
        <w:spacing w:after="240" w:line="22" w:lineRule="atLeast"/>
        <w:textAlignment w:val="baseline"/>
        <w:rPr>
          <w:rFonts w:ascii="Arial" w:eastAsiaTheme="majorEastAsia" w:hAnsi="Arial" w:cs="Arial"/>
          <w:b/>
          <w:bCs/>
          <w:sz w:val="30"/>
          <w:szCs w:val="28"/>
        </w:rPr>
      </w:pPr>
      <w:r w:rsidRPr="00460B95">
        <w:rPr>
          <w:rFonts w:ascii="Arial" w:eastAsiaTheme="majorEastAsia" w:hAnsi="Arial" w:cs="Arial"/>
          <w:b/>
          <w:bCs/>
          <w:sz w:val="30"/>
          <w:szCs w:val="28"/>
        </w:rPr>
        <w:lastRenderedPageBreak/>
        <w:t>This Performance Report</w:t>
      </w:r>
    </w:p>
    <w:p w14:paraId="360B5191" w14:textId="77777777" w:rsidR="00460B95" w:rsidRPr="00460B95" w:rsidRDefault="00460B95" w:rsidP="00460B95">
      <w:pPr>
        <w:rPr>
          <w:rFonts w:ascii="Arial" w:hAnsi="Arial" w:cs="Arial"/>
        </w:rPr>
      </w:pPr>
      <w:r w:rsidRPr="00460B95">
        <w:rPr>
          <w:rFonts w:ascii="Arial" w:hAnsi="Arial" w:cs="Arial"/>
        </w:rPr>
        <w:t xml:space="preserve">This </w:t>
      </w:r>
      <w:r w:rsidRPr="00460B95">
        <w:rPr>
          <w:rFonts w:ascii="Arial" w:hAnsi="Arial" w:cs="Arial"/>
          <w:color w:val="auto"/>
        </w:rPr>
        <w:t>Performance Report for Mary MacKillop Hostel Carrington Retirement Village (the service) has been prepared by Melissa Buhagiar, delegate of</w:t>
      </w:r>
      <w:r w:rsidRPr="00460B95">
        <w:rPr>
          <w:rFonts w:ascii="Arial" w:hAnsi="Arial" w:cs="Arial"/>
        </w:rPr>
        <w:t xml:space="preserve"> the Aged Care Quality and Safety Commissioner (Commissioner)</w:t>
      </w:r>
      <w:r w:rsidRPr="00460B95">
        <w:rPr>
          <w:rFonts w:ascii="Arial" w:hAnsi="Arial" w:cs="Arial"/>
          <w:sz w:val="16"/>
          <w:vertAlign w:val="superscript"/>
        </w:rPr>
        <w:footnoteReference w:id="1"/>
      </w:r>
      <w:r w:rsidRPr="00460B95">
        <w:rPr>
          <w:rFonts w:ascii="Arial" w:hAnsi="Arial" w:cs="Arial"/>
        </w:rPr>
        <w:t xml:space="preserve">. </w:t>
      </w:r>
    </w:p>
    <w:p w14:paraId="6B45003D" w14:textId="77777777" w:rsidR="00460B95" w:rsidRPr="00460B95" w:rsidRDefault="00460B95" w:rsidP="00460B95">
      <w:pPr>
        <w:rPr>
          <w:rFonts w:ascii="Arial" w:hAnsi="Arial" w:cs="Arial"/>
        </w:rPr>
      </w:pPr>
      <w:r w:rsidRPr="00460B95">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12718D3" w14:textId="77777777" w:rsidR="00460B95" w:rsidRPr="00460B95" w:rsidRDefault="00460B95" w:rsidP="00460B95">
      <w:pPr>
        <w:rPr>
          <w:rFonts w:ascii="Arial" w:hAnsi="Arial" w:cs="Arial"/>
        </w:rPr>
      </w:pPr>
      <w:r w:rsidRPr="00460B95">
        <w:rPr>
          <w:rFonts w:ascii="Arial" w:hAnsi="Arial" w:cs="Arial"/>
        </w:rPr>
        <w:t>The report also specifies any areas in which improvements must be made to ensure the Quality Standards are complied with.</w:t>
      </w:r>
    </w:p>
    <w:p w14:paraId="63F02972" w14:textId="77777777" w:rsidR="00460B95" w:rsidRPr="00460B95" w:rsidRDefault="00460B95" w:rsidP="00460B95">
      <w:pPr>
        <w:keepNext/>
        <w:keepLines/>
        <w:spacing w:before="240" w:after="240" w:line="22" w:lineRule="atLeast"/>
        <w:outlineLvl w:val="0"/>
        <w:rPr>
          <w:rFonts w:ascii="Arial" w:eastAsiaTheme="majorEastAsia" w:hAnsi="Arial" w:cs="Arial"/>
          <w:b/>
          <w:bCs/>
          <w:sz w:val="30"/>
          <w:szCs w:val="28"/>
        </w:rPr>
      </w:pPr>
      <w:r w:rsidRPr="00460B95">
        <w:rPr>
          <w:rFonts w:ascii="Arial" w:eastAsiaTheme="majorEastAsia" w:hAnsi="Arial" w:cs="Arial"/>
          <w:b/>
          <w:bCs/>
          <w:sz w:val="30"/>
          <w:szCs w:val="28"/>
        </w:rPr>
        <w:t>Material relied on</w:t>
      </w:r>
    </w:p>
    <w:p w14:paraId="0F72EF9B" w14:textId="77777777" w:rsidR="00460B95" w:rsidRPr="00460B95" w:rsidRDefault="00460B95" w:rsidP="00460B95">
      <w:pPr>
        <w:rPr>
          <w:rFonts w:ascii="Arial" w:hAnsi="Arial" w:cs="Arial"/>
        </w:rPr>
      </w:pPr>
      <w:r w:rsidRPr="00460B95">
        <w:rPr>
          <w:rFonts w:ascii="Arial" w:hAnsi="Arial" w:cs="Arial"/>
        </w:rPr>
        <w:t>The following information has been considered in preparing the performance report:</w:t>
      </w:r>
    </w:p>
    <w:p w14:paraId="475EC415" w14:textId="77777777" w:rsidR="00460B95" w:rsidRPr="00460B95" w:rsidRDefault="00460B95" w:rsidP="00460B95">
      <w:pPr>
        <w:numPr>
          <w:ilvl w:val="0"/>
          <w:numId w:val="2"/>
        </w:numPr>
        <w:tabs>
          <w:tab w:val="left" w:pos="357"/>
        </w:tabs>
        <w:spacing w:line="240" w:lineRule="atLeast"/>
        <w:ind w:left="714" w:hanging="357"/>
        <w:rPr>
          <w:rFonts w:ascii="Arial" w:hAnsi="Arial" w:cs="Arial"/>
          <w:color w:val="auto"/>
        </w:rPr>
      </w:pPr>
      <w:r w:rsidRPr="00460B95">
        <w:rPr>
          <w:rFonts w:ascii="Arial" w:hAnsi="Arial" w:cs="Arial"/>
        </w:rPr>
        <w:t xml:space="preserve">the Assessment Team’s report for </w:t>
      </w:r>
      <w:r w:rsidRPr="00460B95">
        <w:rPr>
          <w:rFonts w:ascii="Arial" w:hAnsi="Arial" w:cs="Arial"/>
          <w:color w:val="auto"/>
        </w:rPr>
        <w:t>the Assessment Contact - Site; the Assessment Contact - Site report was informed by a site assessment conducted 26 April 2023, observations at the service, review of documents and interviews with staff, consumers/representatives and others</w:t>
      </w:r>
    </w:p>
    <w:p w14:paraId="19952B01" w14:textId="77777777" w:rsidR="00460B95" w:rsidRPr="00460B95" w:rsidRDefault="00460B95" w:rsidP="00460B95">
      <w:pPr>
        <w:numPr>
          <w:ilvl w:val="0"/>
          <w:numId w:val="2"/>
        </w:numPr>
        <w:tabs>
          <w:tab w:val="left" w:pos="357"/>
        </w:tabs>
        <w:spacing w:line="22" w:lineRule="atLeast"/>
        <w:ind w:left="714" w:hanging="357"/>
        <w:rPr>
          <w:rFonts w:ascii="Arial" w:hAnsi="Arial" w:cs="Arial"/>
        </w:rPr>
      </w:pPr>
      <w:r w:rsidRPr="00460B95">
        <w:rPr>
          <w:rFonts w:ascii="Arial" w:hAnsi="Arial" w:cs="Arial"/>
        </w:rPr>
        <w:t xml:space="preserve">the provider’s response to the Assessment Team’s report received </w:t>
      </w:r>
      <w:r w:rsidRPr="00460B95">
        <w:rPr>
          <w:rFonts w:ascii="Arial" w:hAnsi="Arial" w:cs="Arial"/>
          <w:color w:val="auto"/>
        </w:rPr>
        <w:t>23 May 2023.</w:t>
      </w:r>
    </w:p>
    <w:p w14:paraId="0A9F82E2" w14:textId="77777777" w:rsidR="00460B95" w:rsidRPr="00460B95" w:rsidRDefault="00460B95" w:rsidP="00460B95">
      <w:pPr>
        <w:tabs>
          <w:tab w:val="left" w:pos="357"/>
        </w:tabs>
        <w:spacing w:line="22" w:lineRule="atLeast"/>
        <w:ind w:left="714"/>
        <w:rPr>
          <w:rFonts w:ascii="Arial" w:hAnsi="Arial" w:cs="Arial"/>
        </w:rPr>
      </w:pPr>
    </w:p>
    <w:p w14:paraId="246CD073" w14:textId="77777777" w:rsidR="00460B95" w:rsidRPr="00460B95" w:rsidRDefault="00460B95" w:rsidP="00460B95">
      <w:pPr>
        <w:keepNext/>
        <w:keepLines/>
        <w:spacing w:after="240" w:line="22" w:lineRule="atLeast"/>
        <w:outlineLvl w:val="0"/>
        <w:rPr>
          <w:rFonts w:ascii="Arial" w:eastAsiaTheme="majorEastAsia" w:hAnsi="Arial" w:cs="Arial"/>
          <w:b/>
          <w:bCs/>
          <w:sz w:val="30"/>
          <w:szCs w:val="28"/>
        </w:rPr>
      </w:pPr>
      <w:r w:rsidRPr="00460B95">
        <w:rPr>
          <w:rFonts w:ascii="Arial" w:eastAsiaTheme="majorEastAsia" w:hAnsi="Arial" w:cs="Arial"/>
          <w:b/>
          <w:bCs/>
          <w:sz w:val="30"/>
          <w:szCs w:val="28"/>
        </w:rPr>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60B95" w:rsidRPr="00460B95" w14:paraId="1CB532D3" w14:textId="77777777" w:rsidTr="00F65D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859607" w14:textId="77777777" w:rsidR="00460B95" w:rsidRPr="00460B95" w:rsidRDefault="00460B95" w:rsidP="00460B95">
            <w:pPr>
              <w:keepNext/>
              <w:spacing w:before="0" w:line="22" w:lineRule="atLeast"/>
              <w:rPr>
                <w:rFonts w:ascii="Arial" w:hAnsi="Arial" w:cs="Arial"/>
                <w:b w:val="0"/>
              </w:rPr>
            </w:pPr>
            <w:r w:rsidRPr="00460B95">
              <w:rPr>
                <w:rFonts w:ascii="Arial" w:hAnsi="Arial" w:cs="Arial"/>
                <w:b w:val="0"/>
              </w:rPr>
              <w:t>Standard 3 Personal care and clinical care</w:t>
            </w:r>
          </w:p>
        </w:tc>
        <w:tc>
          <w:tcPr>
            <w:tcW w:w="1583" w:type="pct"/>
            <w:shd w:val="clear" w:color="auto" w:fill="auto"/>
          </w:tcPr>
          <w:p w14:paraId="08D98AF9" w14:textId="77777777" w:rsidR="00460B95" w:rsidRPr="00460B95" w:rsidRDefault="00376879" w:rsidP="00460B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938977945"/>
                <w:placeholder>
                  <w:docPart w:val="91EB10E41EFC4DFD9D25DC01634FFA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60B95" w:rsidRPr="00460B95">
                  <w:rPr>
                    <w:rFonts w:ascii="Arial" w:hAnsi="Arial" w:cs="Arial"/>
                    <w:b w:val="0"/>
                  </w:rPr>
                  <w:t>Not applicable as not all requirements have been assessed</w:t>
                </w:r>
              </w:sdtContent>
            </w:sdt>
            <w:r w:rsidR="00460B95" w:rsidRPr="00460B95">
              <w:rPr>
                <w:rFonts w:ascii="Arial" w:hAnsi="Arial" w:cs="Arial"/>
                <w:b w:val="0"/>
              </w:rPr>
              <w:t xml:space="preserve"> </w:t>
            </w:r>
          </w:p>
        </w:tc>
      </w:tr>
    </w:tbl>
    <w:p w14:paraId="6E6B7D40" w14:textId="77777777" w:rsidR="00460B95" w:rsidRPr="00460B95" w:rsidRDefault="00460B95" w:rsidP="00460B95">
      <w:pPr>
        <w:spacing w:before="240" w:after="240" w:line="22" w:lineRule="atLeast"/>
        <w:rPr>
          <w:rFonts w:ascii="Arial" w:hAnsi="Arial" w:cs="Arial"/>
        </w:rPr>
      </w:pPr>
      <w:r w:rsidRPr="00460B95">
        <w:rPr>
          <w:rFonts w:ascii="Arial" w:hAnsi="Arial" w:cs="Arial"/>
        </w:rPr>
        <w:t>A detailed assessment is provided later in this report for each assessed Standard.</w:t>
      </w:r>
    </w:p>
    <w:p w14:paraId="2CB0EDB9" w14:textId="77777777" w:rsidR="00460B95" w:rsidRPr="00460B95" w:rsidRDefault="00460B95" w:rsidP="00460B95">
      <w:pPr>
        <w:keepNext/>
        <w:keepLines/>
        <w:spacing w:after="240" w:line="22" w:lineRule="atLeast"/>
        <w:outlineLvl w:val="0"/>
        <w:rPr>
          <w:rFonts w:ascii="Arial" w:eastAsiaTheme="majorEastAsia" w:hAnsi="Arial" w:cs="Arial"/>
          <w:b/>
          <w:bCs/>
          <w:sz w:val="30"/>
          <w:szCs w:val="28"/>
        </w:rPr>
      </w:pPr>
      <w:r w:rsidRPr="00460B95">
        <w:rPr>
          <w:rFonts w:ascii="Arial" w:eastAsiaTheme="majorEastAsia" w:hAnsi="Arial" w:cs="Arial"/>
          <w:b/>
          <w:bCs/>
          <w:sz w:val="30"/>
          <w:szCs w:val="28"/>
        </w:rPr>
        <w:t>Areas for improvement</w:t>
      </w:r>
    </w:p>
    <w:p w14:paraId="1A9C9439" w14:textId="77777777" w:rsidR="00460B95" w:rsidRPr="00460B95" w:rsidRDefault="00460B95" w:rsidP="00460B95">
      <w:pPr>
        <w:rPr>
          <w:rFonts w:ascii="Arial" w:hAnsi="Arial" w:cs="Arial"/>
        </w:rPr>
      </w:pPr>
      <w:r w:rsidRPr="00460B95">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3EF0329" w14:textId="77777777" w:rsidR="00460B95" w:rsidRPr="00460B95" w:rsidRDefault="00460B95" w:rsidP="00460B95">
      <w:pPr>
        <w:spacing w:after="160" w:line="259" w:lineRule="auto"/>
        <w:rPr>
          <w:rFonts w:ascii="Arial" w:eastAsiaTheme="majorEastAsia" w:hAnsi="Arial" w:cs="Arial"/>
          <w:b/>
          <w:bCs/>
          <w:sz w:val="30"/>
          <w:szCs w:val="28"/>
        </w:rPr>
      </w:pPr>
      <w:r w:rsidRPr="00460B95">
        <w:rPr>
          <w:rFonts w:ascii="Arial" w:eastAsiaTheme="majorEastAsia" w:hAnsi="Arial" w:cs="Arial"/>
          <w:b/>
          <w:bCs/>
          <w:sz w:val="30"/>
          <w:szCs w:val="28"/>
        </w:rPr>
        <w:br w:type="page"/>
      </w:r>
    </w:p>
    <w:p w14:paraId="0358F512" w14:textId="77777777" w:rsidR="00460B95" w:rsidRPr="00460B95" w:rsidRDefault="00460B95" w:rsidP="00460B95">
      <w:pPr>
        <w:keepNext/>
        <w:keepLines/>
        <w:spacing w:before="120" w:after="240" w:line="22" w:lineRule="atLeast"/>
        <w:outlineLvl w:val="0"/>
        <w:rPr>
          <w:rFonts w:ascii="Arial" w:eastAsiaTheme="majorEastAsia" w:hAnsi="Arial" w:cs="Arial"/>
          <w:b/>
          <w:bCs/>
          <w:sz w:val="30"/>
          <w:szCs w:val="28"/>
        </w:rPr>
      </w:pPr>
      <w:r w:rsidRPr="00460B95">
        <w:rPr>
          <w:rFonts w:ascii="Arial" w:eastAsiaTheme="majorEastAsia" w:hAnsi="Arial" w:cs="Arial"/>
          <w:b/>
          <w:bCs/>
          <w:sz w:val="30"/>
          <w:szCs w:val="28"/>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60B95" w:rsidRPr="00460B95" w14:paraId="1BE0EFDE" w14:textId="77777777" w:rsidTr="00F65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6BE575C" w14:textId="77777777" w:rsidR="00460B95" w:rsidRPr="00460B95" w:rsidRDefault="00460B95" w:rsidP="00460B95">
            <w:pPr>
              <w:spacing w:before="0" w:line="22" w:lineRule="atLeast"/>
              <w:rPr>
                <w:rFonts w:ascii="Arial" w:hAnsi="Arial" w:cs="Arial"/>
                <w:b w:val="0"/>
              </w:rPr>
            </w:pPr>
            <w:r w:rsidRPr="00460B95">
              <w:rPr>
                <w:rFonts w:ascii="Arial" w:hAnsi="Arial" w:cs="Arial"/>
                <w:b w:val="0"/>
                <w:color w:val="FFFFFF" w:themeColor="background1"/>
              </w:rPr>
              <w:t>Personal care and clinical care</w:t>
            </w:r>
          </w:p>
        </w:tc>
        <w:tc>
          <w:tcPr>
            <w:tcW w:w="2123" w:type="dxa"/>
          </w:tcPr>
          <w:p w14:paraId="4F2A1127" w14:textId="77777777" w:rsidR="00460B95" w:rsidRPr="00460B95" w:rsidRDefault="00460B95" w:rsidP="00460B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60B95" w:rsidRPr="00460B95" w14:paraId="4141775B" w14:textId="77777777" w:rsidTr="00F65DF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5EE44D" w14:textId="77777777" w:rsidR="00460B95" w:rsidRPr="00460B95" w:rsidRDefault="00460B95" w:rsidP="00460B95">
            <w:pPr>
              <w:spacing w:before="0" w:line="22" w:lineRule="atLeast"/>
              <w:rPr>
                <w:rFonts w:ascii="Arial" w:hAnsi="Arial" w:cs="Arial"/>
                <w:color w:val="auto"/>
              </w:rPr>
            </w:pPr>
            <w:r w:rsidRPr="00460B95">
              <w:rPr>
                <w:rFonts w:ascii="Arial" w:hAnsi="Arial" w:cs="Arial"/>
                <w:color w:val="auto"/>
              </w:rPr>
              <w:t>Requirement 3(3)(b)</w:t>
            </w:r>
          </w:p>
        </w:tc>
        <w:tc>
          <w:tcPr>
            <w:tcW w:w="6350" w:type="dxa"/>
            <w:shd w:val="clear" w:color="auto" w:fill="auto"/>
            <w:vAlign w:val="top"/>
          </w:tcPr>
          <w:p w14:paraId="166930D9" w14:textId="77777777" w:rsidR="00460B95" w:rsidRPr="00460B95" w:rsidRDefault="00460B95" w:rsidP="00460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460B95">
              <w:rPr>
                <w:rFonts w:ascii="Arial" w:hAnsi="Arial" w:cs="Arial"/>
              </w:rPr>
              <w:t>Effective management of high impact or high prevalence risks associated with the care of each consumer.</w:t>
            </w:r>
          </w:p>
        </w:tc>
        <w:tc>
          <w:tcPr>
            <w:tcW w:w="2123" w:type="dxa"/>
            <w:shd w:val="clear" w:color="auto" w:fill="auto"/>
            <w:vAlign w:val="top"/>
          </w:tcPr>
          <w:p w14:paraId="5C83A443" w14:textId="77777777" w:rsidR="00460B95" w:rsidRPr="00460B95" w:rsidRDefault="00376879" w:rsidP="00460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2238141"/>
                <w:placeholder>
                  <w:docPart w:val="4AF3FDB16F2C4A688A04352A6B51AD65"/>
                </w:placeholder>
                <w:dropDownList>
                  <w:listItem w:displayText="choose a rating" w:value="choose a rating"/>
                  <w:listItem w:displayText="Compliant" w:value="Compliant"/>
                  <w:listItem w:displayText="Non-compliant" w:value="Non-compliant"/>
                </w:dropDownList>
              </w:sdtPr>
              <w:sdtEndPr/>
              <w:sdtContent>
                <w:r w:rsidR="00460B95" w:rsidRPr="00460B95">
                  <w:rPr>
                    <w:rFonts w:ascii="Arial" w:hAnsi="Arial" w:cs="Arial"/>
                    <w:color w:val="auto"/>
                  </w:rPr>
                  <w:t>Compliant</w:t>
                </w:r>
              </w:sdtContent>
            </w:sdt>
            <w:r w:rsidR="00460B95" w:rsidRPr="00460B95">
              <w:rPr>
                <w:rFonts w:ascii="Arial" w:hAnsi="Arial" w:cs="Arial"/>
                <w:color w:val="0000FF"/>
              </w:rPr>
              <w:t xml:space="preserve"> </w:t>
            </w:r>
          </w:p>
        </w:tc>
      </w:tr>
      <w:tr w:rsidR="00460B95" w:rsidRPr="00460B95" w14:paraId="61F8AD31" w14:textId="77777777" w:rsidTr="00F65D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8CAFCF" w14:textId="77777777" w:rsidR="00460B95" w:rsidRPr="00460B95" w:rsidRDefault="00460B95" w:rsidP="00460B95">
            <w:pPr>
              <w:spacing w:before="0" w:line="22" w:lineRule="atLeast"/>
              <w:rPr>
                <w:rFonts w:ascii="Arial" w:hAnsi="Arial" w:cs="Arial"/>
                <w:color w:val="auto"/>
              </w:rPr>
            </w:pPr>
            <w:r w:rsidRPr="00460B95">
              <w:rPr>
                <w:rFonts w:ascii="Arial" w:hAnsi="Arial" w:cs="Arial"/>
                <w:color w:val="auto"/>
              </w:rPr>
              <w:t>Requirement 3(3)(d)</w:t>
            </w:r>
          </w:p>
        </w:tc>
        <w:tc>
          <w:tcPr>
            <w:tcW w:w="6350" w:type="dxa"/>
            <w:shd w:val="clear" w:color="auto" w:fill="auto"/>
            <w:vAlign w:val="top"/>
          </w:tcPr>
          <w:p w14:paraId="3B415232" w14:textId="77777777" w:rsidR="00460B95" w:rsidRPr="00460B95" w:rsidRDefault="00460B95" w:rsidP="00460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60B95">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3FB1244" w14:textId="77777777" w:rsidR="00460B95" w:rsidRPr="00460B95" w:rsidRDefault="00376879" w:rsidP="00460B95">
            <w:pPr>
              <w:spacing w:before="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2247884"/>
                <w:placeholder>
                  <w:docPart w:val="31F4A2EFE1644760B20EEA046C51B5E2"/>
                </w:placeholder>
                <w:dropDownList>
                  <w:listItem w:displayText="choose a rating" w:value="choose a rating"/>
                  <w:listItem w:displayText="Compliant" w:value="Compliant"/>
                  <w:listItem w:displayText="Non-compliant" w:value="Non-compliant"/>
                </w:dropDownList>
              </w:sdtPr>
              <w:sdtEndPr/>
              <w:sdtContent>
                <w:r w:rsidR="00460B95" w:rsidRPr="00460B95">
                  <w:rPr>
                    <w:rFonts w:ascii="Arial" w:hAnsi="Arial" w:cs="Arial"/>
                    <w:color w:val="auto"/>
                  </w:rPr>
                  <w:t>Compliant</w:t>
                </w:r>
              </w:sdtContent>
            </w:sdt>
            <w:r w:rsidR="00460B95" w:rsidRPr="00460B95">
              <w:rPr>
                <w:rFonts w:ascii="Arial" w:hAnsi="Arial" w:cs="Arial"/>
                <w:color w:val="0000FF"/>
              </w:rPr>
              <w:t xml:space="preserve"> </w:t>
            </w:r>
          </w:p>
        </w:tc>
      </w:tr>
    </w:tbl>
    <w:p w14:paraId="1C191F9F" w14:textId="77777777" w:rsidR="00460B95" w:rsidRPr="00460B95" w:rsidRDefault="00460B95" w:rsidP="00460B95">
      <w:pPr>
        <w:keepNext/>
        <w:keepLines/>
        <w:spacing w:before="120" w:line="22" w:lineRule="atLeast"/>
        <w:outlineLvl w:val="1"/>
        <w:rPr>
          <w:rFonts w:ascii="Arial" w:eastAsiaTheme="majorEastAsia" w:hAnsi="Arial" w:cs="Arial"/>
          <w:b/>
          <w:bCs/>
          <w:szCs w:val="26"/>
        </w:rPr>
      </w:pPr>
      <w:r w:rsidRPr="00460B95">
        <w:rPr>
          <w:rFonts w:ascii="Arial" w:eastAsiaTheme="majorEastAsia" w:hAnsi="Arial" w:cs="Arial"/>
          <w:b/>
          <w:bCs/>
          <w:szCs w:val="26"/>
        </w:rPr>
        <w:t>Findings</w:t>
      </w:r>
    </w:p>
    <w:p w14:paraId="0ADEE30B" w14:textId="113F6FF7" w:rsidR="00460B95" w:rsidRPr="00460B95" w:rsidRDefault="00460B95" w:rsidP="00460B95">
      <w:pPr>
        <w:rPr>
          <w:rFonts w:ascii="Arial" w:hAnsi="Arial" w:cs="Arial"/>
        </w:rPr>
      </w:pPr>
      <w:r w:rsidRPr="00460B95">
        <w:rPr>
          <w:rFonts w:ascii="Arial" w:hAnsi="Arial" w:cs="Arial"/>
        </w:rPr>
        <w:t>The Assessment Team interviewed consumers and representatives who provided positive feedback in relation to management of their high-risk care, however the Assessment Team found that the service did not demonstrate that high impact and high prevalence risks associated with the care of consumers are effectively managed. This includes risks relating to consumers behaviours, falls, pain management, and recognition and the use of restraint. The outcomes show negative impact upon the health and well-being of some consumers.</w:t>
      </w:r>
    </w:p>
    <w:p w14:paraId="23B8CD07" w14:textId="12C3B73C" w:rsidR="00460B95" w:rsidRPr="00460B95" w:rsidRDefault="00460B95" w:rsidP="00460B95">
      <w:pPr>
        <w:rPr>
          <w:rFonts w:ascii="Arial" w:hAnsi="Arial" w:cs="Arial"/>
        </w:rPr>
      </w:pPr>
      <w:r w:rsidRPr="00460B95">
        <w:rPr>
          <w:rFonts w:ascii="Arial" w:hAnsi="Arial" w:cs="Arial"/>
        </w:rPr>
        <w:t>The Assessment Team reviewed documentation and found that post-fall assessment has not been consistent and consumers who experienced unwitnessed falls were not monitored appropriately when incidents happen such as unwitnessed falls with injuries or possible head strikes. Observations in identifying early signs of deterioration have not been completed such as neurological/vital status and pain management in accordance with the organisation’s post falls procedures.</w:t>
      </w:r>
    </w:p>
    <w:p w14:paraId="039E4995" w14:textId="79594273" w:rsidR="00460B95" w:rsidRPr="00460B95" w:rsidRDefault="00460B95" w:rsidP="00460B95">
      <w:pPr>
        <w:rPr>
          <w:rFonts w:ascii="Arial" w:hAnsi="Arial" w:cs="Arial"/>
        </w:rPr>
      </w:pPr>
      <w:r w:rsidRPr="00460B95">
        <w:rPr>
          <w:rFonts w:ascii="Arial" w:hAnsi="Arial" w:cs="Arial"/>
        </w:rPr>
        <w:t xml:space="preserve">The Assessment Team identified that for consumers who are experiencing behavioural issues and are chemically restrained, high-impact risks have not been managed. The Assessment Team reviewed documentation for one </w:t>
      </w:r>
      <w:r>
        <w:rPr>
          <w:rFonts w:ascii="Arial" w:hAnsi="Arial" w:cs="Arial"/>
        </w:rPr>
        <w:t>c</w:t>
      </w:r>
      <w:r w:rsidRPr="00460B95">
        <w:rPr>
          <w:rFonts w:ascii="Arial" w:hAnsi="Arial" w:cs="Arial"/>
        </w:rPr>
        <w:t xml:space="preserve">onsumer who demonstrated responsive behaviours that affects other consumers and staff such as physical and verbal aggression. While there is a referral to other organisations such as Dementia Services Australia (DSA) for guidance on behaviour management, initial strategies suggested by DSA were not trialled prior to the use of chemical restraint. Some advice provided by the geriatrician was not incorporated into the consumer’s behaviour support plan and was not practised by staff. </w:t>
      </w:r>
    </w:p>
    <w:p w14:paraId="6A7989E8" w14:textId="77777777" w:rsidR="00460B95" w:rsidRPr="00460B95" w:rsidRDefault="00460B95" w:rsidP="00460B95">
      <w:pPr>
        <w:rPr>
          <w:rFonts w:ascii="Arial" w:hAnsi="Arial" w:cs="Arial"/>
        </w:rPr>
      </w:pPr>
      <w:r w:rsidRPr="00460B95">
        <w:rPr>
          <w:rFonts w:ascii="Arial" w:hAnsi="Arial" w:cs="Arial"/>
        </w:rPr>
        <w:t>The psychotropic register dated 2 April 2023 records two consumers receiving chemical restraints with authorisations and behaviour support plans in place. However, the review of the psychotropic register identified more consumers who receive psychotropic medications to manage behaviours or symptoms, without corresponding diagnosis and are not identified by the service as a chemical restraint. Furthermore, since the psychotropic medications were not identified as chemical restraints, there is no evidence of an appropriate consultation process conducted and no valid restraint consent forms in place.</w:t>
      </w:r>
    </w:p>
    <w:p w14:paraId="53AC6CA3" w14:textId="77777777" w:rsidR="00460B95" w:rsidRPr="00460B95" w:rsidRDefault="00460B95" w:rsidP="00460B95">
      <w:pPr>
        <w:rPr>
          <w:rFonts w:ascii="Arial" w:hAnsi="Arial" w:cs="Arial"/>
        </w:rPr>
      </w:pPr>
      <w:r w:rsidRPr="00460B95">
        <w:rPr>
          <w:rFonts w:ascii="Arial" w:hAnsi="Arial" w:cs="Arial"/>
        </w:rPr>
        <w:t>The Assessment Team found that skin integrity and pressure injury prevention are well managed. The report on skin integrity as of 11 April 2023 provided by the service identified three consumers with pressure injuries. The review of the consumer’s care and service documents showed that staff are appropriately monitoring and managing wounds according to the wound directive in place formulated by the general practitioner or the wound specialist.</w:t>
      </w:r>
    </w:p>
    <w:p w14:paraId="18D07D83" w14:textId="2818473D" w:rsidR="00460B95" w:rsidRPr="00460B95" w:rsidRDefault="00460B95" w:rsidP="00460B95">
      <w:pPr>
        <w:rPr>
          <w:rFonts w:ascii="Arial" w:hAnsi="Arial" w:cs="Arial"/>
        </w:rPr>
      </w:pPr>
      <w:r w:rsidRPr="00460B95">
        <w:rPr>
          <w:rFonts w:ascii="Arial" w:hAnsi="Arial" w:cs="Arial"/>
        </w:rPr>
        <w:t xml:space="preserve">The Assessment Team interviewed consumers and representatives who provided feedback that deterioration in consumer care is identified, followed up and communicated with them in a timely manner. Some consumers care and service documents and other information gathered showed </w:t>
      </w:r>
      <w:r w:rsidRPr="00460B95">
        <w:rPr>
          <w:rFonts w:ascii="Arial" w:hAnsi="Arial" w:cs="Arial"/>
        </w:rPr>
        <w:lastRenderedPageBreak/>
        <w:t xml:space="preserve">timely identification of deterioration or changes in conditions such as wounds, diabetes management and overall physical health. </w:t>
      </w:r>
    </w:p>
    <w:p w14:paraId="116BCB55" w14:textId="705724D2" w:rsidR="00460B95" w:rsidRPr="00460B95" w:rsidRDefault="00460B95" w:rsidP="00460B95">
      <w:pPr>
        <w:rPr>
          <w:rFonts w:ascii="Arial" w:hAnsi="Arial" w:cs="Arial"/>
        </w:rPr>
      </w:pPr>
      <w:r w:rsidRPr="00460B95">
        <w:rPr>
          <w:rFonts w:ascii="Arial" w:hAnsi="Arial" w:cs="Arial"/>
        </w:rPr>
        <w:t>The approved provider responded to the Assessment Team’s report with further documentation to support their compliance with the requirements. The evidentiary documentation included info</w:t>
      </w:r>
      <w:r>
        <w:rPr>
          <w:rFonts w:ascii="Arial" w:hAnsi="Arial" w:cs="Arial"/>
        </w:rPr>
        <w:t>r</w:t>
      </w:r>
      <w:r w:rsidRPr="00460B95">
        <w:rPr>
          <w:rFonts w:ascii="Arial" w:hAnsi="Arial" w:cs="Arial"/>
        </w:rPr>
        <w:t xml:space="preserve">mation about neurological observations being taken following falls in line with the organisation’s guidelines and follow up with medical officer prior to hospital transfer. The provider has acknowledged that improvements could be made for recording of additional information in documentation and education has been attended, however the organisations post fall management was reviewed to ensure it aligns with best practice. </w:t>
      </w:r>
    </w:p>
    <w:p w14:paraId="6F642CF4" w14:textId="77777777" w:rsidR="00460B95" w:rsidRPr="00460B95" w:rsidRDefault="00460B95" w:rsidP="00460B95">
      <w:pPr>
        <w:rPr>
          <w:rFonts w:ascii="Arial" w:hAnsi="Arial" w:cs="Arial"/>
        </w:rPr>
      </w:pPr>
      <w:r w:rsidRPr="00460B95">
        <w:rPr>
          <w:rFonts w:ascii="Arial" w:hAnsi="Arial" w:cs="Arial"/>
        </w:rPr>
        <w:t xml:space="preserve">The provider also furnished information in relation, to the behavioural issues and acknowledged that although the Behaviour Support Plans that were in place at the time of assessment were not user friendly and information had not been transferred across to new system, the information relating to the consents and triggers and strategies for behaviour had been recorded and referrals to all specialist and medical officers had occurred in a timely manner. The provider had discussed that there was a gap identified in March by the service that not all chemical restraints had been identified and Behaviour Support Documentation had been completed, however this was added to the Continuous Improvement Plan which was also provided with the response. The provider has acknowledged opportunities for improvement and intensive education on the completion of behaviour monitoring documentation is in place. </w:t>
      </w:r>
    </w:p>
    <w:p w14:paraId="711D8BDE" w14:textId="77777777" w:rsidR="00460B95" w:rsidRPr="00460B95" w:rsidRDefault="00460B95" w:rsidP="00460B95">
      <w:pPr>
        <w:rPr>
          <w:rFonts w:ascii="Arial" w:hAnsi="Arial" w:cs="Arial"/>
        </w:rPr>
      </w:pPr>
      <w:r w:rsidRPr="00460B95">
        <w:rPr>
          <w:rFonts w:ascii="Arial" w:hAnsi="Arial" w:cs="Arial"/>
        </w:rPr>
        <w:t>I have considered the Assessment Team’s report and their findings that these specific requirements were not met and the evidence that the provider has submitted and am satisfied that the provider’s response, evidence and Continuous Improvement Plan demonstrate compliance for the requirements 3(3)(b) and 3(3)(d).</w:t>
      </w:r>
    </w:p>
    <w:p w14:paraId="63512C10" w14:textId="553A56B8" w:rsidR="00460B95" w:rsidRDefault="00460B95" w:rsidP="00460B95">
      <w:pPr>
        <w:rPr>
          <w:rFonts w:ascii="Arial" w:eastAsiaTheme="majorEastAsia" w:hAnsi="Arial" w:cs="Arial"/>
          <w:b/>
          <w:bCs/>
          <w:sz w:val="30"/>
          <w:szCs w:val="28"/>
        </w:rPr>
      </w:pPr>
      <w:r w:rsidRPr="00460B95">
        <w:rPr>
          <w:rFonts w:ascii="Arial" w:hAnsi="Arial" w:cs="Arial"/>
        </w:rPr>
        <w:t>I find that the approved provider is Compliant with requirements 3(3)(b) and 3(3)(d).</w:t>
      </w:r>
    </w:p>
    <w:sectPr w:rsidR="00460B9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F73D2" w14:textId="77777777" w:rsidR="00F62BEA" w:rsidRDefault="00460B95">
      <w:pPr>
        <w:spacing w:after="0"/>
      </w:pPr>
      <w:r>
        <w:separator/>
      </w:r>
    </w:p>
  </w:endnote>
  <w:endnote w:type="continuationSeparator" w:id="0">
    <w:p w14:paraId="7D1F73D4" w14:textId="77777777" w:rsidR="00F62BEA" w:rsidRDefault="00460B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AC733" w14:textId="77777777" w:rsidR="005256C2" w:rsidRDefault="005256C2" w:rsidP="00DF37F2">
    <w:pPr>
      <w:pStyle w:val="FooterArial9"/>
      <w:rPr>
        <w:rStyle w:val="FooterBold"/>
        <w:rFonts w:ascii="Arial" w:hAnsi="Arial"/>
        <w:b w:val="0"/>
      </w:rPr>
    </w:pPr>
  </w:p>
  <w:p w14:paraId="7D1F73CB" w14:textId="4D214E04" w:rsidR="00DF37F2" w:rsidRPr="00DF37F2" w:rsidRDefault="00460B95" w:rsidP="00DF37F2">
    <w:pPr>
      <w:pStyle w:val="FooterArial9"/>
      <w:rPr>
        <w:rStyle w:val="FooterBold"/>
        <w:rFonts w:ascii="Arial" w:hAnsi="Arial"/>
        <w:b w:val="0"/>
      </w:rPr>
    </w:pPr>
    <w:r w:rsidRPr="00DF37F2">
      <w:rPr>
        <w:rStyle w:val="FooterBold"/>
        <w:rFonts w:ascii="Arial" w:hAnsi="Arial"/>
        <w:b w:val="0"/>
      </w:rPr>
      <w:t>Name of service: Mary MacKillop Hostel Carrington Retirement Village</w:t>
    </w:r>
    <w:r w:rsidRPr="00DF37F2">
      <w:rPr>
        <w:rStyle w:val="FooterBold"/>
        <w:rFonts w:ascii="Arial" w:hAnsi="Arial"/>
        <w:b w:val="0"/>
      </w:rPr>
      <w:tab/>
      <w:t xml:space="preserve">RPT-ACC-0122 v3.0 </w:t>
    </w:r>
  </w:p>
  <w:p w14:paraId="7D1F73CC" w14:textId="77777777" w:rsidR="00DF37F2" w:rsidRPr="00DF37F2" w:rsidRDefault="00460B95" w:rsidP="00DF37F2">
    <w:pPr>
      <w:pStyle w:val="FooterArial9"/>
      <w:rPr>
        <w:rStyle w:val="FooterBold"/>
        <w:rFonts w:ascii="Arial" w:hAnsi="Arial"/>
        <w:b w:val="0"/>
      </w:rPr>
    </w:pPr>
    <w:r w:rsidRPr="00DF37F2">
      <w:rPr>
        <w:rStyle w:val="FooterBold"/>
        <w:rFonts w:ascii="Arial" w:hAnsi="Arial"/>
        <w:b w:val="0"/>
      </w:rPr>
      <w:t>Commission ID: 0399</w:t>
    </w:r>
    <w:r w:rsidRPr="00DF37F2">
      <w:rPr>
        <w:rStyle w:val="FooterBold"/>
        <w:rFonts w:ascii="Arial" w:hAnsi="Arial"/>
        <w:b w:val="0"/>
      </w:rPr>
      <w:tab/>
      <w:t xml:space="preserve">OFFICIAL: Sensitive </w:t>
    </w:r>
  </w:p>
  <w:p w14:paraId="7D1F73CD" w14:textId="77777777" w:rsidR="00DF37F2" w:rsidRPr="00DF37F2" w:rsidRDefault="00460B9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F73CF" w14:textId="77777777" w:rsidR="00E2364A" w:rsidRDefault="0037687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F73C8" w14:textId="77777777" w:rsidR="00D3157C" w:rsidRDefault="00460B95" w:rsidP="00D71F88">
      <w:pPr>
        <w:spacing w:after="0"/>
      </w:pPr>
      <w:r>
        <w:separator/>
      </w:r>
    </w:p>
  </w:footnote>
  <w:footnote w:type="continuationSeparator" w:id="0">
    <w:p w14:paraId="7D1F73C9" w14:textId="77777777" w:rsidR="00D3157C" w:rsidRDefault="00460B95" w:rsidP="00D71F88">
      <w:pPr>
        <w:spacing w:after="0"/>
      </w:pPr>
      <w:r>
        <w:continuationSeparator/>
      </w:r>
    </w:p>
  </w:footnote>
  <w:footnote w:id="1">
    <w:p w14:paraId="09815CD7" w14:textId="5E184398" w:rsidR="00460B95" w:rsidRPr="005256C2" w:rsidRDefault="00460B95" w:rsidP="005256C2">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AB2280">
        <w:rPr>
          <w:rFonts w:ascii="Arial" w:hAnsi="Arial" w:cs="Arial"/>
          <w:sz w:val="20"/>
          <w:szCs w:val="20"/>
        </w:rPr>
        <w:t>68A</w:t>
      </w:r>
      <w:r>
        <w:rPr>
          <w:rFonts w:ascii="Arial" w:hAnsi="Arial" w:cs="Arial"/>
          <w:sz w:val="20"/>
          <w:szCs w:val="20"/>
        </w:rPr>
        <w:t xml:space="preserve"> </w:t>
      </w:r>
      <w:r w:rsidRPr="00AB2280">
        <w:rPr>
          <w:rFonts w:ascii="Arial" w:hAnsi="Arial" w:cs="Arial"/>
          <w:sz w:val="20"/>
          <w:szCs w:val="20"/>
        </w:rPr>
        <w:t>– assessment contact</w:t>
      </w:r>
      <w:r w:rsidRPr="00443CA4">
        <w:rPr>
          <w:rFonts w:ascii="Arial" w:hAnsi="Arial" w:cs="Arial"/>
          <w:color w:val="FF0000"/>
          <w:sz w:val="20"/>
          <w:szCs w:val="20"/>
        </w:rPr>
        <w:t>,</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F73CA" w14:textId="77777777" w:rsidR="00D71F88" w:rsidRDefault="00460B95">
    <w:pPr>
      <w:pStyle w:val="Header"/>
    </w:pPr>
    <w:r>
      <w:rPr>
        <w:noProof/>
        <w:color w:val="2B579A"/>
        <w:shd w:val="clear" w:color="auto" w:fill="E6E6E6"/>
        <w:lang w:val="en-US"/>
      </w:rPr>
      <w:drawing>
        <wp:anchor distT="0" distB="0" distL="114300" distR="114300" simplePos="0" relativeHeight="251659264" behindDoc="1" locked="0" layoutInCell="1" allowOverlap="1" wp14:anchorId="7D1F73D0" wp14:editId="7D1F73D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6998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F73CE" w14:textId="77777777" w:rsidR="00FA0A5B" w:rsidRDefault="00460B95">
    <w:pPr>
      <w:pStyle w:val="Header"/>
    </w:pPr>
    <w:r>
      <w:rPr>
        <w:noProof/>
      </w:rPr>
      <w:drawing>
        <wp:anchor distT="0" distB="0" distL="114300" distR="114300" simplePos="0" relativeHeight="251658240" behindDoc="0" locked="0" layoutInCell="1" allowOverlap="1" wp14:anchorId="7D1F73D2" wp14:editId="7D1F73D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900590A">
      <w:start w:val="1"/>
      <w:numFmt w:val="lowerRoman"/>
      <w:lvlText w:val="(%1)"/>
      <w:lvlJc w:val="left"/>
      <w:pPr>
        <w:ind w:left="1080" w:hanging="720"/>
      </w:pPr>
      <w:rPr>
        <w:rFonts w:hint="default"/>
      </w:rPr>
    </w:lvl>
    <w:lvl w:ilvl="1" w:tplc="68806C1C" w:tentative="1">
      <w:start w:val="1"/>
      <w:numFmt w:val="lowerLetter"/>
      <w:lvlText w:val="%2."/>
      <w:lvlJc w:val="left"/>
      <w:pPr>
        <w:ind w:left="1440" w:hanging="360"/>
      </w:pPr>
    </w:lvl>
    <w:lvl w:ilvl="2" w:tplc="EA569B84" w:tentative="1">
      <w:start w:val="1"/>
      <w:numFmt w:val="lowerRoman"/>
      <w:lvlText w:val="%3."/>
      <w:lvlJc w:val="right"/>
      <w:pPr>
        <w:ind w:left="2160" w:hanging="180"/>
      </w:pPr>
    </w:lvl>
    <w:lvl w:ilvl="3" w:tplc="9072084C" w:tentative="1">
      <w:start w:val="1"/>
      <w:numFmt w:val="decimal"/>
      <w:lvlText w:val="%4."/>
      <w:lvlJc w:val="left"/>
      <w:pPr>
        <w:ind w:left="2880" w:hanging="360"/>
      </w:pPr>
    </w:lvl>
    <w:lvl w:ilvl="4" w:tplc="935EDFE2" w:tentative="1">
      <w:start w:val="1"/>
      <w:numFmt w:val="lowerLetter"/>
      <w:lvlText w:val="%5."/>
      <w:lvlJc w:val="left"/>
      <w:pPr>
        <w:ind w:left="3600" w:hanging="360"/>
      </w:pPr>
    </w:lvl>
    <w:lvl w:ilvl="5" w:tplc="6C4E6C40" w:tentative="1">
      <w:start w:val="1"/>
      <w:numFmt w:val="lowerRoman"/>
      <w:lvlText w:val="%6."/>
      <w:lvlJc w:val="right"/>
      <w:pPr>
        <w:ind w:left="4320" w:hanging="180"/>
      </w:pPr>
    </w:lvl>
    <w:lvl w:ilvl="6" w:tplc="3DF4276C" w:tentative="1">
      <w:start w:val="1"/>
      <w:numFmt w:val="decimal"/>
      <w:lvlText w:val="%7."/>
      <w:lvlJc w:val="left"/>
      <w:pPr>
        <w:ind w:left="5040" w:hanging="360"/>
      </w:pPr>
    </w:lvl>
    <w:lvl w:ilvl="7" w:tplc="ABDC9F7E" w:tentative="1">
      <w:start w:val="1"/>
      <w:numFmt w:val="lowerLetter"/>
      <w:lvlText w:val="%8."/>
      <w:lvlJc w:val="left"/>
      <w:pPr>
        <w:ind w:left="5760" w:hanging="360"/>
      </w:pPr>
    </w:lvl>
    <w:lvl w:ilvl="8" w:tplc="23D8678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3401D34">
      <w:start w:val="1"/>
      <w:numFmt w:val="lowerRoman"/>
      <w:lvlText w:val="(%1)"/>
      <w:lvlJc w:val="left"/>
      <w:pPr>
        <w:ind w:left="1080" w:hanging="720"/>
      </w:pPr>
      <w:rPr>
        <w:rFonts w:hint="default"/>
      </w:rPr>
    </w:lvl>
    <w:lvl w:ilvl="1" w:tplc="A7E4806E" w:tentative="1">
      <w:start w:val="1"/>
      <w:numFmt w:val="lowerLetter"/>
      <w:lvlText w:val="%2."/>
      <w:lvlJc w:val="left"/>
      <w:pPr>
        <w:ind w:left="1440" w:hanging="360"/>
      </w:pPr>
    </w:lvl>
    <w:lvl w:ilvl="2" w:tplc="90A6C1EA" w:tentative="1">
      <w:start w:val="1"/>
      <w:numFmt w:val="lowerRoman"/>
      <w:lvlText w:val="%3."/>
      <w:lvlJc w:val="right"/>
      <w:pPr>
        <w:ind w:left="2160" w:hanging="180"/>
      </w:pPr>
    </w:lvl>
    <w:lvl w:ilvl="3" w:tplc="C824A554" w:tentative="1">
      <w:start w:val="1"/>
      <w:numFmt w:val="decimal"/>
      <w:lvlText w:val="%4."/>
      <w:lvlJc w:val="left"/>
      <w:pPr>
        <w:ind w:left="2880" w:hanging="360"/>
      </w:pPr>
    </w:lvl>
    <w:lvl w:ilvl="4" w:tplc="0194F318" w:tentative="1">
      <w:start w:val="1"/>
      <w:numFmt w:val="lowerLetter"/>
      <w:lvlText w:val="%5."/>
      <w:lvlJc w:val="left"/>
      <w:pPr>
        <w:ind w:left="3600" w:hanging="360"/>
      </w:pPr>
    </w:lvl>
    <w:lvl w:ilvl="5" w:tplc="A978D93E" w:tentative="1">
      <w:start w:val="1"/>
      <w:numFmt w:val="lowerRoman"/>
      <w:lvlText w:val="%6."/>
      <w:lvlJc w:val="right"/>
      <w:pPr>
        <w:ind w:left="4320" w:hanging="180"/>
      </w:pPr>
    </w:lvl>
    <w:lvl w:ilvl="6" w:tplc="B1B616F2" w:tentative="1">
      <w:start w:val="1"/>
      <w:numFmt w:val="decimal"/>
      <w:lvlText w:val="%7."/>
      <w:lvlJc w:val="left"/>
      <w:pPr>
        <w:ind w:left="5040" w:hanging="360"/>
      </w:pPr>
    </w:lvl>
    <w:lvl w:ilvl="7" w:tplc="AC6A0832" w:tentative="1">
      <w:start w:val="1"/>
      <w:numFmt w:val="lowerLetter"/>
      <w:lvlText w:val="%8."/>
      <w:lvlJc w:val="left"/>
      <w:pPr>
        <w:ind w:left="5760" w:hanging="360"/>
      </w:pPr>
    </w:lvl>
    <w:lvl w:ilvl="8" w:tplc="B9F4760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D3083C6">
      <w:start w:val="1"/>
      <w:numFmt w:val="lowerRoman"/>
      <w:lvlText w:val="(%1)"/>
      <w:lvlJc w:val="left"/>
      <w:pPr>
        <w:ind w:left="1080" w:hanging="720"/>
      </w:pPr>
      <w:rPr>
        <w:rFonts w:hint="default"/>
      </w:rPr>
    </w:lvl>
    <w:lvl w:ilvl="1" w:tplc="C8F8777C" w:tentative="1">
      <w:start w:val="1"/>
      <w:numFmt w:val="lowerLetter"/>
      <w:lvlText w:val="%2."/>
      <w:lvlJc w:val="left"/>
      <w:pPr>
        <w:ind w:left="1440" w:hanging="360"/>
      </w:pPr>
    </w:lvl>
    <w:lvl w:ilvl="2" w:tplc="3DC8B282" w:tentative="1">
      <w:start w:val="1"/>
      <w:numFmt w:val="lowerRoman"/>
      <w:lvlText w:val="%3."/>
      <w:lvlJc w:val="right"/>
      <w:pPr>
        <w:ind w:left="2160" w:hanging="180"/>
      </w:pPr>
    </w:lvl>
    <w:lvl w:ilvl="3" w:tplc="CF102CB6" w:tentative="1">
      <w:start w:val="1"/>
      <w:numFmt w:val="decimal"/>
      <w:lvlText w:val="%4."/>
      <w:lvlJc w:val="left"/>
      <w:pPr>
        <w:ind w:left="2880" w:hanging="360"/>
      </w:pPr>
    </w:lvl>
    <w:lvl w:ilvl="4" w:tplc="CD3AD536" w:tentative="1">
      <w:start w:val="1"/>
      <w:numFmt w:val="lowerLetter"/>
      <w:lvlText w:val="%5."/>
      <w:lvlJc w:val="left"/>
      <w:pPr>
        <w:ind w:left="3600" w:hanging="360"/>
      </w:pPr>
    </w:lvl>
    <w:lvl w:ilvl="5" w:tplc="2F36841E" w:tentative="1">
      <w:start w:val="1"/>
      <w:numFmt w:val="lowerRoman"/>
      <w:lvlText w:val="%6."/>
      <w:lvlJc w:val="right"/>
      <w:pPr>
        <w:ind w:left="4320" w:hanging="180"/>
      </w:pPr>
    </w:lvl>
    <w:lvl w:ilvl="6" w:tplc="12384210" w:tentative="1">
      <w:start w:val="1"/>
      <w:numFmt w:val="decimal"/>
      <w:lvlText w:val="%7."/>
      <w:lvlJc w:val="left"/>
      <w:pPr>
        <w:ind w:left="5040" w:hanging="360"/>
      </w:pPr>
    </w:lvl>
    <w:lvl w:ilvl="7" w:tplc="E1FC058A" w:tentative="1">
      <w:start w:val="1"/>
      <w:numFmt w:val="lowerLetter"/>
      <w:lvlText w:val="%8."/>
      <w:lvlJc w:val="left"/>
      <w:pPr>
        <w:ind w:left="5760" w:hanging="360"/>
      </w:pPr>
    </w:lvl>
    <w:lvl w:ilvl="8" w:tplc="CDEA132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AAA494C">
      <w:start w:val="1"/>
      <w:numFmt w:val="bullet"/>
      <w:lvlText w:val=""/>
      <w:lvlJc w:val="left"/>
      <w:pPr>
        <w:ind w:left="720" w:hanging="360"/>
      </w:pPr>
      <w:rPr>
        <w:rFonts w:ascii="Symbol" w:hAnsi="Symbol" w:hint="default"/>
        <w:color w:val="auto"/>
        <w:sz w:val="24"/>
        <w:szCs w:val="24"/>
      </w:rPr>
    </w:lvl>
    <w:lvl w:ilvl="1" w:tplc="65A6022A" w:tentative="1">
      <w:start w:val="1"/>
      <w:numFmt w:val="bullet"/>
      <w:lvlText w:val="o"/>
      <w:lvlJc w:val="left"/>
      <w:pPr>
        <w:ind w:left="1440" w:hanging="360"/>
      </w:pPr>
      <w:rPr>
        <w:rFonts w:ascii="Courier New" w:hAnsi="Courier New" w:cs="Courier New" w:hint="default"/>
      </w:rPr>
    </w:lvl>
    <w:lvl w:ilvl="2" w:tplc="453805FC" w:tentative="1">
      <w:start w:val="1"/>
      <w:numFmt w:val="bullet"/>
      <w:lvlText w:val=""/>
      <w:lvlJc w:val="left"/>
      <w:pPr>
        <w:ind w:left="2160" w:hanging="360"/>
      </w:pPr>
      <w:rPr>
        <w:rFonts w:ascii="Wingdings" w:hAnsi="Wingdings" w:hint="default"/>
      </w:rPr>
    </w:lvl>
    <w:lvl w:ilvl="3" w:tplc="16FC01B0" w:tentative="1">
      <w:start w:val="1"/>
      <w:numFmt w:val="bullet"/>
      <w:lvlText w:val=""/>
      <w:lvlJc w:val="left"/>
      <w:pPr>
        <w:ind w:left="2880" w:hanging="360"/>
      </w:pPr>
      <w:rPr>
        <w:rFonts w:ascii="Symbol" w:hAnsi="Symbol" w:hint="default"/>
      </w:rPr>
    </w:lvl>
    <w:lvl w:ilvl="4" w:tplc="0FC0A5B8" w:tentative="1">
      <w:start w:val="1"/>
      <w:numFmt w:val="bullet"/>
      <w:lvlText w:val="o"/>
      <w:lvlJc w:val="left"/>
      <w:pPr>
        <w:ind w:left="3600" w:hanging="360"/>
      </w:pPr>
      <w:rPr>
        <w:rFonts w:ascii="Courier New" w:hAnsi="Courier New" w:cs="Courier New" w:hint="default"/>
      </w:rPr>
    </w:lvl>
    <w:lvl w:ilvl="5" w:tplc="30C44564" w:tentative="1">
      <w:start w:val="1"/>
      <w:numFmt w:val="bullet"/>
      <w:lvlText w:val=""/>
      <w:lvlJc w:val="left"/>
      <w:pPr>
        <w:ind w:left="4320" w:hanging="360"/>
      </w:pPr>
      <w:rPr>
        <w:rFonts w:ascii="Wingdings" w:hAnsi="Wingdings" w:hint="default"/>
      </w:rPr>
    </w:lvl>
    <w:lvl w:ilvl="6" w:tplc="62084CA4" w:tentative="1">
      <w:start w:val="1"/>
      <w:numFmt w:val="bullet"/>
      <w:lvlText w:val=""/>
      <w:lvlJc w:val="left"/>
      <w:pPr>
        <w:ind w:left="5040" w:hanging="360"/>
      </w:pPr>
      <w:rPr>
        <w:rFonts w:ascii="Symbol" w:hAnsi="Symbol" w:hint="default"/>
      </w:rPr>
    </w:lvl>
    <w:lvl w:ilvl="7" w:tplc="9DE4B424" w:tentative="1">
      <w:start w:val="1"/>
      <w:numFmt w:val="bullet"/>
      <w:lvlText w:val="o"/>
      <w:lvlJc w:val="left"/>
      <w:pPr>
        <w:ind w:left="5760" w:hanging="360"/>
      </w:pPr>
      <w:rPr>
        <w:rFonts w:ascii="Courier New" w:hAnsi="Courier New" w:cs="Courier New" w:hint="default"/>
      </w:rPr>
    </w:lvl>
    <w:lvl w:ilvl="8" w:tplc="7E4CCB0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F2812A6">
      <w:start w:val="1"/>
      <w:numFmt w:val="lowerRoman"/>
      <w:lvlText w:val="(%1)"/>
      <w:lvlJc w:val="left"/>
      <w:pPr>
        <w:ind w:left="1080" w:hanging="720"/>
      </w:pPr>
      <w:rPr>
        <w:rFonts w:hint="default"/>
      </w:rPr>
    </w:lvl>
    <w:lvl w:ilvl="1" w:tplc="D5C20634" w:tentative="1">
      <w:start w:val="1"/>
      <w:numFmt w:val="lowerLetter"/>
      <w:lvlText w:val="%2."/>
      <w:lvlJc w:val="left"/>
      <w:pPr>
        <w:ind w:left="1440" w:hanging="360"/>
      </w:pPr>
    </w:lvl>
    <w:lvl w:ilvl="2" w:tplc="786A1EC0" w:tentative="1">
      <w:start w:val="1"/>
      <w:numFmt w:val="lowerRoman"/>
      <w:lvlText w:val="%3."/>
      <w:lvlJc w:val="right"/>
      <w:pPr>
        <w:ind w:left="2160" w:hanging="180"/>
      </w:pPr>
    </w:lvl>
    <w:lvl w:ilvl="3" w:tplc="F394388E" w:tentative="1">
      <w:start w:val="1"/>
      <w:numFmt w:val="decimal"/>
      <w:lvlText w:val="%4."/>
      <w:lvlJc w:val="left"/>
      <w:pPr>
        <w:ind w:left="2880" w:hanging="360"/>
      </w:pPr>
    </w:lvl>
    <w:lvl w:ilvl="4" w:tplc="FD5A1438" w:tentative="1">
      <w:start w:val="1"/>
      <w:numFmt w:val="lowerLetter"/>
      <w:lvlText w:val="%5."/>
      <w:lvlJc w:val="left"/>
      <w:pPr>
        <w:ind w:left="3600" w:hanging="360"/>
      </w:pPr>
    </w:lvl>
    <w:lvl w:ilvl="5" w:tplc="2D20A5A6" w:tentative="1">
      <w:start w:val="1"/>
      <w:numFmt w:val="lowerRoman"/>
      <w:lvlText w:val="%6."/>
      <w:lvlJc w:val="right"/>
      <w:pPr>
        <w:ind w:left="4320" w:hanging="180"/>
      </w:pPr>
    </w:lvl>
    <w:lvl w:ilvl="6" w:tplc="4EA46024" w:tentative="1">
      <w:start w:val="1"/>
      <w:numFmt w:val="decimal"/>
      <w:lvlText w:val="%7."/>
      <w:lvlJc w:val="left"/>
      <w:pPr>
        <w:ind w:left="5040" w:hanging="360"/>
      </w:pPr>
    </w:lvl>
    <w:lvl w:ilvl="7" w:tplc="B79673D4" w:tentative="1">
      <w:start w:val="1"/>
      <w:numFmt w:val="lowerLetter"/>
      <w:lvlText w:val="%8."/>
      <w:lvlJc w:val="left"/>
      <w:pPr>
        <w:ind w:left="5760" w:hanging="360"/>
      </w:pPr>
    </w:lvl>
    <w:lvl w:ilvl="8" w:tplc="EF88EA1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F66039C">
      <w:start w:val="1"/>
      <w:numFmt w:val="lowerRoman"/>
      <w:lvlText w:val="(%1)"/>
      <w:lvlJc w:val="left"/>
      <w:pPr>
        <w:ind w:left="1080" w:hanging="720"/>
      </w:pPr>
      <w:rPr>
        <w:rFonts w:hint="default"/>
      </w:rPr>
    </w:lvl>
    <w:lvl w:ilvl="1" w:tplc="F14A49A0" w:tentative="1">
      <w:start w:val="1"/>
      <w:numFmt w:val="lowerLetter"/>
      <w:lvlText w:val="%2."/>
      <w:lvlJc w:val="left"/>
      <w:pPr>
        <w:ind w:left="1440" w:hanging="360"/>
      </w:pPr>
    </w:lvl>
    <w:lvl w:ilvl="2" w:tplc="D5D25BD4" w:tentative="1">
      <w:start w:val="1"/>
      <w:numFmt w:val="lowerRoman"/>
      <w:lvlText w:val="%3."/>
      <w:lvlJc w:val="right"/>
      <w:pPr>
        <w:ind w:left="2160" w:hanging="180"/>
      </w:pPr>
    </w:lvl>
    <w:lvl w:ilvl="3" w:tplc="46CA0EAE" w:tentative="1">
      <w:start w:val="1"/>
      <w:numFmt w:val="decimal"/>
      <w:lvlText w:val="%4."/>
      <w:lvlJc w:val="left"/>
      <w:pPr>
        <w:ind w:left="2880" w:hanging="360"/>
      </w:pPr>
    </w:lvl>
    <w:lvl w:ilvl="4" w:tplc="6E622370" w:tentative="1">
      <w:start w:val="1"/>
      <w:numFmt w:val="lowerLetter"/>
      <w:lvlText w:val="%5."/>
      <w:lvlJc w:val="left"/>
      <w:pPr>
        <w:ind w:left="3600" w:hanging="360"/>
      </w:pPr>
    </w:lvl>
    <w:lvl w:ilvl="5" w:tplc="F37A12FE" w:tentative="1">
      <w:start w:val="1"/>
      <w:numFmt w:val="lowerRoman"/>
      <w:lvlText w:val="%6."/>
      <w:lvlJc w:val="right"/>
      <w:pPr>
        <w:ind w:left="4320" w:hanging="180"/>
      </w:pPr>
    </w:lvl>
    <w:lvl w:ilvl="6" w:tplc="EFBC8BBC" w:tentative="1">
      <w:start w:val="1"/>
      <w:numFmt w:val="decimal"/>
      <w:lvlText w:val="%7."/>
      <w:lvlJc w:val="left"/>
      <w:pPr>
        <w:ind w:left="5040" w:hanging="360"/>
      </w:pPr>
    </w:lvl>
    <w:lvl w:ilvl="7" w:tplc="30105836" w:tentative="1">
      <w:start w:val="1"/>
      <w:numFmt w:val="lowerLetter"/>
      <w:lvlText w:val="%8."/>
      <w:lvlJc w:val="left"/>
      <w:pPr>
        <w:ind w:left="5760" w:hanging="360"/>
      </w:pPr>
    </w:lvl>
    <w:lvl w:ilvl="8" w:tplc="86E6917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7863ECE">
      <w:start w:val="1"/>
      <w:numFmt w:val="lowerRoman"/>
      <w:lvlText w:val="(%1)"/>
      <w:lvlJc w:val="left"/>
      <w:pPr>
        <w:ind w:left="1080" w:hanging="720"/>
      </w:pPr>
      <w:rPr>
        <w:rFonts w:hint="default"/>
      </w:rPr>
    </w:lvl>
    <w:lvl w:ilvl="1" w:tplc="E1E820B4" w:tentative="1">
      <w:start w:val="1"/>
      <w:numFmt w:val="lowerLetter"/>
      <w:lvlText w:val="%2."/>
      <w:lvlJc w:val="left"/>
      <w:pPr>
        <w:ind w:left="1440" w:hanging="360"/>
      </w:pPr>
    </w:lvl>
    <w:lvl w:ilvl="2" w:tplc="0370534A" w:tentative="1">
      <w:start w:val="1"/>
      <w:numFmt w:val="lowerRoman"/>
      <w:lvlText w:val="%3."/>
      <w:lvlJc w:val="right"/>
      <w:pPr>
        <w:ind w:left="2160" w:hanging="180"/>
      </w:pPr>
    </w:lvl>
    <w:lvl w:ilvl="3" w:tplc="C7547D7A" w:tentative="1">
      <w:start w:val="1"/>
      <w:numFmt w:val="decimal"/>
      <w:lvlText w:val="%4."/>
      <w:lvlJc w:val="left"/>
      <w:pPr>
        <w:ind w:left="2880" w:hanging="360"/>
      </w:pPr>
    </w:lvl>
    <w:lvl w:ilvl="4" w:tplc="46CC7E5A" w:tentative="1">
      <w:start w:val="1"/>
      <w:numFmt w:val="lowerLetter"/>
      <w:lvlText w:val="%5."/>
      <w:lvlJc w:val="left"/>
      <w:pPr>
        <w:ind w:left="3600" w:hanging="360"/>
      </w:pPr>
    </w:lvl>
    <w:lvl w:ilvl="5" w:tplc="ABBE37B0" w:tentative="1">
      <w:start w:val="1"/>
      <w:numFmt w:val="lowerRoman"/>
      <w:lvlText w:val="%6."/>
      <w:lvlJc w:val="right"/>
      <w:pPr>
        <w:ind w:left="4320" w:hanging="180"/>
      </w:pPr>
    </w:lvl>
    <w:lvl w:ilvl="6" w:tplc="AF8CFFA0" w:tentative="1">
      <w:start w:val="1"/>
      <w:numFmt w:val="decimal"/>
      <w:lvlText w:val="%7."/>
      <w:lvlJc w:val="left"/>
      <w:pPr>
        <w:ind w:left="5040" w:hanging="360"/>
      </w:pPr>
    </w:lvl>
    <w:lvl w:ilvl="7" w:tplc="3D64ABDA" w:tentative="1">
      <w:start w:val="1"/>
      <w:numFmt w:val="lowerLetter"/>
      <w:lvlText w:val="%8."/>
      <w:lvlJc w:val="left"/>
      <w:pPr>
        <w:ind w:left="5760" w:hanging="360"/>
      </w:pPr>
    </w:lvl>
    <w:lvl w:ilvl="8" w:tplc="56DA80B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F48AB2A">
      <w:start w:val="1"/>
      <w:numFmt w:val="lowerRoman"/>
      <w:lvlText w:val="(%1)"/>
      <w:lvlJc w:val="left"/>
      <w:pPr>
        <w:ind w:left="1080" w:hanging="720"/>
      </w:pPr>
      <w:rPr>
        <w:rFonts w:hint="default"/>
      </w:rPr>
    </w:lvl>
    <w:lvl w:ilvl="1" w:tplc="20604504" w:tentative="1">
      <w:start w:val="1"/>
      <w:numFmt w:val="lowerLetter"/>
      <w:lvlText w:val="%2."/>
      <w:lvlJc w:val="left"/>
      <w:pPr>
        <w:ind w:left="1440" w:hanging="360"/>
      </w:pPr>
    </w:lvl>
    <w:lvl w:ilvl="2" w:tplc="1E8640E4" w:tentative="1">
      <w:start w:val="1"/>
      <w:numFmt w:val="lowerRoman"/>
      <w:lvlText w:val="%3."/>
      <w:lvlJc w:val="right"/>
      <w:pPr>
        <w:ind w:left="2160" w:hanging="180"/>
      </w:pPr>
    </w:lvl>
    <w:lvl w:ilvl="3" w:tplc="EFFC32D6" w:tentative="1">
      <w:start w:val="1"/>
      <w:numFmt w:val="decimal"/>
      <w:lvlText w:val="%4."/>
      <w:lvlJc w:val="left"/>
      <w:pPr>
        <w:ind w:left="2880" w:hanging="360"/>
      </w:pPr>
    </w:lvl>
    <w:lvl w:ilvl="4" w:tplc="C5A6F0FC" w:tentative="1">
      <w:start w:val="1"/>
      <w:numFmt w:val="lowerLetter"/>
      <w:lvlText w:val="%5."/>
      <w:lvlJc w:val="left"/>
      <w:pPr>
        <w:ind w:left="3600" w:hanging="360"/>
      </w:pPr>
    </w:lvl>
    <w:lvl w:ilvl="5" w:tplc="72FA5D10" w:tentative="1">
      <w:start w:val="1"/>
      <w:numFmt w:val="lowerRoman"/>
      <w:lvlText w:val="%6."/>
      <w:lvlJc w:val="right"/>
      <w:pPr>
        <w:ind w:left="4320" w:hanging="180"/>
      </w:pPr>
    </w:lvl>
    <w:lvl w:ilvl="6" w:tplc="CBF4EA26" w:tentative="1">
      <w:start w:val="1"/>
      <w:numFmt w:val="decimal"/>
      <w:lvlText w:val="%7."/>
      <w:lvlJc w:val="left"/>
      <w:pPr>
        <w:ind w:left="5040" w:hanging="360"/>
      </w:pPr>
    </w:lvl>
    <w:lvl w:ilvl="7" w:tplc="760E644A" w:tentative="1">
      <w:start w:val="1"/>
      <w:numFmt w:val="lowerLetter"/>
      <w:lvlText w:val="%8."/>
      <w:lvlJc w:val="left"/>
      <w:pPr>
        <w:ind w:left="5760" w:hanging="360"/>
      </w:pPr>
    </w:lvl>
    <w:lvl w:ilvl="8" w:tplc="F6C478A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1ECDE26">
      <w:start w:val="1"/>
      <w:numFmt w:val="lowerRoman"/>
      <w:lvlText w:val="(%1)"/>
      <w:lvlJc w:val="left"/>
      <w:pPr>
        <w:ind w:left="1080" w:hanging="720"/>
      </w:pPr>
      <w:rPr>
        <w:rFonts w:hint="default"/>
      </w:rPr>
    </w:lvl>
    <w:lvl w:ilvl="1" w:tplc="D8083826" w:tentative="1">
      <w:start w:val="1"/>
      <w:numFmt w:val="lowerLetter"/>
      <w:lvlText w:val="%2."/>
      <w:lvlJc w:val="left"/>
      <w:pPr>
        <w:ind w:left="1440" w:hanging="360"/>
      </w:pPr>
    </w:lvl>
    <w:lvl w:ilvl="2" w:tplc="727C597A" w:tentative="1">
      <w:start w:val="1"/>
      <w:numFmt w:val="lowerRoman"/>
      <w:lvlText w:val="%3."/>
      <w:lvlJc w:val="right"/>
      <w:pPr>
        <w:ind w:left="2160" w:hanging="180"/>
      </w:pPr>
    </w:lvl>
    <w:lvl w:ilvl="3" w:tplc="1C72C1B0" w:tentative="1">
      <w:start w:val="1"/>
      <w:numFmt w:val="decimal"/>
      <w:lvlText w:val="%4."/>
      <w:lvlJc w:val="left"/>
      <w:pPr>
        <w:ind w:left="2880" w:hanging="360"/>
      </w:pPr>
    </w:lvl>
    <w:lvl w:ilvl="4" w:tplc="04D25FA6" w:tentative="1">
      <w:start w:val="1"/>
      <w:numFmt w:val="lowerLetter"/>
      <w:lvlText w:val="%5."/>
      <w:lvlJc w:val="left"/>
      <w:pPr>
        <w:ind w:left="3600" w:hanging="360"/>
      </w:pPr>
    </w:lvl>
    <w:lvl w:ilvl="5" w:tplc="FA82E512" w:tentative="1">
      <w:start w:val="1"/>
      <w:numFmt w:val="lowerRoman"/>
      <w:lvlText w:val="%6."/>
      <w:lvlJc w:val="right"/>
      <w:pPr>
        <w:ind w:left="4320" w:hanging="180"/>
      </w:pPr>
    </w:lvl>
    <w:lvl w:ilvl="6" w:tplc="9502D67E" w:tentative="1">
      <w:start w:val="1"/>
      <w:numFmt w:val="decimal"/>
      <w:lvlText w:val="%7."/>
      <w:lvlJc w:val="left"/>
      <w:pPr>
        <w:ind w:left="5040" w:hanging="360"/>
      </w:pPr>
    </w:lvl>
    <w:lvl w:ilvl="7" w:tplc="4B5A22EE" w:tentative="1">
      <w:start w:val="1"/>
      <w:numFmt w:val="lowerLetter"/>
      <w:lvlText w:val="%8."/>
      <w:lvlJc w:val="left"/>
      <w:pPr>
        <w:ind w:left="5760" w:hanging="360"/>
      </w:pPr>
    </w:lvl>
    <w:lvl w:ilvl="8" w:tplc="8E40D24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87C9010">
      <w:start w:val="1"/>
      <w:numFmt w:val="lowerRoman"/>
      <w:lvlText w:val="(%1)"/>
      <w:lvlJc w:val="left"/>
      <w:pPr>
        <w:ind w:left="1080" w:hanging="720"/>
      </w:pPr>
      <w:rPr>
        <w:rFonts w:hint="default"/>
      </w:rPr>
    </w:lvl>
    <w:lvl w:ilvl="1" w:tplc="20AEFB7E" w:tentative="1">
      <w:start w:val="1"/>
      <w:numFmt w:val="lowerLetter"/>
      <w:lvlText w:val="%2."/>
      <w:lvlJc w:val="left"/>
      <w:pPr>
        <w:ind w:left="1440" w:hanging="360"/>
      </w:pPr>
    </w:lvl>
    <w:lvl w:ilvl="2" w:tplc="99D63B3C" w:tentative="1">
      <w:start w:val="1"/>
      <w:numFmt w:val="lowerRoman"/>
      <w:lvlText w:val="%3."/>
      <w:lvlJc w:val="right"/>
      <w:pPr>
        <w:ind w:left="2160" w:hanging="180"/>
      </w:pPr>
    </w:lvl>
    <w:lvl w:ilvl="3" w:tplc="FAC4E6B4" w:tentative="1">
      <w:start w:val="1"/>
      <w:numFmt w:val="decimal"/>
      <w:lvlText w:val="%4."/>
      <w:lvlJc w:val="left"/>
      <w:pPr>
        <w:ind w:left="2880" w:hanging="360"/>
      </w:pPr>
    </w:lvl>
    <w:lvl w:ilvl="4" w:tplc="38706D2C" w:tentative="1">
      <w:start w:val="1"/>
      <w:numFmt w:val="lowerLetter"/>
      <w:lvlText w:val="%5."/>
      <w:lvlJc w:val="left"/>
      <w:pPr>
        <w:ind w:left="3600" w:hanging="360"/>
      </w:pPr>
    </w:lvl>
    <w:lvl w:ilvl="5" w:tplc="A9EC62E8" w:tentative="1">
      <w:start w:val="1"/>
      <w:numFmt w:val="lowerRoman"/>
      <w:lvlText w:val="%6."/>
      <w:lvlJc w:val="right"/>
      <w:pPr>
        <w:ind w:left="4320" w:hanging="180"/>
      </w:pPr>
    </w:lvl>
    <w:lvl w:ilvl="6" w:tplc="F156277C" w:tentative="1">
      <w:start w:val="1"/>
      <w:numFmt w:val="decimal"/>
      <w:lvlText w:val="%7."/>
      <w:lvlJc w:val="left"/>
      <w:pPr>
        <w:ind w:left="5040" w:hanging="360"/>
      </w:pPr>
    </w:lvl>
    <w:lvl w:ilvl="7" w:tplc="17F0CD5C" w:tentative="1">
      <w:start w:val="1"/>
      <w:numFmt w:val="lowerLetter"/>
      <w:lvlText w:val="%8."/>
      <w:lvlJc w:val="left"/>
      <w:pPr>
        <w:ind w:left="5760" w:hanging="360"/>
      </w:pPr>
    </w:lvl>
    <w:lvl w:ilvl="8" w:tplc="E254601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072EED1-75C1-4A72-8AA3-D6AB7970F13F}"/>
    <w:docVar w:name="dgnword-eventsink" w:val="1934244143840"/>
  </w:docVars>
  <w:rsids>
    <w:rsidRoot w:val="00FC7C48"/>
    <w:rsid w:val="00376879"/>
    <w:rsid w:val="00460B95"/>
    <w:rsid w:val="005256C2"/>
    <w:rsid w:val="00873333"/>
    <w:rsid w:val="00F62BEA"/>
    <w:rsid w:val="00FC7C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F728A"/>
  <w15:docId w15:val="{509FE676-BFF8-4CCF-B5F1-CE00D238D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EB10E41EFC4DFD9D25DC01634FFA71"/>
        <w:category>
          <w:name w:val="General"/>
          <w:gallery w:val="placeholder"/>
        </w:category>
        <w:types>
          <w:type w:val="bbPlcHdr"/>
        </w:types>
        <w:behaviors>
          <w:behavior w:val="content"/>
        </w:behaviors>
        <w:guid w:val="{5F2252FB-797D-46CE-BD15-9AAE760568E8}"/>
      </w:docPartPr>
      <w:docPartBody>
        <w:p w:rsidR="00AF0BC7" w:rsidRDefault="0013392B" w:rsidP="0013392B">
          <w:pPr>
            <w:pStyle w:val="91EB10E41EFC4DFD9D25DC01634FFA71"/>
          </w:pPr>
          <w:r w:rsidRPr="00D858FE">
            <w:rPr>
              <w:rStyle w:val="PlaceholderText"/>
            </w:rPr>
            <w:t>Choose an item.</w:t>
          </w:r>
        </w:p>
      </w:docPartBody>
    </w:docPart>
    <w:docPart>
      <w:docPartPr>
        <w:name w:val="4AF3FDB16F2C4A688A04352A6B51AD65"/>
        <w:category>
          <w:name w:val="General"/>
          <w:gallery w:val="placeholder"/>
        </w:category>
        <w:types>
          <w:type w:val="bbPlcHdr"/>
        </w:types>
        <w:behaviors>
          <w:behavior w:val="content"/>
        </w:behaviors>
        <w:guid w:val="{75CFC1D8-6618-4277-8187-90B85C380067}"/>
      </w:docPartPr>
      <w:docPartBody>
        <w:p w:rsidR="00AF0BC7" w:rsidRDefault="0013392B" w:rsidP="0013392B">
          <w:pPr>
            <w:pStyle w:val="4AF3FDB16F2C4A688A04352A6B51AD65"/>
          </w:pPr>
          <w:r w:rsidRPr="00D858FE">
            <w:rPr>
              <w:rStyle w:val="PlaceholderText"/>
            </w:rPr>
            <w:t>Choose an item.</w:t>
          </w:r>
        </w:p>
      </w:docPartBody>
    </w:docPart>
    <w:docPart>
      <w:docPartPr>
        <w:name w:val="31F4A2EFE1644760B20EEA046C51B5E2"/>
        <w:category>
          <w:name w:val="General"/>
          <w:gallery w:val="placeholder"/>
        </w:category>
        <w:types>
          <w:type w:val="bbPlcHdr"/>
        </w:types>
        <w:behaviors>
          <w:behavior w:val="content"/>
        </w:behaviors>
        <w:guid w:val="{AB7489EB-B47A-442C-A3E6-78A1C6160C92}"/>
      </w:docPartPr>
      <w:docPartBody>
        <w:p w:rsidR="00AF0BC7" w:rsidRDefault="0013392B" w:rsidP="0013392B">
          <w:pPr>
            <w:pStyle w:val="31F4A2EFE1644760B20EEA046C51B5E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92B"/>
    <w:rsid w:val="0013392B"/>
    <w:rsid w:val="00AF0B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3392B"/>
    <w:rPr>
      <w:rFonts w:asciiTheme="minorHAnsi" w:hAnsiTheme="minorHAnsi"/>
      <w:b w:val="0"/>
      <w:noProof w:val="0"/>
      <w:color w:val="000000" w:themeColor="text1"/>
      <w:sz w:val="30"/>
      <w:lang w:val="en-AU"/>
    </w:rPr>
  </w:style>
  <w:style w:type="paragraph" w:customStyle="1" w:styleId="91EB10E41EFC4DFD9D25DC01634FFA71">
    <w:name w:val="91EB10E41EFC4DFD9D25DC01634FFA71"/>
    <w:rsid w:val="0013392B"/>
  </w:style>
  <w:style w:type="paragraph" w:customStyle="1" w:styleId="4AF3FDB16F2C4A688A04352A6B51AD65">
    <w:name w:val="4AF3FDB16F2C4A688A04352A6B51AD65"/>
    <w:rsid w:val="0013392B"/>
  </w:style>
  <w:style w:type="paragraph" w:customStyle="1" w:styleId="31F4A2EFE1644760B20EEA046C51B5E2">
    <w:name w:val="31F4A2EFE1644760B20EEA046C51B5E2"/>
    <w:rsid w:val="00133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0399</RACS_x0020_ID>
    <Approved_x0020_Provider xmlns="a8338b6e-77a6-4851-82b6-98166143ffdd">Carrington Centennial Care Limited</Approved_x0020_Provider>
    <Management_x0020_Company_x0020_ID xmlns="a8338b6e-77a6-4851-82b6-98166143ffdd" xsi:nil="true"/>
    <Home xmlns="a8338b6e-77a6-4851-82b6-98166143ffdd">Mary MacKillop Hostel Carrington Retirement Village</Home>
    <Signed xmlns="a8338b6e-77a6-4851-82b6-98166143ffdd" xsi:nil="true"/>
    <Uploaded xmlns="a8338b6e-77a6-4851-82b6-98166143ffdd">False</Uploaded>
    <Management_x0020_Company xmlns="a8338b6e-77a6-4851-82b6-98166143ffdd" xsi:nil="true"/>
    <Doc_x0020_Date xmlns="a8338b6e-77a6-4851-82b6-98166143ffdd">2023-05-01T03:46:00+00:00</Doc_x0020_Date>
    <CSI_x0020_ID xmlns="a8338b6e-77a6-4851-82b6-98166143ffdd" xsi:nil="true"/>
    <Case_x0020_ID xmlns="a8338b6e-77a6-4851-82b6-98166143ffdd" xsi:nil="true"/>
    <Approved_x0020_Provider_x0020_ID xmlns="a8338b6e-77a6-4851-82b6-98166143ffdd">6187BA3E-75F4-DC11-AD41-005056922186</Approved_x0020_Provider_x0020_ID>
    <Location xmlns="a8338b6e-77a6-4851-82b6-98166143ffdd" xsi:nil="true"/>
    <Home_x0020_ID xmlns="a8338b6e-77a6-4851-82b6-98166143ffdd">124499AB-7CF4-DC11-AD41-005056922186</Home_x0020_ID>
    <State xmlns="a8338b6e-77a6-4851-82b6-98166143ffdd">NSW</State>
    <Doc_x0020_Sent_Received_x0020_Date xmlns="a8338b6e-77a6-4851-82b6-98166143ffdd">2023-05-01T00:00:00+00:00</Doc_x0020_Sent_Received_x0020_Date>
    <Activity_x0020_ID xmlns="a8338b6e-77a6-4851-82b6-98166143ffdd">42ED400F-D6C9-ED11-A624-005056922186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A3AB497-6321-4C4B-BB5C-A6DCB93BB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www.w3.org/XML/1998/namespace"/>
    <ds:schemaRef ds:uri="a8338b6e-77a6-4851-82b6-98166143ffdd"/>
    <ds:schemaRef ds:uri="http://schemas.microsoft.com/office/2006/metadata/properties"/>
    <ds:schemaRef ds:uri="http://purl.org/dc/dcmitype/"/>
    <ds:schemaRef ds:uri="http://schemas.microsoft.com/office/2006/documentManagement/typ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1135</Words>
  <Characters>6471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2023-06-12T03:12:00Z</dcterms:created>
  <dcterms:modified xsi:type="dcterms:W3CDTF">2023-06-12T03:13:00Z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