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E98E" w14:textId="430F0F85" w:rsidR="00CE23FF" w:rsidRDefault="00CE23F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39FF0FA" wp14:editId="6576921C">
                <wp:simplePos x="0" y="0"/>
                <wp:positionH relativeFrom="column">
                  <wp:posOffset>-895350</wp:posOffset>
                </wp:positionH>
                <wp:positionV relativeFrom="paragraph">
                  <wp:posOffset>722630</wp:posOffset>
                </wp:positionV>
                <wp:extent cx="5686425" cy="1727200"/>
                <wp:effectExtent l="0" t="0" r="0" b="0"/>
                <wp:wrapSquare wrapText="bothSides"/>
                <wp:docPr id="1013939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2D38" w14:textId="77777777" w:rsidR="00CE23FF" w:rsidRDefault="00CE23F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377EC1" w14:textId="77777777" w:rsidR="00CE23FF" w:rsidRPr="001E694D" w:rsidRDefault="00CE23F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06A1E8" w14:textId="77777777" w:rsidR="00CE23FF" w:rsidRPr="001E694D" w:rsidRDefault="00CE23FF" w:rsidP="009504D0">
                            <w:pPr>
                              <w:pStyle w:val="ContactNumber"/>
                              <w:spacing w:after="600"/>
                              <w:rPr>
                                <w:rFonts w:ascii="Open Sans" w:hAnsi="Open Sans" w:cs="Open Sans"/>
                              </w:rPr>
                            </w:pPr>
                            <w:r w:rsidRPr="001E694D">
                              <w:rPr>
                                <w:rFonts w:ascii="Open Sans" w:hAnsi="Open Sans" w:cs="Open Sans"/>
                              </w:rPr>
                              <w:t>Agedcarequality.gov.au</w:t>
                            </w:r>
                          </w:p>
                          <w:p w14:paraId="117E1B6C" w14:textId="77777777" w:rsidR="00CE23FF" w:rsidRDefault="00CE23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FF0F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5B42D38" w14:textId="77777777" w:rsidR="00CE23FF" w:rsidRDefault="00CE23F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C377EC1" w14:textId="77777777" w:rsidR="00CE23FF" w:rsidRPr="001E694D" w:rsidRDefault="00CE23F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06A1E8" w14:textId="77777777" w:rsidR="00CE23FF" w:rsidRPr="001E694D" w:rsidRDefault="00CE23FF" w:rsidP="009504D0">
                      <w:pPr>
                        <w:pStyle w:val="ContactNumber"/>
                        <w:spacing w:after="600"/>
                        <w:rPr>
                          <w:rFonts w:ascii="Open Sans" w:hAnsi="Open Sans" w:cs="Open Sans"/>
                        </w:rPr>
                      </w:pPr>
                      <w:r w:rsidRPr="001E694D">
                        <w:rPr>
                          <w:rFonts w:ascii="Open Sans" w:hAnsi="Open Sans" w:cs="Open Sans"/>
                        </w:rPr>
                        <w:t>Agedcarequality.gov.au</w:t>
                      </w:r>
                    </w:p>
                    <w:p w14:paraId="117E1B6C" w14:textId="77777777" w:rsidR="00CE23FF" w:rsidRDefault="00CE23FF"/>
                  </w:txbxContent>
                </v:textbox>
                <w10:wrap type="square"/>
              </v:shape>
            </w:pict>
          </mc:Fallback>
        </mc:AlternateContent>
      </w:r>
      <w:r>
        <w:rPr>
          <w:noProof/>
        </w:rPr>
        <w:drawing>
          <wp:anchor distT="360045" distB="180340" distL="114300" distR="114300" simplePos="0" relativeHeight="251659264" behindDoc="1" locked="0" layoutInCell="1" allowOverlap="1" wp14:anchorId="29EC6AB5" wp14:editId="6DC66AF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7D1BCB0" w14:textId="77777777" w:rsidR="00CE23FF" w:rsidRPr="001E694D" w:rsidRDefault="00CE23FF" w:rsidP="001E694D">
      <w:pPr>
        <w:tabs>
          <w:tab w:val="left" w:pos="4569"/>
        </w:tabs>
        <w:rPr>
          <w:rFonts w:ascii="Open Sans" w:hAnsi="Open Sans" w:cs="Open Sans"/>
          <w:color w:val="FFFFFF" w:themeColor="background1"/>
          <w:sz w:val="66"/>
          <w:szCs w:val="66"/>
        </w:rPr>
      </w:pPr>
    </w:p>
    <w:p w14:paraId="34406615" w14:textId="77777777" w:rsidR="00CE23FF" w:rsidRDefault="00CE23FF" w:rsidP="00372ED2">
      <w:pPr>
        <w:spacing w:after="0"/>
        <w:rPr>
          <w:rFonts w:ascii="Open Sans" w:hAnsi="Open Sans" w:cs="Open Sans"/>
          <w:b/>
          <w:bCs/>
          <w:color w:val="FFFFFF" w:themeColor="background1"/>
          <w:sz w:val="66"/>
          <w:szCs w:val="66"/>
        </w:rPr>
      </w:pPr>
    </w:p>
    <w:p w14:paraId="25990BAC" w14:textId="77777777" w:rsidR="00CE23FF" w:rsidRDefault="00CE23FF" w:rsidP="00372ED2">
      <w:pPr>
        <w:spacing w:after="0"/>
        <w:rPr>
          <w:rFonts w:ascii="Open Sans" w:hAnsi="Open Sans" w:cs="Open Sans"/>
          <w:b/>
          <w:bCs/>
          <w:color w:val="FFFFFF" w:themeColor="background1"/>
          <w:sz w:val="66"/>
          <w:szCs w:val="66"/>
        </w:rPr>
      </w:pPr>
    </w:p>
    <w:p w14:paraId="7B61895E" w14:textId="77777777" w:rsidR="00CE23FF" w:rsidRPr="00412FC5" w:rsidRDefault="00CE23F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8C07ED" w14:paraId="72A244AE" w14:textId="77777777" w:rsidTr="008C07ED">
        <w:tc>
          <w:tcPr>
            <w:cnfStyle w:val="001000000000" w:firstRow="0" w:lastRow="0" w:firstColumn="1" w:lastColumn="0" w:oddVBand="0" w:evenVBand="0" w:oddHBand="0" w:evenHBand="0" w:firstRowFirstColumn="0" w:firstRowLastColumn="0" w:lastRowFirstColumn="0" w:lastRowLastColumn="0"/>
            <w:tcW w:w="3227" w:type="dxa"/>
          </w:tcPr>
          <w:p w14:paraId="67DFCAB7" w14:textId="77777777" w:rsidR="00CE23FF" w:rsidRPr="001E694D" w:rsidRDefault="00CE23F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70BA28" w14:textId="77777777" w:rsidR="00CE23FF" w:rsidRPr="001E694D" w:rsidRDefault="00CE23F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Care Bargara</w:t>
            </w:r>
          </w:p>
        </w:tc>
      </w:tr>
      <w:tr w:rsidR="008C07ED" w14:paraId="1BD1D156" w14:textId="77777777" w:rsidTr="008C0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31B13C" w14:textId="77777777" w:rsidR="00CE23FF" w:rsidRPr="001E694D" w:rsidRDefault="00CE23F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B692589" w14:textId="77777777" w:rsidR="00CE23FF" w:rsidRPr="001E694D" w:rsidRDefault="00CE23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5409</w:t>
            </w:r>
          </w:p>
        </w:tc>
      </w:tr>
      <w:tr w:rsidR="008C07ED" w14:paraId="7C52E532" w14:textId="77777777" w:rsidTr="008C07ED">
        <w:tc>
          <w:tcPr>
            <w:cnfStyle w:val="001000000000" w:firstRow="0" w:lastRow="0" w:firstColumn="1" w:lastColumn="0" w:oddVBand="0" w:evenVBand="0" w:oddHBand="0" w:evenHBand="0" w:firstRowFirstColumn="0" w:firstRowLastColumn="0" w:lastRowFirstColumn="0" w:lastRowLastColumn="0"/>
            <w:tcW w:w="3227" w:type="dxa"/>
          </w:tcPr>
          <w:p w14:paraId="5B589E8A" w14:textId="77777777" w:rsidR="00CE23FF" w:rsidRPr="001E694D" w:rsidRDefault="00CE23F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71C70D37" w14:textId="77777777" w:rsidR="00CE23FF" w:rsidRPr="001E694D" w:rsidRDefault="00CE23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55 Wearing</w:t>
            </w:r>
            <w:r w:rsidRPr="001E694D">
              <w:rPr>
                <w:rFonts w:ascii="Open Sans" w:eastAsia="Times New Roman" w:hAnsi="Open Sans" w:cs="Open Sans"/>
                <w:lang w:eastAsia="en-AU"/>
              </w:rPr>
              <w:t xml:space="preserve"> Road, BARGARA, Queensland, 4670</w:t>
            </w:r>
          </w:p>
        </w:tc>
      </w:tr>
      <w:tr w:rsidR="008C07ED" w14:paraId="5B63E09D" w14:textId="77777777" w:rsidTr="008C0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2FB6DD" w14:textId="77777777" w:rsidR="00CE23FF" w:rsidRPr="001E694D" w:rsidRDefault="00CE23F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886EDF7" w14:textId="77777777" w:rsidR="00CE23FF" w:rsidRPr="001E694D" w:rsidRDefault="00CE23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C07ED" w14:paraId="03C1510C" w14:textId="77777777" w:rsidTr="008C07ED">
        <w:tc>
          <w:tcPr>
            <w:cnfStyle w:val="001000000000" w:firstRow="0" w:lastRow="0" w:firstColumn="1" w:lastColumn="0" w:oddVBand="0" w:evenVBand="0" w:oddHBand="0" w:evenHBand="0" w:firstRowFirstColumn="0" w:firstRowLastColumn="0" w:lastRowFirstColumn="0" w:lastRowLastColumn="0"/>
            <w:tcW w:w="3227" w:type="dxa"/>
          </w:tcPr>
          <w:p w14:paraId="21ACD69B" w14:textId="77777777" w:rsidR="00CE23FF" w:rsidRPr="001E694D" w:rsidRDefault="00CE23F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7EB1BD8A" w14:textId="77777777" w:rsidR="00CE23FF" w:rsidRPr="001E694D" w:rsidRDefault="00CE23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August 2025 to 14 August 2025</w:t>
            </w:r>
          </w:p>
        </w:tc>
      </w:tr>
      <w:tr w:rsidR="008C07ED" w14:paraId="524D3923" w14:textId="77777777" w:rsidTr="008C0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A4EDADB" w14:textId="77777777" w:rsidR="00CE23FF" w:rsidRPr="001E694D" w:rsidRDefault="00CE23F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94582142"/>
            <w:placeholder>
              <w:docPart w:val="DefaultPlaceholder_-1854013437"/>
            </w:placeholder>
            <w:date w:fullDate="2025-10-09T00:00:00Z">
              <w:dateFormat w:val="d MMMM yyyy"/>
              <w:lid w:val="en-AU"/>
              <w:storeMappedDataAs w:val="dateTime"/>
              <w:calendar w:val="gregorian"/>
            </w:date>
          </w:sdtPr>
          <w:sdtEndPr/>
          <w:sdtContent>
            <w:tc>
              <w:tcPr>
                <w:tcW w:w="7114" w:type="dxa"/>
                <w:shd w:val="clear" w:color="auto" w:fill="FFFFFF" w:themeFill="background1"/>
              </w:tcPr>
              <w:p w14:paraId="2E2EBE74" w14:textId="608149BD" w:rsidR="00CE23FF" w:rsidRPr="001E694D" w:rsidRDefault="00EE154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October 2025</w:t>
                </w:r>
              </w:p>
            </w:tc>
          </w:sdtContent>
        </w:sdt>
      </w:tr>
      <w:tr w:rsidR="008C07ED" w14:paraId="1DB2C3F3" w14:textId="77777777" w:rsidTr="008C07E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795DB1D" w14:textId="77777777" w:rsidR="00CE23FF" w:rsidRPr="001E694D" w:rsidRDefault="00CE23F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03DAD9" w14:textId="77777777" w:rsidR="00CE23FF" w:rsidRPr="001E694D" w:rsidRDefault="00CE23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6DEFA5A6" w14:textId="77777777" w:rsidR="00CE23FF" w:rsidRPr="001E694D" w:rsidRDefault="00CE23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7370 Palm Lake Care Bargara</w:t>
            </w:r>
          </w:p>
        </w:tc>
      </w:tr>
    </w:tbl>
    <w:bookmarkEnd w:id="0"/>
    <w:p w14:paraId="6E13F174" w14:textId="77777777" w:rsidR="00CE23FF" w:rsidRPr="001E694D" w:rsidRDefault="00CE23F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E22E77B" w14:textId="77777777" w:rsidR="00CE23FF" w:rsidRPr="003E162B" w:rsidRDefault="00CE23F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17025E" w14:textId="0FBB6F5C" w:rsidR="00CE23FF" w:rsidRPr="001E694D" w:rsidRDefault="00CE23F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Care Bargara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276D8">
        <w:rPr>
          <w:rFonts w:ascii="Open Sans" w:hAnsi="Open Sans" w:cs="Open Sans"/>
        </w:rPr>
        <w:t>S McFaul</w:t>
      </w:r>
      <w:r w:rsidRPr="00F82C09">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9C2C230" w14:textId="77777777" w:rsidR="00CE23FF" w:rsidRPr="001E694D" w:rsidRDefault="00CE23F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FA096F5" w14:textId="77777777" w:rsidR="00CE23FF" w:rsidRPr="001E694D" w:rsidRDefault="00CE23F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ECC27F1" w14:textId="77777777" w:rsidR="00CE23FF" w:rsidRPr="003E162B" w:rsidRDefault="00CE23F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9253AD1" w14:textId="77777777" w:rsidR="00CE23FF" w:rsidRPr="001E694D" w:rsidRDefault="00CE23F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44E3DD8" w14:textId="302438D9" w:rsidR="00CE23FF" w:rsidRPr="00F82C09" w:rsidRDefault="00CE23FF" w:rsidP="00F82C09">
      <w:pPr>
        <w:pStyle w:val="ListBullet"/>
        <w:spacing w:before="0" w:after="120" w:line="22" w:lineRule="atLeast"/>
        <w:ind w:left="425" w:hanging="425"/>
        <w:rPr>
          <w:rFonts w:ascii="Open Sans" w:hAnsi="Open Sans" w:cs="Open Sans"/>
        </w:rPr>
      </w:pPr>
      <w:r w:rsidRPr="001E694D">
        <w:rPr>
          <w:rFonts w:ascii="Open Sans" w:hAnsi="Open Sans" w:cs="Open Sans"/>
        </w:rPr>
        <w:t xml:space="preserve">the </w:t>
      </w:r>
      <w:r w:rsidR="00492747">
        <w:rPr>
          <w:rFonts w:ascii="Open Sans" w:hAnsi="Open Sans" w:cs="Open Sans"/>
        </w:rPr>
        <w:t>A</w:t>
      </w:r>
      <w:r w:rsidR="00492747" w:rsidRPr="001E694D">
        <w:rPr>
          <w:rFonts w:ascii="Open Sans" w:hAnsi="Open Sans" w:cs="Open Sans"/>
        </w:rPr>
        <w:t xml:space="preserve">ssessment </w:t>
      </w:r>
      <w:r w:rsidR="00492747">
        <w:rPr>
          <w:rFonts w:ascii="Open Sans" w:hAnsi="Open Sans" w:cs="Open Sans"/>
        </w:rPr>
        <w:t>T</w:t>
      </w:r>
      <w:r w:rsidR="00492747" w:rsidRPr="001E694D">
        <w:rPr>
          <w:rFonts w:ascii="Open Sans" w:hAnsi="Open Sans" w:cs="Open Sans"/>
        </w:rPr>
        <w:t xml:space="preserve">eam’s </w:t>
      </w:r>
      <w:r w:rsidRPr="001E694D">
        <w:rPr>
          <w:rFonts w:ascii="Open Sans" w:hAnsi="Open Sans" w:cs="Open Sans"/>
        </w:rPr>
        <w:t xml:space="preserve">report for </w:t>
      </w:r>
      <w:r w:rsidRPr="00F82C09">
        <w:rPr>
          <w:rFonts w:ascii="Open Sans" w:hAnsi="Open Sans" w:cs="Open Sans"/>
        </w:rPr>
        <w:t xml:space="preserve">the </w:t>
      </w:r>
      <w:r w:rsidR="00492747" w:rsidRPr="00F82C09">
        <w:rPr>
          <w:rFonts w:ascii="Open Sans" w:hAnsi="Open Sans" w:cs="Open Sans"/>
        </w:rPr>
        <w:t xml:space="preserve">assessment </w:t>
      </w:r>
      <w:r w:rsidRPr="00F82C09">
        <w:rPr>
          <w:rFonts w:ascii="Open Sans" w:hAnsi="Open Sans" w:cs="Open Sans"/>
        </w:rPr>
        <w:t>contact (performance assessment) – site</w:t>
      </w:r>
      <w:r w:rsidR="00492747" w:rsidRPr="00F82C09">
        <w:rPr>
          <w:rFonts w:ascii="Open Sans" w:hAnsi="Open Sans" w:cs="Open Sans"/>
        </w:rPr>
        <w:t>, which</w:t>
      </w:r>
      <w:r w:rsidRPr="00F82C09">
        <w:rPr>
          <w:rFonts w:ascii="Open Sans" w:hAnsi="Open Sans" w:cs="Open Sans"/>
        </w:rPr>
        <w:t xml:space="preserve"> was informed by a site assessment, observations at the service, review of documents and interviews with staff, </w:t>
      </w:r>
      <w:r w:rsidR="001909FF" w:rsidRPr="00F82C09">
        <w:rPr>
          <w:rFonts w:ascii="Open Sans" w:hAnsi="Open Sans" w:cs="Open Sans"/>
        </w:rPr>
        <w:t>consumers</w:t>
      </w:r>
      <w:r w:rsidRPr="00F82C09">
        <w:rPr>
          <w:rFonts w:ascii="Open Sans" w:hAnsi="Open Sans" w:cs="Open Sans"/>
        </w:rPr>
        <w:t>/representatives and others</w:t>
      </w:r>
      <w:r w:rsidR="00492747" w:rsidRPr="00F82C09">
        <w:rPr>
          <w:rFonts w:ascii="Open Sans" w:hAnsi="Open Sans" w:cs="Open Sans"/>
        </w:rPr>
        <w:t>; and</w:t>
      </w:r>
    </w:p>
    <w:p w14:paraId="202F6F16" w14:textId="4EFCF7FA" w:rsidR="00CE23FF" w:rsidRPr="00ED2888" w:rsidRDefault="00CE23FF" w:rsidP="00F82C09">
      <w:pPr>
        <w:pStyle w:val="ListBullet"/>
        <w:spacing w:before="0" w:after="120" w:line="22" w:lineRule="atLeast"/>
        <w:ind w:left="425" w:hanging="425"/>
        <w:rPr>
          <w:rFonts w:ascii="Open Sans" w:hAnsi="Open Sans" w:cs="Open Sans"/>
          <w:color w:val="auto"/>
        </w:rPr>
      </w:pPr>
      <w:r w:rsidRPr="001E694D">
        <w:rPr>
          <w:rFonts w:ascii="Open Sans" w:hAnsi="Open Sans" w:cs="Open Sans"/>
        </w:rPr>
        <w:t xml:space="preserve">the provider’s response to the </w:t>
      </w:r>
      <w:r w:rsidR="00492747">
        <w:rPr>
          <w:rFonts w:ascii="Open Sans" w:hAnsi="Open Sans" w:cs="Open Sans"/>
        </w:rPr>
        <w:t>A</w:t>
      </w:r>
      <w:r w:rsidR="00492747" w:rsidRPr="001E694D">
        <w:rPr>
          <w:rFonts w:ascii="Open Sans" w:hAnsi="Open Sans" w:cs="Open Sans"/>
        </w:rPr>
        <w:t xml:space="preserve">ssessment </w:t>
      </w:r>
      <w:r w:rsidR="00492747">
        <w:rPr>
          <w:rFonts w:ascii="Open Sans" w:hAnsi="Open Sans" w:cs="Open Sans"/>
        </w:rPr>
        <w:t>T</w:t>
      </w:r>
      <w:r w:rsidR="00492747" w:rsidRPr="001E694D">
        <w:rPr>
          <w:rFonts w:ascii="Open Sans" w:hAnsi="Open Sans" w:cs="Open Sans"/>
        </w:rPr>
        <w:t xml:space="preserve">eam’s </w:t>
      </w:r>
      <w:r w:rsidRPr="001E694D">
        <w:rPr>
          <w:rFonts w:ascii="Open Sans" w:hAnsi="Open Sans" w:cs="Open Sans"/>
        </w:rPr>
        <w:t xml:space="preserve">report </w:t>
      </w:r>
      <w:r w:rsidRPr="00F82C09">
        <w:rPr>
          <w:rFonts w:ascii="Open Sans" w:hAnsi="Open Sans" w:cs="Open Sans"/>
        </w:rPr>
        <w:t xml:space="preserve">received </w:t>
      </w:r>
      <w:r w:rsidR="004D24D3" w:rsidRPr="00F82C09">
        <w:rPr>
          <w:rFonts w:ascii="Open Sans" w:hAnsi="Open Sans" w:cs="Open Sans"/>
        </w:rPr>
        <w:t>5 September 2025</w:t>
      </w:r>
      <w:r w:rsidR="00ED2888" w:rsidRPr="00F82C09">
        <w:rPr>
          <w:rFonts w:ascii="Open Sans" w:hAnsi="Open Sans" w:cs="Open Sans"/>
        </w:rPr>
        <w:t>. The response includes commentary to address aspects of the Assessment Team’s report, as well as supporting documentation.</w:t>
      </w:r>
      <w:r w:rsidRPr="00ED2888">
        <w:rPr>
          <w:rFonts w:ascii="Open Sans" w:hAnsi="Open Sans" w:cs="Open Sans"/>
        </w:rPr>
        <w:br w:type="page"/>
      </w:r>
    </w:p>
    <w:p w14:paraId="56C5565D" w14:textId="77777777" w:rsidR="00CE23FF" w:rsidRPr="003E162B" w:rsidRDefault="00CE23F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50"/>
        <w:gridCol w:w="2176"/>
      </w:tblGrid>
      <w:tr w:rsidR="008C07ED" w14:paraId="73F4EE45" w14:textId="77777777" w:rsidTr="000946C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8" w:type="pct"/>
            <w:shd w:val="clear" w:color="auto" w:fill="auto"/>
          </w:tcPr>
          <w:p w14:paraId="7F4989B9" w14:textId="77777777" w:rsidR="00CE23FF" w:rsidRPr="001E694D" w:rsidRDefault="00CE23FF"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9442BA">
              <w:rPr>
                <w:rFonts w:ascii="Open Sans" w:hAnsi="Open Sans" w:cs="Open Sans"/>
                <w:b w:val="0"/>
                <w:bCs/>
              </w:rPr>
              <w:t>Ongoing assessment and planning with consumers</w:t>
            </w:r>
          </w:p>
        </w:tc>
        <w:tc>
          <w:tcPr>
            <w:tcW w:w="1142" w:type="pct"/>
            <w:shd w:val="clear" w:color="auto" w:fill="auto"/>
          </w:tcPr>
          <w:p w14:paraId="43356F20" w14:textId="43394A42" w:rsidR="00CE23FF" w:rsidRPr="00AF4E0A" w:rsidRDefault="00DD2BA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AF4E0A">
              <w:rPr>
                <w:rFonts w:ascii="Open Sans" w:hAnsi="Open Sans" w:cs="Open Sans"/>
              </w:rPr>
              <w:t xml:space="preserve">Not </w:t>
            </w:r>
            <w:r w:rsidR="00AF4E0A" w:rsidRPr="00AF4E0A">
              <w:rPr>
                <w:rFonts w:ascii="Open Sans" w:hAnsi="Open Sans" w:cs="Open Sans"/>
              </w:rPr>
              <w:t>applicable as not all requirements have been assessed</w:t>
            </w:r>
          </w:p>
        </w:tc>
      </w:tr>
      <w:tr w:rsidR="008C07ED" w14:paraId="19A33218" w14:textId="77777777" w:rsidTr="000946C0">
        <w:trPr>
          <w:trHeight w:val="227"/>
        </w:trPr>
        <w:tc>
          <w:tcPr>
            <w:cnfStyle w:val="001000000000" w:firstRow="0" w:lastRow="0" w:firstColumn="1" w:lastColumn="0" w:oddVBand="0" w:evenVBand="0" w:oddHBand="0" w:evenHBand="0" w:firstRowFirstColumn="0" w:firstRowLastColumn="0" w:lastRowFirstColumn="0" w:lastRowLastColumn="0"/>
            <w:tcW w:w="3858" w:type="pct"/>
          </w:tcPr>
          <w:p w14:paraId="1665D07E" w14:textId="77777777" w:rsidR="00CE23FF" w:rsidRPr="001E694D" w:rsidRDefault="00CE23F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42" w:type="pct"/>
          </w:tcPr>
          <w:p w14:paraId="5AFC3C53" w14:textId="28920EA0" w:rsidR="00CE23FF" w:rsidRPr="001E694D" w:rsidRDefault="00BC1C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777412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D1863">
                  <w:rPr>
                    <w:rFonts w:ascii="Open Sans" w:hAnsi="Open Sans" w:cs="Open Sans"/>
                    <w:b/>
                    <w:bCs/>
                  </w:rPr>
                  <w:t>Not Compliant</w:t>
                </w:r>
              </w:sdtContent>
            </w:sdt>
          </w:p>
        </w:tc>
      </w:tr>
      <w:tr w:rsidR="008C07ED" w14:paraId="12F9DCDF" w14:textId="77777777" w:rsidTr="000946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8" w:type="pct"/>
            <w:shd w:val="clear" w:color="auto" w:fill="auto"/>
          </w:tcPr>
          <w:p w14:paraId="420FA2B0" w14:textId="77777777" w:rsidR="00CE23FF" w:rsidRPr="001E694D" w:rsidRDefault="00CE23F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42" w:type="pct"/>
            <w:shd w:val="clear" w:color="auto" w:fill="auto"/>
          </w:tcPr>
          <w:p w14:paraId="6CE11BF1" w14:textId="3A019502" w:rsidR="00CE23FF" w:rsidRPr="00AF4E0A" w:rsidRDefault="00AF4E0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AF4E0A">
              <w:rPr>
                <w:rFonts w:ascii="Open Sans" w:hAnsi="Open Sans" w:cs="Open Sans"/>
                <w:b/>
                <w:bCs/>
              </w:rPr>
              <w:t>Not applicable as not all requirements have been assessed</w:t>
            </w:r>
          </w:p>
        </w:tc>
      </w:tr>
      <w:tr w:rsidR="008C07ED" w14:paraId="582CA246" w14:textId="77777777" w:rsidTr="000946C0">
        <w:trPr>
          <w:trHeight w:val="227"/>
        </w:trPr>
        <w:tc>
          <w:tcPr>
            <w:cnfStyle w:val="001000000000" w:firstRow="0" w:lastRow="0" w:firstColumn="1" w:lastColumn="0" w:oddVBand="0" w:evenVBand="0" w:oddHBand="0" w:evenHBand="0" w:firstRowFirstColumn="0" w:firstRowLastColumn="0" w:lastRowFirstColumn="0" w:lastRowLastColumn="0"/>
            <w:tcW w:w="3858" w:type="pct"/>
          </w:tcPr>
          <w:p w14:paraId="169B1548" w14:textId="77777777" w:rsidR="00CE23FF" w:rsidRPr="001E694D" w:rsidRDefault="00CE23F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42" w:type="pct"/>
          </w:tcPr>
          <w:p w14:paraId="568C1C75" w14:textId="473FEB79" w:rsidR="00CE23FF" w:rsidRPr="001E694D" w:rsidRDefault="00BC1C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16933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A3937">
                  <w:rPr>
                    <w:rFonts w:ascii="Open Sans" w:hAnsi="Open Sans" w:cs="Open Sans"/>
                    <w:b/>
                    <w:bCs/>
                  </w:rPr>
                  <w:t>Not Compliant</w:t>
                </w:r>
              </w:sdtContent>
            </w:sdt>
          </w:p>
        </w:tc>
      </w:tr>
    </w:tbl>
    <w:p w14:paraId="435A353D" w14:textId="77777777" w:rsidR="00CE23FF" w:rsidRPr="001E694D" w:rsidRDefault="00CE23F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B94EE2" w14:textId="77777777" w:rsidR="00CE23FF" w:rsidRPr="003E162B" w:rsidRDefault="00CE23F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FA8EBB5" w14:textId="77777777" w:rsidR="00CE23FF" w:rsidRPr="001E694D" w:rsidRDefault="00CE23FF" w:rsidP="0036130C">
      <w:pPr>
        <w:pStyle w:val="NormalArial"/>
        <w:rPr>
          <w:rFonts w:ascii="Open Sans" w:hAnsi="Open Sans" w:cs="Open Sans"/>
        </w:rPr>
      </w:pPr>
      <w:r w:rsidRPr="001E694D">
        <w:rPr>
          <w:rFonts w:ascii="Open Sans" w:hAnsi="Open Sans" w:cs="Open Sans"/>
        </w:rPr>
        <w:t xml:space="preserve">Areas have been identified in which </w:t>
      </w:r>
      <w:r w:rsidRPr="000946C0">
        <w:rPr>
          <w:rFonts w:ascii="Open Sans" w:hAnsi="Open Sans" w:cs="Open Sans"/>
          <w:bCs/>
        </w:rPr>
        <w:t>improvements must be made to ensure compliance with the Quality Standards.</w:t>
      </w:r>
      <w:r w:rsidRPr="001E694D">
        <w:rPr>
          <w:rFonts w:ascii="Open Sans" w:hAnsi="Open Sans" w:cs="Open Sans"/>
        </w:rPr>
        <w:t xml:space="preserve"> This is based on non-compliance with the Quality Standards as described in this performance report.</w:t>
      </w:r>
    </w:p>
    <w:p w14:paraId="5A2B0B58" w14:textId="1566B999" w:rsidR="00694D7D" w:rsidRDefault="00694D7D" w:rsidP="00694D7D">
      <w:pPr>
        <w:pStyle w:val="NormalArial"/>
        <w:rPr>
          <w:rFonts w:ascii="Open Sans" w:hAnsi="Open Sans" w:cs="Open Sans"/>
          <w:b/>
          <w:bCs/>
        </w:rPr>
      </w:pPr>
      <w:r>
        <w:rPr>
          <w:rFonts w:ascii="Open Sans" w:hAnsi="Open Sans" w:cs="Open Sans"/>
          <w:b/>
          <w:bCs/>
        </w:rPr>
        <w:t>Standard 3 requirements (3)(a)</w:t>
      </w:r>
      <w:r w:rsidR="005707FD">
        <w:rPr>
          <w:rFonts w:ascii="Open Sans" w:hAnsi="Open Sans" w:cs="Open Sans"/>
          <w:b/>
          <w:bCs/>
        </w:rPr>
        <w:t xml:space="preserve"> and</w:t>
      </w:r>
      <w:r>
        <w:rPr>
          <w:rFonts w:ascii="Open Sans" w:hAnsi="Open Sans" w:cs="Open Sans"/>
          <w:b/>
          <w:bCs/>
        </w:rPr>
        <w:t xml:space="preserve"> (3)(b)</w:t>
      </w:r>
    </w:p>
    <w:p w14:paraId="405F13E6" w14:textId="77777777" w:rsidR="00694D7D" w:rsidRPr="006A36E6" w:rsidRDefault="00694D7D" w:rsidP="00694D7D">
      <w:pPr>
        <w:pStyle w:val="NormalArial"/>
        <w:rPr>
          <w:rFonts w:ascii="Open Sans" w:hAnsi="Open Sans" w:cs="Open Sans"/>
        </w:rPr>
      </w:pPr>
      <w:r>
        <w:rPr>
          <w:rFonts w:ascii="Open Sans" w:hAnsi="Open Sans" w:cs="Open Sans"/>
        </w:rPr>
        <w:t>The provider ensures:</w:t>
      </w:r>
    </w:p>
    <w:p w14:paraId="1A8B2BBC" w14:textId="70F784F0" w:rsidR="00694D7D" w:rsidRDefault="00694D7D" w:rsidP="00694D7D">
      <w:pPr>
        <w:pStyle w:val="ListBullet"/>
        <w:spacing w:before="0" w:after="120" w:line="22" w:lineRule="atLeast"/>
        <w:ind w:left="425" w:hanging="425"/>
        <w:rPr>
          <w:rFonts w:ascii="Open Sans" w:hAnsi="Open Sans" w:cs="Open Sans"/>
        </w:rPr>
      </w:pPr>
      <w:r>
        <w:rPr>
          <w:rFonts w:ascii="Open Sans" w:hAnsi="Open Sans" w:cs="Open Sans"/>
        </w:rPr>
        <w:t>consumers are provided personal and clinical care in line with their assessed needs and preference</w:t>
      </w:r>
      <w:r w:rsidR="00492747">
        <w:rPr>
          <w:rFonts w:ascii="Open Sans" w:hAnsi="Open Sans" w:cs="Open Sans"/>
        </w:rPr>
        <w:t>s</w:t>
      </w:r>
      <w:r>
        <w:rPr>
          <w:rFonts w:ascii="Open Sans" w:hAnsi="Open Sans" w:cs="Open Sans"/>
        </w:rPr>
        <w:t xml:space="preserve">, which is best practice, tailored to their needs, and optimises their health and wellbeing, including in relation to skin integrity, behaviour </w:t>
      </w:r>
      <w:r w:rsidR="005707FD">
        <w:rPr>
          <w:rFonts w:ascii="Open Sans" w:hAnsi="Open Sans" w:cs="Open Sans"/>
        </w:rPr>
        <w:t>support and pain management</w:t>
      </w:r>
      <w:r w:rsidR="00492747">
        <w:rPr>
          <w:rFonts w:ascii="Open Sans" w:hAnsi="Open Sans" w:cs="Open Sans"/>
        </w:rPr>
        <w:t>; and</w:t>
      </w:r>
    </w:p>
    <w:p w14:paraId="68198238" w14:textId="59B3E7C0" w:rsidR="00694D7D" w:rsidRDefault="00694D7D" w:rsidP="00694D7D">
      <w:pPr>
        <w:pStyle w:val="ListBullet"/>
        <w:spacing w:before="0" w:after="120" w:line="22" w:lineRule="atLeast"/>
        <w:ind w:left="425" w:hanging="425"/>
        <w:rPr>
          <w:rFonts w:ascii="Open Sans" w:hAnsi="Open Sans" w:cs="Open Sans"/>
        </w:rPr>
      </w:pPr>
      <w:r>
        <w:rPr>
          <w:rFonts w:ascii="Open Sans" w:hAnsi="Open Sans" w:cs="Open Sans"/>
        </w:rPr>
        <w:t xml:space="preserve">high-impact or high-prevalence risks associated with the care of consumers are appropriately managed, including risks relating to </w:t>
      </w:r>
      <w:r w:rsidR="00264F56">
        <w:rPr>
          <w:rFonts w:ascii="Open Sans" w:hAnsi="Open Sans" w:cs="Open Sans"/>
        </w:rPr>
        <w:t xml:space="preserve">post </w:t>
      </w:r>
      <w:r>
        <w:rPr>
          <w:rFonts w:ascii="Open Sans" w:hAnsi="Open Sans" w:cs="Open Sans"/>
        </w:rPr>
        <w:t>fall</w:t>
      </w:r>
      <w:r w:rsidR="00264F56">
        <w:rPr>
          <w:rFonts w:ascii="Open Sans" w:hAnsi="Open Sans" w:cs="Open Sans"/>
        </w:rPr>
        <w:t xml:space="preserve"> management</w:t>
      </w:r>
      <w:r>
        <w:rPr>
          <w:rFonts w:ascii="Open Sans" w:hAnsi="Open Sans" w:cs="Open Sans"/>
        </w:rPr>
        <w:t xml:space="preserve"> and </w:t>
      </w:r>
      <w:r w:rsidR="00264F56">
        <w:rPr>
          <w:rFonts w:ascii="Open Sans" w:hAnsi="Open Sans" w:cs="Open Sans"/>
        </w:rPr>
        <w:t>monitoring of deterioration.</w:t>
      </w:r>
    </w:p>
    <w:p w14:paraId="447072A8" w14:textId="695F3BAB" w:rsidR="00340A2C" w:rsidRDefault="00340A2C" w:rsidP="00340A2C">
      <w:pPr>
        <w:pStyle w:val="NormalArial"/>
        <w:rPr>
          <w:rFonts w:ascii="Open Sans" w:hAnsi="Open Sans" w:cs="Open Sans"/>
          <w:b/>
          <w:bCs/>
        </w:rPr>
      </w:pPr>
      <w:r>
        <w:rPr>
          <w:rFonts w:ascii="Open Sans" w:hAnsi="Open Sans" w:cs="Open Sans"/>
          <w:b/>
          <w:bCs/>
        </w:rPr>
        <w:t>Standard 8 requirements (3)(d) and (3)(e)</w:t>
      </w:r>
    </w:p>
    <w:p w14:paraId="28EB7944" w14:textId="77777777" w:rsidR="00340A2C" w:rsidRPr="006A36E6" w:rsidRDefault="00340A2C" w:rsidP="00340A2C">
      <w:pPr>
        <w:pStyle w:val="NormalArial"/>
        <w:rPr>
          <w:rFonts w:ascii="Open Sans" w:hAnsi="Open Sans" w:cs="Open Sans"/>
        </w:rPr>
      </w:pPr>
      <w:r>
        <w:rPr>
          <w:rFonts w:ascii="Open Sans" w:hAnsi="Open Sans" w:cs="Open Sans"/>
        </w:rPr>
        <w:t>The provider ensures:</w:t>
      </w:r>
    </w:p>
    <w:p w14:paraId="0024BEBF" w14:textId="6FBAE157" w:rsidR="00340A2C" w:rsidRDefault="00340A2C" w:rsidP="00340A2C">
      <w:pPr>
        <w:pStyle w:val="ListBullet"/>
        <w:spacing w:before="0" w:after="120" w:line="22" w:lineRule="atLeast"/>
        <w:ind w:left="425" w:hanging="425"/>
        <w:rPr>
          <w:rFonts w:ascii="Open Sans" w:hAnsi="Open Sans" w:cs="Open Sans"/>
        </w:rPr>
      </w:pPr>
      <w:r>
        <w:rPr>
          <w:rFonts w:ascii="Open Sans" w:hAnsi="Open Sans" w:cs="Open Sans"/>
        </w:rPr>
        <w:t>the organisation</w:t>
      </w:r>
      <w:r w:rsidR="00492747">
        <w:rPr>
          <w:rFonts w:ascii="Open Sans" w:hAnsi="Open Sans" w:cs="Open Sans"/>
        </w:rPr>
        <w:t>’</w:t>
      </w:r>
      <w:r>
        <w:rPr>
          <w:rFonts w:ascii="Open Sans" w:hAnsi="Open Sans" w:cs="Open Sans"/>
        </w:rPr>
        <w:t>s risk management systems and practices, including in relation to high-impact or high-prevalence risks, and managing and preventing incidents are reviewed to ensure effectiveness;</w:t>
      </w:r>
      <w:r w:rsidR="00492747">
        <w:rPr>
          <w:rFonts w:ascii="Open Sans" w:hAnsi="Open Sans" w:cs="Open Sans"/>
        </w:rPr>
        <w:t xml:space="preserve"> and</w:t>
      </w:r>
    </w:p>
    <w:p w14:paraId="1CB646F5" w14:textId="1FAB71A7" w:rsidR="00340A2C" w:rsidRPr="009747BF" w:rsidRDefault="00340A2C" w:rsidP="00340A2C">
      <w:pPr>
        <w:pStyle w:val="ListBullet"/>
        <w:spacing w:before="0" w:after="120" w:line="22" w:lineRule="atLeast"/>
        <w:ind w:left="425" w:hanging="425"/>
        <w:rPr>
          <w:rFonts w:ascii="Open Sans" w:hAnsi="Open Sans" w:cs="Open Sans"/>
        </w:rPr>
      </w:pPr>
      <w:r>
        <w:rPr>
          <w:rFonts w:ascii="Open Sans" w:hAnsi="Open Sans" w:cs="Open Sans"/>
        </w:rPr>
        <w:lastRenderedPageBreak/>
        <w:t>the organisation</w:t>
      </w:r>
      <w:r w:rsidR="00492747">
        <w:rPr>
          <w:rFonts w:ascii="Open Sans" w:hAnsi="Open Sans" w:cs="Open Sans"/>
        </w:rPr>
        <w:t>’</w:t>
      </w:r>
      <w:r>
        <w:rPr>
          <w:rFonts w:ascii="Open Sans" w:hAnsi="Open Sans" w:cs="Open Sans"/>
        </w:rPr>
        <w:t>s clinical governance framework is reviewed to ensure effectiveness.</w:t>
      </w:r>
    </w:p>
    <w:p w14:paraId="2A53592B" w14:textId="77777777" w:rsidR="00532961" w:rsidRDefault="00532961" w:rsidP="00532961">
      <w:pPr>
        <w:pStyle w:val="ListBullet"/>
        <w:numPr>
          <w:ilvl w:val="0"/>
          <w:numId w:val="0"/>
        </w:numPr>
        <w:spacing w:before="0" w:after="120" w:line="22" w:lineRule="atLeast"/>
        <w:rPr>
          <w:rFonts w:ascii="Open Sans" w:hAnsi="Open Sans" w:cs="Open Sans"/>
        </w:rPr>
      </w:pPr>
    </w:p>
    <w:p w14:paraId="6D1CE3DE" w14:textId="77777777" w:rsidR="005707FD" w:rsidRDefault="005707FD">
      <w:pPr>
        <w:spacing w:after="160" w:line="259" w:lineRule="auto"/>
        <w:rPr>
          <w:rFonts w:ascii="Open Sans" w:eastAsia="Yu Gothic Light" w:hAnsi="Open Sans" w:cs="Open Sans"/>
          <w:b/>
          <w:bCs/>
          <w:sz w:val="30"/>
          <w:szCs w:val="28"/>
        </w:rPr>
      </w:pPr>
      <w:r>
        <w:rPr>
          <w:rFonts w:ascii="Open Sans" w:hAnsi="Open Sans" w:cs="Open Sans"/>
        </w:rPr>
        <w:br w:type="page"/>
      </w:r>
    </w:p>
    <w:p w14:paraId="0185E6CD" w14:textId="20EADC94" w:rsidR="00CE23FF" w:rsidRPr="001E694D" w:rsidRDefault="00CE23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C07ED" w14:paraId="0EF249A8" w14:textId="77777777" w:rsidTr="00886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08F3F6E1" w14:textId="77777777" w:rsidR="00CE23FF" w:rsidRPr="001E694D" w:rsidRDefault="00CE23F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1252D641" w14:textId="77777777" w:rsidR="00CE23FF" w:rsidRPr="001E694D" w:rsidRDefault="00CE23F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07ED" w14:paraId="09194B93" w14:textId="77777777" w:rsidTr="00886724">
        <w:tc>
          <w:tcPr>
            <w:cnfStyle w:val="001000000000" w:firstRow="0" w:lastRow="0" w:firstColumn="1" w:lastColumn="0" w:oddVBand="0" w:evenVBand="0" w:oddHBand="0" w:evenHBand="0" w:firstRowFirstColumn="0" w:firstRowLastColumn="0" w:lastRowFirstColumn="0" w:lastRowLastColumn="0"/>
            <w:tcW w:w="930" w:type="pct"/>
          </w:tcPr>
          <w:p w14:paraId="0000592F"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2(3)(a)</w:t>
            </w:r>
          </w:p>
        </w:tc>
        <w:tc>
          <w:tcPr>
            <w:tcW w:w="3170" w:type="pct"/>
          </w:tcPr>
          <w:p w14:paraId="286A232D" w14:textId="77777777" w:rsidR="00CE23FF" w:rsidRPr="001E694D" w:rsidRDefault="00CE23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tcPr>
          <w:p w14:paraId="0AD42EEF" w14:textId="77777777" w:rsidR="00CE23FF" w:rsidRPr="001E694D" w:rsidRDefault="00BC1C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16591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E23FF" w:rsidRPr="001E694D">
                  <w:rPr>
                    <w:rFonts w:ascii="Open Sans" w:hAnsi="Open Sans" w:cs="Open Sans"/>
                  </w:rPr>
                  <w:t>Compliant</w:t>
                </w:r>
              </w:sdtContent>
            </w:sdt>
          </w:p>
        </w:tc>
      </w:tr>
      <w:tr w:rsidR="008C07ED" w14:paraId="31C1022F" w14:textId="77777777" w:rsidTr="008867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633AB66"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674352AD" w14:textId="77777777" w:rsidR="00CE23FF" w:rsidRPr="001E694D" w:rsidRDefault="00CE23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1CC7A2E6" w14:textId="77777777" w:rsidR="00CE23FF" w:rsidRPr="001E694D" w:rsidRDefault="00BC1C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909694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E23FF" w:rsidRPr="001E694D">
                  <w:rPr>
                    <w:rFonts w:ascii="Open Sans" w:hAnsi="Open Sans" w:cs="Open Sans"/>
                  </w:rPr>
                  <w:t>Compliant</w:t>
                </w:r>
              </w:sdtContent>
            </w:sdt>
          </w:p>
        </w:tc>
      </w:tr>
    </w:tbl>
    <w:p w14:paraId="547D9A7E" w14:textId="77777777" w:rsidR="00CE23FF" w:rsidRPr="003E162B" w:rsidRDefault="00CE23FF" w:rsidP="00D87E7C">
      <w:pPr>
        <w:pStyle w:val="Heading20"/>
        <w:rPr>
          <w:rFonts w:ascii="Open Sans" w:hAnsi="Open Sans" w:cs="Open Sans"/>
          <w:color w:val="781E77"/>
        </w:rPr>
      </w:pPr>
      <w:r w:rsidRPr="003E162B">
        <w:rPr>
          <w:rFonts w:ascii="Open Sans" w:hAnsi="Open Sans" w:cs="Open Sans"/>
          <w:color w:val="781E77"/>
        </w:rPr>
        <w:t>Findings</w:t>
      </w:r>
    </w:p>
    <w:p w14:paraId="719CB04F" w14:textId="2C15B6EC" w:rsidR="00CE23FF" w:rsidRDefault="00AC3F52" w:rsidP="0036130C">
      <w:pPr>
        <w:pStyle w:val="NormalArial"/>
        <w:rPr>
          <w:rFonts w:ascii="Open Sans" w:hAnsi="Open Sans" w:cs="Open Sans"/>
        </w:rPr>
      </w:pPr>
      <w:r>
        <w:rPr>
          <w:rFonts w:ascii="Open Sans" w:hAnsi="Open Sans" w:cs="Open Sans"/>
        </w:rPr>
        <w:t xml:space="preserve">The Assessment Team assessed </w:t>
      </w:r>
      <w:r>
        <w:rPr>
          <w:rFonts w:ascii="Open Sans" w:hAnsi="Open Sans" w:cs="Open Sans"/>
          <w:b/>
          <w:bCs/>
        </w:rPr>
        <w:t xml:space="preserve">requirements </w:t>
      </w:r>
      <w:r w:rsidR="006465AF">
        <w:rPr>
          <w:rFonts w:ascii="Open Sans" w:hAnsi="Open Sans" w:cs="Open Sans"/>
          <w:b/>
          <w:bCs/>
        </w:rPr>
        <w:t xml:space="preserve">2(3)(a) and 2(3)(e) </w:t>
      </w:r>
      <w:r w:rsidR="006465AF">
        <w:rPr>
          <w:rFonts w:ascii="Open Sans" w:hAnsi="Open Sans" w:cs="Open Sans"/>
        </w:rPr>
        <w:t>and recommended both met</w:t>
      </w:r>
      <w:r w:rsidR="004D1C08">
        <w:rPr>
          <w:rFonts w:ascii="Open Sans" w:hAnsi="Open Sans" w:cs="Open Sans"/>
        </w:rPr>
        <w:t>. The Assessment Team provided the following information gathered through interview and document review</w:t>
      </w:r>
      <w:r w:rsidR="00867B8E">
        <w:rPr>
          <w:rFonts w:ascii="Open Sans" w:hAnsi="Open Sans" w:cs="Open Sans"/>
        </w:rPr>
        <w:t>.</w:t>
      </w:r>
    </w:p>
    <w:p w14:paraId="173010C5" w14:textId="03B7BAD0" w:rsidR="007B5B0B" w:rsidRDefault="00AA07A8" w:rsidP="0036130C">
      <w:pPr>
        <w:pStyle w:val="NormalArial"/>
        <w:rPr>
          <w:rFonts w:ascii="Open Sans" w:hAnsi="Open Sans" w:cs="Open Sans"/>
        </w:rPr>
      </w:pPr>
      <w:r>
        <w:rPr>
          <w:rFonts w:ascii="Open Sans" w:hAnsi="Open Sans" w:cs="Open Sans"/>
        </w:rPr>
        <w:t>Risks to a consumer</w:t>
      </w:r>
      <w:r w:rsidR="00492747">
        <w:rPr>
          <w:rFonts w:ascii="Open Sans" w:hAnsi="Open Sans" w:cs="Open Sans"/>
        </w:rPr>
        <w:t>’</w:t>
      </w:r>
      <w:r>
        <w:rPr>
          <w:rFonts w:ascii="Open Sans" w:hAnsi="Open Sans" w:cs="Open Sans"/>
        </w:rPr>
        <w:t>s health and wellbeing are being assessed by suitably qualified staff and are regularly reviewed. The provided utilises a range of validated assessment tools that are contained within provider</w:t>
      </w:r>
      <w:r w:rsidR="00492747">
        <w:rPr>
          <w:rFonts w:ascii="Open Sans" w:hAnsi="Open Sans" w:cs="Open Sans"/>
        </w:rPr>
        <w:t>’</w:t>
      </w:r>
      <w:r>
        <w:rPr>
          <w:rFonts w:ascii="Open Sans" w:hAnsi="Open Sans" w:cs="Open Sans"/>
        </w:rPr>
        <w:t>s electronic care management system</w:t>
      </w:r>
      <w:r w:rsidR="00B21878">
        <w:rPr>
          <w:rFonts w:ascii="Open Sans" w:hAnsi="Open Sans" w:cs="Open Sans"/>
        </w:rPr>
        <w:t>, which are used to inform the delivery of care and services. T</w:t>
      </w:r>
      <w:r w:rsidR="002E645C">
        <w:rPr>
          <w:rFonts w:ascii="Open Sans" w:hAnsi="Open Sans" w:cs="Open Sans"/>
        </w:rPr>
        <w:t>he provider has made significant improvements to behaviour support plans, with most reviewed to reflect consumer behaviour, triggers, risks</w:t>
      </w:r>
      <w:r w:rsidR="0004391C">
        <w:rPr>
          <w:rFonts w:ascii="Open Sans" w:hAnsi="Open Sans" w:cs="Open Sans"/>
        </w:rPr>
        <w:t>,</w:t>
      </w:r>
      <w:r w:rsidR="002E645C">
        <w:rPr>
          <w:rFonts w:ascii="Open Sans" w:hAnsi="Open Sans" w:cs="Open Sans"/>
        </w:rPr>
        <w:t xml:space="preserve"> and effectiveness of strategies.</w:t>
      </w:r>
    </w:p>
    <w:p w14:paraId="0BA9B425" w14:textId="606626EF" w:rsidR="002226AF" w:rsidRDefault="002226AF" w:rsidP="0036130C">
      <w:pPr>
        <w:pStyle w:val="NormalArial"/>
        <w:rPr>
          <w:rFonts w:ascii="Open Sans" w:hAnsi="Open Sans" w:cs="Open Sans"/>
        </w:rPr>
      </w:pPr>
      <w:r>
        <w:rPr>
          <w:rFonts w:ascii="Open Sans" w:hAnsi="Open Sans" w:cs="Open Sans"/>
        </w:rPr>
        <w:t>The provider has proactive systems and processes in place to ensure care and servi</w:t>
      </w:r>
      <w:r w:rsidR="009D4704">
        <w:rPr>
          <w:rFonts w:ascii="Open Sans" w:hAnsi="Open Sans" w:cs="Open Sans"/>
        </w:rPr>
        <w:t>c</w:t>
      </w:r>
      <w:r>
        <w:rPr>
          <w:rFonts w:ascii="Open Sans" w:hAnsi="Open Sans" w:cs="Open Sans"/>
        </w:rPr>
        <w:t>es are reviewed regularly for effectiveness, and when circumstances change, or when incidents impact on the needs, goals</w:t>
      </w:r>
      <w:r w:rsidR="0004391C">
        <w:rPr>
          <w:rFonts w:ascii="Open Sans" w:hAnsi="Open Sans" w:cs="Open Sans"/>
        </w:rPr>
        <w:t>,</w:t>
      </w:r>
      <w:r>
        <w:rPr>
          <w:rFonts w:ascii="Open Sans" w:hAnsi="Open Sans" w:cs="Open Sans"/>
        </w:rPr>
        <w:t xml:space="preserve"> and preferences of the consumer</w:t>
      </w:r>
      <w:r w:rsidR="009D4704">
        <w:rPr>
          <w:rFonts w:ascii="Open Sans" w:hAnsi="Open Sans" w:cs="Open Sans"/>
        </w:rPr>
        <w:t xml:space="preserve">. Care documentation sampled </w:t>
      </w:r>
      <w:proofErr w:type="gramStart"/>
      <w:r w:rsidR="00492747">
        <w:rPr>
          <w:rFonts w:ascii="Open Sans" w:hAnsi="Open Sans" w:cs="Open Sans"/>
        </w:rPr>
        <w:t>evidences</w:t>
      </w:r>
      <w:proofErr w:type="gramEnd"/>
      <w:r w:rsidR="009D4704">
        <w:rPr>
          <w:rFonts w:ascii="Open Sans" w:hAnsi="Open Sans" w:cs="Open Sans"/>
        </w:rPr>
        <w:t xml:space="preserve"> assessment</w:t>
      </w:r>
      <w:r w:rsidR="00492747">
        <w:rPr>
          <w:rFonts w:ascii="Open Sans" w:hAnsi="Open Sans" w:cs="Open Sans"/>
        </w:rPr>
        <w:t>,</w:t>
      </w:r>
      <w:r w:rsidR="009D4704">
        <w:rPr>
          <w:rFonts w:ascii="Open Sans" w:hAnsi="Open Sans" w:cs="Open Sans"/>
        </w:rPr>
        <w:t xml:space="preserve"> and consumer care plans </w:t>
      </w:r>
      <w:r w:rsidR="00492747">
        <w:rPr>
          <w:rFonts w:ascii="Open Sans" w:hAnsi="Open Sans" w:cs="Open Sans"/>
        </w:rPr>
        <w:t xml:space="preserve">have </w:t>
      </w:r>
      <w:r w:rsidR="009D4704">
        <w:rPr>
          <w:rFonts w:ascii="Open Sans" w:hAnsi="Open Sans" w:cs="Open Sans"/>
        </w:rPr>
        <w:t xml:space="preserve">been reviewed for effectiveness in July and August 2025, including following an incident or change in a consumer’s condition, needs or preferences. </w:t>
      </w:r>
    </w:p>
    <w:p w14:paraId="5E2B0146" w14:textId="5477304C" w:rsidR="00307CB0" w:rsidRDefault="00307CB0" w:rsidP="0036130C">
      <w:pPr>
        <w:pStyle w:val="NormalArial"/>
        <w:rPr>
          <w:rFonts w:ascii="Open Sans" w:hAnsi="Open Sans" w:cs="Open Sans"/>
        </w:rPr>
      </w:pPr>
      <w:r>
        <w:rPr>
          <w:rFonts w:ascii="Open Sans" w:hAnsi="Open Sans" w:cs="Open Sans"/>
        </w:rPr>
        <w:t xml:space="preserve">Based on the Assessment Team’s report, I find requirements 2(3)(a) and 2(3)(e) compliant. </w:t>
      </w:r>
    </w:p>
    <w:p w14:paraId="3EC16102" w14:textId="77777777" w:rsidR="004D1C08" w:rsidRPr="006465AF" w:rsidRDefault="004D1C08" w:rsidP="0036130C">
      <w:pPr>
        <w:pStyle w:val="NormalArial"/>
        <w:rPr>
          <w:rFonts w:ascii="Open Sans" w:hAnsi="Open Sans" w:cs="Open Sans"/>
        </w:rPr>
      </w:pPr>
    </w:p>
    <w:p w14:paraId="2324AD0E" w14:textId="77777777" w:rsidR="00CE23FF" w:rsidRPr="001E694D" w:rsidRDefault="00CE23F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510FAA5B" w14:textId="77777777" w:rsidR="00CE23FF" w:rsidRPr="001E694D" w:rsidRDefault="00CE23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89"/>
        <w:gridCol w:w="1843"/>
      </w:tblGrid>
      <w:tr w:rsidR="008C07ED" w14:paraId="2D980464" w14:textId="77777777" w:rsidTr="00B64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61074EB5" w14:textId="77777777" w:rsidR="00CE23FF" w:rsidRPr="001E694D" w:rsidRDefault="00CE23F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43" w:type="dxa"/>
            <w:shd w:val="clear" w:color="auto" w:fill="781E77"/>
          </w:tcPr>
          <w:p w14:paraId="706353F0" w14:textId="77777777" w:rsidR="00CE23FF" w:rsidRPr="001E694D" w:rsidRDefault="00CE23F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07ED" w14:paraId="008F032B" w14:textId="77777777" w:rsidTr="00B6472E">
        <w:tc>
          <w:tcPr>
            <w:cnfStyle w:val="001000000000" w:firstRow="0" w:lastRow="0" w:firstColumn="1" w:lastColumn="0" w:oddVBand="0" w:evenVBand="0" w:oddHBand="0" w:evenHBand="0" w:firstRowFirstColumn="0" w:firstRowLastColumn="0" w:lastRowFirstColumn="0" w:lastRowLastColumn="0"/>
            <w:tcW w:w="0" w:type="auto"/>
          </w:tcPr>
          <w:p w14:paraId="3BED40E0"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3(3)(a)</w:t>
            </w:r>
          </w:p>
        </w:tc>
        <w:tc>
          <w:tcPr>
            <w:tcW w:w="5689" w:type="dxa"/>
          </w:tcPr>
          <w:p w14:paraId="17DEB555" w14:textId="77777777" w:rsidR="00CE23FF" w:rsidRPr="001E694D" w:rsidRDefault="00CE23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5DF3D31" w14:textId="77777777" w:rsidR="00CE23FF" w:rsidRPr="001E694D" w:rsidRDefault="00CE23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03B6D4B" w14:textId="77777777" w:rsidR="00CE23FF" w:rsidRPr="001E694D" w:rsidRDefault="00CE23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2DCD70D" w14:textId="77777777" w:rsidR="00CE23FF" w:rsidRPr="001E694D" w:rsidRDefault="00CE23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43" w:type="dxa"/>
          </w:tcPr>
          <w:p w14:paraId="5D32CA7D" w14:textId="2A96C4D0" w:rsidR="00CE23FF" w:rsidRPr="001E694D" w:rsidRDefault="00BC1C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3699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54812">
                  <w:rPr>
                    <w:rFonts w:ascii="Open Sans" w:hAnsi="Open Sans" w:cs="Open Sans"/>
                    <w:color w:val="auto"/>
                  </w:rPr>
                  <w:t>Not Compliant</w:t>
                </w:r>
              </w:sdtContent>
            </w:sdt>
          </w:p>
        </w:tc>
      </w:tr>
      <w:tr w:rsidR="008C07ED" w14:paraId="4225E9C4" w14:textId="77777777" w:rsidTr="00B647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792F5D"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3(3)(b)</w:t>
            </w:r>
          </w:p>
        </w:tc>
        <w:tc>
          <w:tcPr>
            <w:tcW w:w="5689" w:type="dxa"/>
            <w:shd w:val="clear" w:color="auto" w:fill="auto"/>
          </w:tcPr>
          <w:p w14:paraId="091AB2BE" w14:textId="77777777" w:rsidR="00CE23FF" w:rsidRPr="001E694D" w:rsidRDefault="00CE23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43" w:type="dxa"/>
            <w:shd w:val="clear" w:color="auto" w:fill="auto"/>
          </w:tcPr>
          <w:p w14:paraId="6047EB97" w14:textId="7D0EA00B" w:rsidR="00CE23FF" w:rsidRPr="001E694D" w:rsidRDefault="00BC1C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92015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54812">
                  <w:rPr>
                    <w:rFonts w:ascii="Open Sans" w:hAnsi="Open Sans" w:cs="Open Sans"/>
                    <w:color w:val="auto"/>
                  </w:rPr>
                  <w:t>Not Compliant</w:t>
                </w:r>
              </w:sdtContent>
            </w:sdt>
          </w:p>
        </w:tc>
      </w:tr>
    </w:tbl>
    <w:p w14:paraId="2AE55E98" w14:textId="77777777" w:rsidR="00CE23FF" w:rsidRPr="003E162B" w:rsidRDefault="00CE23FF" w:rsidP="00D87E7C">
      <w:pPr>
        <w:pStyle w:val="Heading20"/>
        <w:rPr>
          <w:rFonts w:ascii="Open Sans" w:hAnsi="Open Sans" w:cs="Open Sans"/>
          <w:color w:val="781E77"/>
        </w:rPr>
      </w:pPr>
      <w:r w:rsidRPr="003E162B">
        <w:rPr>
          <w:rFonts w:ascii="Open Sans" w:hAnsi="Open Sans" w:cs="Open Sans"/>
          <w:color w:val="781E77"/>
        </w:rPr>
        <w:t>Findings</w:t>
      </w:r>
    </w:p>
    <w:p w14:paraId="3C6AAA23" w14:textId="60AC7DB7" w:rsidR="00CE23FF" w:rsidRDefault="00C400A7" w:rsidP="0036130C">
      <w:pPr>
        <w:pStyle w:val="NormalArial"/>
        <w:rPr>
          <w:rFonts w:ascii="Open Sans" w:hAnsi="Open Sans" w:cs="Open Sans"/>
        </w:rPr>
      </w:pPr>
      <w:r>
        <w:rPr>
          <w:rFonts w:ascii="Open Sans" w:hAnsi="Open Sans" w:cs="Open Sans"/>
        </w:rPr>
        <w:t xml:space="preserve">This Quality Standard is non-compliant as the 2 requirements assessed are non-compliant. </w:t>
      </w:r>
    </w:p>
    <w:p w14:paraId="62B6BEBF" w14:textId="21640968" w:rsidR="008B3F4E" w:rsidRDefault="00B944C9" w:rsidP="0036130C">
      <w:pPr>
        <w:pStyle w:val="NormalArial"/>
        <w:rPr>
          <w:rFonts w:ascii="Open Sans" w:hAnsi="Open Sans" w:cs="Open Sans"/>
        </w:rPr>
      </w:pPr>
      <w:r>
        <w:rPr>
          <w:rFonts w:ascii="Open Sans" w:hAnsi="Open Sans" w:cs="Open Sans"/>
          <w:b/>
          <w:bCs/>
        </w:rPr>
        <w:t>Requirement 3(</w:t>
      </w:r>
      <w:r w:rsidR="008B6AB5">
        <w:rPr>
          <w:rFonts w:ascii="Open Sans" w:hAnsi="Open Sans" w:cs="Open Sans"/>
          <w:b/>
          <w:bCs/>
        </w:rPr>
        <w:t xml:space="preserve">3)(a) </w:t>
      </w:r>
      <w:r w:rsidR="008B6AB5">
        <w:rPr>
          <w:rFonts w:ascii="Open Sans" w:hAnsi="Open Sans" w:cs="Open Sans"/>
        </w:rPr>
        <w:t xml:space="preserve">– The Assessment Team found </w:t>
      </w:r>
      <w:r w:rsidR="0001119C">
        <w:rPr>
          <w:rFonts w:ascii="Open Sans" w:hAnsi="Open Sans" w:cs="Open Sans"/>
        </w:rPr>
        <w:t xml:space="preserve">each consumer was not receiving </w:t>
      </w:r>
      <w:r w:rsidR="008B3CB8">
        <w:rPr>
          <w:rFonts w:ascii="Open Sans" w:hAnsi="Open Sans" w:cs="Open Sans"/>
        </w:rPr>
        <w:t xml:space="preserve">safe and effective </w:t>
      </w:r>
      <w:r w:rsidR="0001119C">
        <w:rPr>
          <w:rFonts w:ascii="Open Sans" w:hAnsi="Open Sans" w:cs="Open Sans"/>
        </w:rPr>
        <w:t>personal and clinical care</w:t>
      </w:r>
      <w:r w:rsidR="008B3CB8">
        <w:rPr>
          <w:rFonts w:ascii="Open Sans" w:hAnsi="Open Sans" w:cs="Open Sans"/>
        </w:rPr>
        <w:t>, including in relation to</w:t>
      </w:r>
      <w:r w:rsidR="008B3F4E">
        <w:rPr>
          <w:rFonts w:ascii="Open Sans" w:hAnsi="Open Sans" w:cs="Open Sans"/>
        </w:rPr>
        <w:t xml:space="preserve"> skin integrity, behaviour support and restrictive practice. The Assessment Team recommended requirement 3(3)(a) not met, and provided the following information gathered through interviews and document review.</w:t>
      </w:r>
    </w:p>
    <w:p w14:paraId="717A1F1A" w14:textId="79350B56" w:rsidR="008B3F4E" w:rsidRDefault="00E342B9" w:rsidP="0036130C">
      <w:pPr>
        <w:pStyle w:val="NormalArial"/>
        <w:rPr>
          <w:rFonts w:ascii="Open Sans" w:hAnsi="Open Sans" w:cs="Open Sans"/>
        </w:rPr>
      </w:pPr>
      <w:r>
        <w:rPr>
          <w:rFonts w:ascii="Open Sans" w:hAnsi="Open Sans" w:cs="Open Sans"/>
        </w:rPr>
        <w:t xml:space="preserve">In relation to skin integrity, </w:t>
      </w:r>
      <w:r w:rsidR="001109BC">
        <w:rPr>
          <w:rFonts w:ascii="Open Sans" w:hAnsi="Open Sans" w:cs="Open Sans"/>
        </w:rPr>
        <w:t>Consumer A</w:t>
      </w:r>
      <w:r w:rsidR="00177B86">
        <w:rPr>
          <w:rFonts w:ascii="Open Sans" w:hAnsi="Open Sans" w:cs="Open Sans"/>
        </w:rPr>
        <w:t xml:space="preserve"> returned from hospital </w:t>
      </w:r>
      <w:r w:rsidR="00122747">
        <w:rPr>
          <w:rFonts w:ascii="Open Sans" w:hAnsi="Open Sans" w:cs="Open Sans"/>
        </w:rPr>
        <w:t xml:space="preserve">in July 2025 </w:t>
      </w:r>
      <w:r w:rsidR="00177B86">
        <w:rPr>
          <w:rFonts w:ascii="Open Sans" w:hAnsi="Open Sans" w:cs="Open Sans"/>
        </w:rPr>
        <w:t xml:space="preserve">with incontinence associated dermatitis (IAD), </w:t>
      </w:r>
      <w:r w:rsidR="00213BA8">
        <w:rPr>
          <w:rFonts w:ascii="Open Sans" w:hAnsi="Open Sans" w:cs="Open Sans"/>
        </w:rPr>
        <w:t>and the wound chart initially identified wound care should be undertaken each day</w:t>
      </w:r>
      <w:r w:rsidR="00E63A06">
        <w:rPr>
          <w:rFonts w:ascii="Open Sans" w:hAnsi="Open Sans" w:cs="Open Sans"/>
        </w:rPr>
        <w:t>.</w:t>
      </w:r>
      <w:r w:rsidR="00122747">
        <w:rPr>
          <w:rFonts w:ascii="Open Sans" w:hAnsi="Open Sans" w:cs="Open Sans"/>
        </w:rPr>
        <w:t xml:space="preserve"> In August</w:t>
      </w:r>
      <w:r w:rsidR="00E63A06">
        <w:rPr>
          <w:rFonts w:ascii="Open Sans" w:hAnsi="Open Sans" w:cs="Open Sans"/>
        </w:rPr>
        <w:t xml:space="preserve"> </w:t>
      </w:r>
      <w:r w:rsidR="00122747">
        <w:rPr>
          <w:rFonts w:ascii="Open Sans" w:hAnsi="Open Sans" w:cs="Open Sans"/>
        </w:rPr>
        <w:t xml:space="preserve">2025, the wound was reclassified and the dressing changed to second daily wound care. </w:t>
      </w:r>
      <w:r w:rsidR="00E63A06">
        <w:rPr>
          <w:rFonts w:ascii="Open Sans" w:hAnsi="Open Sans" w:cs="Open Sans"/>
        </w:rPr>
        <w:t xml:space="preserve">Care documentation did not evidence a formal clinical assessment was conducted to support </w:t>
      </w:r>
      <w:r w:rsidR="00122747">
        <w:rPr>
          <w:rFonts w:ascii="Open Sans" w:hAnsi="Open Sans" w:cs="Open Sans"/>
        </w:rPr>
        <w:t xml:space="preserve">the reclassification of the wound. A skin assessment identified </w:t>
      </w:r>
      <w:r w:rsidR="00492747">
        <w:rPr>
          <w:rFonts w:ascii="Open Sans" w:hAnsi="Open Sans" w:cs="Open Sans"/>
        </w:rPr>
        <w:t xml:space="preserve">Consumer A </w:t>
      </w:r>
      <w:r w:rsidR="00122747">
        <w:rPr>
          <w:rFonts w:ascii="Open Sans" w:hAnsi="Open Sans" w:cs="Open Sans"/>
        </w:rPr>
        <w:t>as high-risk for pressure related injuries, however</w:t>
      </w:r>
      <w:r w:rsidR="00492747">
        <w:rPr>
          <w:rFonts w:ascii="Open Sans" w:hAnsi="Open Sans" w:cs="Open Sans"/>
        </w:rPr>
        <w:t>,</w:t>
      </w:r>
      <w:r w:rsidR="00122747">
        <w:rPr>
          <w:rFonts w:ascii="Open Sans" w:hAnsi="Open Sans" w:cs="Open Sans"/>
        </w:rPr>
        <w:t xml:space="preserve"> only 2 entries were </w:t>
      </w:r>
      <w:r w:rsidR="00492747">
        <w:rPr>
          <w:rFonts w:ascii="Open Sans" w:hAnsi="Open Sans" w:cs="Open Sans"/>
        </w:rPr>
        <w:t xml:space="preserve">noted </w:t>
      </w:r>
      <w:r w:rsidR="00122747">
        <w:rPr>
          <w:rFonts w:ascii="Open Sans" w:hAnsi="Open Sans" w:cs="Open Sans"/>
        </w:rPr>
        <w:t xml:space="preserve">on repositioning charts over a period of several weeks. </w:t>
      </w:r>
      <w:r w:rsidR="007C5BE5">
        <w:rPr>
          <w:rFonts w:ascii="Open Sans" w:hAnsi="Open Sans" w:cs="Open Sans"/>
        </w:rPr>
        <w:t xml:space="preserve">Clinical staff reported </w:t>
      </w:r>
      <w:r w:rsidR="007E1DBE">
        <w:rPr>
          <w:rFonts w:ascii="Open Sans" w:hAnsi="Open Sans" w:cs="Open Sans"/>
        </w:rPr>
        <w:t>the consumer</w:t>
      </w:r>
      <w:r w:rsidR="00492747">
        <w:rPr>
          <w:rFonts w:ascii="Open Sans" w:hAnsi="Open Sans" w:cs="Open Sans"/>
        </w:rPr>
        <w:t>’</w:t>
      </w:r>
      <w:r w:rsidR="007E1DBE">
        <w:rPr>
          <w:rFonts w:ascii="Open Sans" w:hAnsi="Open Sans" w:cs="Open Sans"/>
        </w:rPr>
        <w:t>s pain contributes to reduced mobility, and the consumer was referred to the medical officer and prescribed a strong analgesi</w:t>
      </w:r>
      <w:r w:rsidR="00766C6D">
        <w:rPr>
          <w:rFonts w:ascii="Open Sans" w:hAnsi="Open Sans" w:cs="Open Sans"/>
        </w:rPr>
        <w:t>c. A pain assessment plan was in place, however, there was no documentation to support the ongoing monitoring of p</w:t>
      </w:r>
      <w:r w:rsidR="00E9439B">
        <w:rPr>
          <w:rFonts w:ascii="Open Sans" w:hAnsi="Open Sans" w:cs="Open Sans"/>
        </w:rPr>
        <w:t xml:space="preserve">ain, and pain management was </w:t>
      </w:r>
      <w:r w:rsidR="00492747">
        <w:rPr>
          <w:rFonts w:ascii="Open Sans" w:hAnsi="Open Sans" w:cs="Open Sans"/>
        </w:rPr>
        <w:t xml:space="preserve">noted </w:t>
      </w:r>
      <w:r w:rsidR="00E9439B">
        <w:rPr>
          <w:rFonts w:ascii="Open Sans" w:hAnsi="Open Sans" w:cs="Open Sans"/>
        </w:rPr>
        <w:t xml:space="preserve">to be reactive, not proactive. </w:t>
      </w:r>
    </w:p>
    <w:p w14:paraId="3B366A88" w14:textId="245C80E8" w:rsidR="00E9439B" w:rsidRDefault="001109BC" w:rsidP="0036130C">
      <w:pPr>
        <w:pStyle w:val="NormalArial"/>
        <w:rPr>
          <w:rFonts w:ascii="Open Sans" w:hAnsi="Open Sans" w:cs="Open Sans"/>
        </w:rPr>
      </w:pPr>
      <w:r>
        <w:rPr>
          <w:rFonts w:ascii="Open Sans" w:hAnsi="Open Sans" w:cs="Open Sans"/>
        </w:rPr>
        <w:t xml:space="preserve">Consumer B </w:t>
      </w:r>
      <w:r w:rsidR="009C6E6C">
        <w:rPr>
          <w:rFonts w:ascii="Open Sans" w:hAnsi="Open Sans" w:cs="Open Sans"/>
        </w:rPr>
        <w:t xml:space="preserve">is diagnosed with a severe cognitive impairment, is non-verbal and remains in bed </w:t>
      </w:r>
      <w:r w:rsidR="009C56C3">
        <w:rPr>
          <w:rFonts w:ascii="Open Sans" w:hAnsi="Open Sans" w:cs="Open Sans"/>
        </w:rPr>
        <w:t>for most of the day, with mobilisation to a chair every other day. Consumer B developed an unsta</w:t>
      </w:r>
      <w:r w:rsidR="00F255A3">
        <w:rPr>
          <w:rFonts w:ascii="Open Sans" w:hAnsi="Open Sans" w:cs="Open Sans"/>
        </w:rPr>
        <w:t xml:space="preserve">geable pressure injury, and care documentation identifies them as at high risk of pressure injuries. </w:t>
      </w:r>
      <w:r w:rsidR="000A2E8C">
        <w:rPr>
          <w:rFonts w:ascii="Open Sans" w:hAnsi="Open Sans" w:cs="Open Sans"/>
        </w:rPr>
        <w:t xml:space="preserve">Wound charting demonstrates </w:t>
      </w:r>
      <w:r w:rsidR="00AE55AD">
        <w:rPr>
          <w:rFonts w:ascii="Open Sans" w:hAnsi="Open Sans" w:cs="Open Sans"/>
        </w:rPr>
        <w:t xml:space="preserve">wound care was undertaken in line with the care </w:t>
      </w:r>
      <w:proofErr w:type="gramStart"/>
      <w:r w:rsidR="00AE55AD">
        <w:rPr>
          <w:rFonts w:ascii="Open Sans" w:hAnsi="Open Sans" w:cs="Open Sans"/>
        </w:rPr>
        <w:t>plan,</w:t>
      </w:r>
      <w:proofErr w:type="gramEnd"/>
      <w:r w:rsidR="00AE55AD">
        <w:rPr>
          <w:rFonts w:ascii="Open Sans" w:hAnsi="Open Sans" w:cs="Open Sans"/>
        </w:rPr>
        <w:t xml:space="preserve"> however, the most recent skin assessment did not include reference to the wound</w:t>
      </w:r>
      <w:r w:rsidR="009C4812">
        <w:rPr>
          <w:rFonts w:ascii="Open Sans" w:hAnsi="Open Sans" w:cs="Open Sans"/>
        </w:rPr>
        <w:t xml:space="preserve">. </w:t>
      </w:r>
      <w:r w:rsidR="009C4812">
        <w:rPr>
          <w:rFonts w:ascii="Open Sans" w:hAnsi="Open Sans" w:cs="Open Sans"/>
        </w:rPr>
        <w:lastRenderedPageBreak/>
        <w:t>Repositioning charting only contained a few entries</w:t>
      </w:r>
      <w:r w:rsidR="00AD581E">
        <w:rPr>
          <w:rFonts w:ascii="Open Sans" w:hAnsi="Open Sans" w:cs="Open Sans"/>
        </w:rPr>
        <w:t>. A representative for Consumer B ad</w:t>
      </w:r>
      <w:r w:rsidR="007B6597">
        <w:rPr>
          <w:rFonts w:ascii="Open Sans" w:hAnsi="Open Sans" w:cs="Open Sans"/>
        </w:rPr>
        <w:t>vised past care plans were provided without the opportunity for input or requests for changes.</w:t>
      </w:r>
    </w:p>
    <w:p w14:paraId="60F89F34" w14:textId="39091DF7" w:rsidR="00B4053E" w:rsidRDefault="00B4053E" w:rsidP="0036130C">
      <w:pPr>
        <w:pStyle w:val="NormalArial"/>
        <w:rPr>
          <w:rFonts w:ascii="Open Sans" w:hAnsi="Open Sans" w:cs="Open Sans"/>
        </w:rPr>
      </w:pPr>
      <w:r>
        <w:rPr>
          <w:rFonts w:ascii="Open Sans" w:hAnsi="Open Sans" w:cs="Open Sans"/>
        </w:rPr>
        <w:t xml:space="preserve">Consumer C was observed to have a bruise on their hip on </w:t>
      </w:r>
      <w:r w:rsidR="0073699D">
        <w:rPr>
          <w:rFonts w:ascii="Open Sans" w:hAnsi="Open Sans" w:cs="Open Sans"/>
        </w:rPr>
        <w:t>the morning of 3 August</w:t>
      </w:r>
      <w:r w:rsidR="00492747">
        <w:rPr>
          <w:rFonts w:ascii="Open Sans" w:hAnsi="Open Sans" w:cs="Open Sans"/>
        </w:rPr>
        <w:t xml:space="preserve"> 2025</w:t>
      </w:r>
      <w:r w:rsidR="0073699D">
        <w:rPr>
          <w:rFonts w:ascii="Open Sans" w:hAnsi="Open Sans" w:cs="Open Sans"/>
        </w:rPr>
        <w:t xml:space="preserve">, with wound charting not commenced until the following day. </w:t>
      </w:r>
      <w:r w:rsidR="0091523E">
        <w:rPr>
          <w:rFonts w:ascii="Open Sans" w:hAnsi="Open Sans" w:cs="Open Sans"/>
        </w:rPr>
        <w:t xml:space="preserve">Wound charting evidenced </w:t>
      </w:r>
      <w:r w:rsidR="00EF7C83">
        <w:rPr>
          <w:rFonts w:ascii="Open Sans" w:hAnsi="Open Sans" w:cs="Open Sans"/>
        </w:rPr>
        <w:t xml:space="preserve">photographs attached to the chart </w:t>
      </w:r>
      <w:r w:rsidR="00DA63C0">
        <w:rPr>
          <w:rFonts w:ascii="Open Sans" w:hAnsi="Open Sans" w:cs="Open Sans"/>
        </w:rPr>
        <w:t xml:space="preserve">were of Consumer C’s arm. </w:t>
      </w:r>
      <w:r w:rsidR="004578AB">
        <w:rPr>
          <w:rFonts w:ascii="Open Sans" w:hAnsi="Open Sans" w:cs="Open Sans"/>
        </w:rPr>
        <w:t>Clinical staff acknowledged the deficits in the delay in wound charting</w:t>
      </w:r>
      <w:r w:rsidR="004649FF">
        <w:rPr>
          <w:rFonts w:ascii="Open Sans" w:hAnsi="Open Sans" w:cs="Open Sans"/>
        </w:rPr>
        <w:t>.</w:t>
      </w:r>
    </w:p>
    <w:p w14:paraId="4AC43649" w14:textId="781B8B9C" w:rsidR="004649FF" w:rsidRDefault="004649FF" w:rsidP="0036130C">
      <w:pPr>
        <w:pStyle w:val="NormalArial"/>
        <w:rPr>
          <w:rFonts w:ascii="Open Sans" w:hAnsi="Open Sans" w:cs="Open Sans"/>
        </w:rPr>
      </w:pPr>
      <w:r>
        <w:rPr>
          <w:rFonts w:ascii="Open Sans" w:hAnsi="Open Sans" w:cs="Open Sans"/>
        </w:rPr>
        <w:t>In relation to behaviour support and restrictive practices,</w:t>
      </w:r>
      <w:r w:rsidR="003543BE">
        <w:rPr>
          <w:rFonts w:ascii="Open Sans" w:hAnsi="Open Sans" w:cs="Open Sans"/>
        </w:rPr>
        <w:t xml:space="preserve"> Consumer D has a diagnosis of Parkinson’</w:t>
      </w:r>
      <w:r w:rsidR="00F00E4D">
        <w:rPr>
          <w:rFonts w:ascii="Open Sans" w:hAnsi="Open Sans" w:cs="Open Sans"/>
        </w:rPr>
        <w:t>s</w:t>
      </w:r>
      <w:r w:rsidR="003543BE">
        <w:rPr>
          <w:rFonts w:ascii="Open Sans" w:hAnsi="Open Sans" w:cs="Open Sans"/>
        </w:rPr>
        <w:t xml:space="preserve"> disease and an acquired br</w:t>
      </w:r>
      <w:r w:rsidR="00492747">
        <w:rPr>
          <w:rFonts w:ascii="Open Sans" w:hAnsi="Open Sans" w:cs="Open Sans"/>
        </w:rPr>
        <w:t>a</w:t>
      </w:r>
      <w:r w:rsidR="003543BE">
        <w:rPr>
          <w:rFonts w:ascii="Open Sans" w:hAnsi="Open Sans" w:cs="Open Sans"/>
        </w:rPr>
        <w:t>in injury</w:t>
      </w:r>
      <w:r w:rsidR="00AA71E6">
        <w:rPr>
          <w:rFonts w:ascii="Open Sans" w:hAnsi="Open Sans" w:cs="Open Sans"/>
        </w:rPr>
        <w:t xml:space="preserve">. </w:t>
      </w:r>
      <w:r w:rsidR="00EF4BEA">
        <w:rPr>
          <w:rFonts w:ascii="Open Sans" w:hAnsi="Open Sans" w:cs="Open Sans"/>
        </w:rPr>
        <w:t xml:space="preserve">The representative advised </w:t>
      </w:r>
      <w:r w:rsidR="00F00E4D">
        <w:rPr>
          <w:rFonts w:ascii="Open Sans" w:hAnsi="Open Sans" w:cs="Open Sans"/>
        </w:rPr>
        <w:t>they are happy with the care and services provided.</w:t>
      </w:r>
      <w:r w:rsidR="00994D52">
        <w:rPr>
          <w:rFonts w:ascii="Open Sans" w:hAnsi="Open Sans" w:cs="Open Sans"/>
        </w:rPr>
        <w:t xml:space="preserve"> The behaviour support plan for Consumer D contained generic strategies, with limited person-specific detail</w:t>
      </w:r>
      <w:r w:rsidR="00150CE5">
        <w:rPr>
          <w:rFonts w:ascii="Open Sans" w:hAnsi="Open Sans" w:cs="Open Sans"/>
        </w:rPr>
        <w:t>. Care documentation showed increased behaviours in early August</w:t>
      </w:r>
      <w:r w:rsidR="00492747">
        <w:rPr>
          <w:rFonts w:ascii="Open Sans" w:hAnsi="Open Sans" w:cs="Open Sans"/>
        </w:rPr>
        <w:t xml:space="preserve"> 2025</w:t>
      </w:r>
      <w:r w:rsidR="00150CE5">
        <w:rPr>
          <w:rFonts w:ascii="Open Sans" w:hAnsi="Open Sans" w:cs="Open Sans"/>
        </w:rPr>
        <w:t>,</w:t>
      </w:r>
      <w:r w:rsidR="00307723">
        <w:rPr>
          <w:rFonts w:ascii="Open Sans" w:hAnsi="Open Sans" w:cs="Open Sans"/>
        </w:rPr>
        <w:t xml:space="preserve"> including agitation and yelling. Documented interventions were not personalised</w:t>
      </w:r>
      <w:r w:rsidR="00AC0D88">
        <w:rPr>
          <w:rFonts w:ascii="Open Sans" w:hAnsi="Open Sans" w:cs="Open Sans"/>
        </w:rPr>
        <w:t xml:space="preserve">, and the provider was unable to demonstrate how </w:t>
      </w:r>
      <w:r w:rsidR="000303BE">
        <w:rPr>
          <w:rFonts w:ascii="Open Sans" w:hAnsi="Open Sans" w:cs="Open Sans"/>
        </w:rPr>
        <w:t xml:space="preserve">strategies were tailored to support Consumer D’s </w:t>
      </w:r>
      <w:r w:rsidR="00BD5297">
        <w:rPr>
          <w:rFonts w:ascii="Open Sans" w:hAnsi="Open Sans" w:cs="Open Sans"/>
        </w:rPr>
        <w:t>behaviours or</w:t>
      </w:r>
      <w:r w:rsidR="00AA12F3">
        <w:rPr>
          <w:rFonts w:ascii="Open Sans" w:hAnsi="Open Sans" w:cs="Open Sans"/>
        </w:rPr>
        <w:t xml:space="preserve"> provide evidence of an individualised behaviour support plan. </w:t>
      </w:r>
      <w:r w:rsidR="000E6A7B">
        <w:rPr>
          <w:rFonts w:ascii="Open Sans" w:hAnsi="Open Sans" w:cs="Open Sans"/>
        </w:rPr>
        <w:t>Care charting did not include a structured plan for toileting beyond standard continence support, and the lifestyle chart contained only limited entries</w:t>
      </w:r>
      <w:r w:rsidR="00F05B5E">
        <w:rPr>
          <w:rFonts w:ascii="Open Sans" w:hAnsi="Open Sans" w:cs="Open Sans"/>
        </w:rPr>
        <w:t>, which did not reflect Consumer D’s personal preferences or previously active lifestyle</w:t>
      </w:r>
      <w:r w:rsidR="00AD2DAE">
        <w:rPr>
          <w:rFonts w:ascii="Open Sans" w:hAnsi="Open Sans" w:cs="Open Sans"/>
        </w:rPr>
        <w:t xml:space="preserve">. Consumer D is subject to chemical and environmental </w:t>
      </w:r>
      <w:r w:rsidR="00BD5297">
        <w:rPr>
          <w:rFonts w:ascii="Open Sans" w:hAnsi="Open Sans" w:cs="Open Sans"/>
        </w:rPr>
        <w:t>restraint;</w:t>
      </w:r>
      <w:r w:rsidR="00C81DC5">
        <w:rPr>
          <w:rFonts w:ascii="Open Sans" w:hAnsi="Open Sans" w:cs="Open Sans"/>
        </w:rPr>
        <w:t xml:space="preserve"> however</w:t>
      </w:r>
      <w:r w:rsidR="00492747">
        <w:rPr>
          <w:rFonts w:ascii="Open Sans" w:hAnsi="Open Sans" w:cs="Open Sans"/>
        </w:rPr>
        <w:t>,</w:t>
      </w:r>
      <w:r w:rsidR="00C81DC5">
        <w:rPr>
          <w:rFonts w:ascii="Open Sans" w:hAnsi="Open Sans" w:cs="Open Sans"/>
        </w:rPr>
        <w:t xml:space="preserve"> the provider could not demonstrate effective monitoring of prescribed psychotropic medication.</w:t>
      </w:r>
    </w:p>
    <w:p w14:paraId="6AC50777" w14:textId="007CF6D5" w:rsidR="00F8309C" w:rsidRDefault="00C61826" w:rsidP="0036130C">
      <w:pPr>
        <w:pStyle w:val="NormalArial"/>
        <w:rPr>
          <w:rFonts w:ascii="Open Sans" w:hAnsi="Open Sans" w:cs="Open Sans"/>
        </w:rPr>
      </w:pPr>
      <w:r>
        <w:rPr>
          <w:rFonts w:ascii="Open Sans" w:hAnsi="Open Sans" w:cs="Open Sans"/>
        </w:rPr>
        <w:t>Consumer E lives with dementia and is subject to chemical restraint</w:t>
      </w:r>
      <w:r w:rsidR="00B16A5E">
        <w:rPr>
          <w:rFonts w:ascii="Open Sans" w:hAnsi="Open Sans" w:cs="Open Sans"/>
        </w:rPr>
        <w:t xml:space="preserve">. A representative for </w:t>
      </w:r>
      <w:r w:rsidR="00E16150">
        <w:rPr>
          <w:rFonts w:ascii="Open Sans" w:hAnsi="Open Sans" w:cs="Open Sans"/>
        </w:rPr>
        <w:t>C</w:t>
      </w:r>
      <w:r w:rsidR="00B16A5E">
        <w:rPr>
          <w:rFonts w:ascii="Open Sans" w:hAnsi="Open Sans" w:cs="Open Sans"/>
        </w:rPr>
        <w:t xml:space="preserve">onsumer E advised they are not happy with the care, they have never received a care plan and </w:t>
      </w:r>
      <w:r w:rsidR="00DD0E27">
        <w:rPr>
          <w:rFonts w:ascii="Open Sans" w:hAnsi="Open Sans" w:cs="Open Sans"/>
        </w:rPr>
        <w:t xml:space="preserve">have not signed a consent form in the last 12 months, causing confusion around medications. </w:t>
      </w:r>
      <w:r w:rsidR="008A55FA">
        <w:rPr>
          <w:rFonts w:ascii="Open Sans" w:hAnsi="Open Sans" w:cs="Open Sans"/>
        </w:rPr>
        <w:t>The provider</w:t>
      </w:r>
      <w:r w:rsidR="001E4B14">
        <w:rPr>
          <w:rFonts w:ascii="Open Sans" w:hAnsi="Open Sans" w:cs="Open Sans"/>
        </w:rPr>
        <w:t xml:space="preserve"> </w:t>
      </w:r>
      <w:r w:rsidR="008A55FA">
        <w:rPr>
          <w:rFonts w:ascii="Open Sans" w:hAnsi="Open Sans" w:cs="Open Sans"/>
        </w:rPr>
        <w:t>was unable to provide</w:t>
      </w:r>
      <w:r w:rsidR="00156DA4">
        <w:rPr>
          <w:rFonts w:ascii="Open Sans" w:hAnsi="Open Sans" w:cs="Open Sans"/>
        </w:rPr>
        <w:t xml:space="preserve"> </w:t>
      </w:r>
      <w:r w:rsidR="003759BE">
        <w:rPr>
          <w:rFonts w:ascii="Open Sans" w:hAnsi="Open Sans" w:cs="Open Sans"/>
        </w:rPr>
        <w:t xml:space="preserve">evidence </w:t>
      </w:r>
      <w:r w:rsidR="00F8309C">
        <w:rPr>
          <w:rFonts w:ascii="Open Sans" w:hAnsi="Open Sans" w:cs="Open Sans"/>
        </w:rPr>
        <w:t xml:space="preserve">that informed consent was effectively monitored and managed. Consumer E has a </w:t>
      </w:r>
      <w:r w:rsidR="00AD1DD5">
        <w:rPr>
          <w:rFonts w:ascii="Open Sans" w:hAnsi="Open Sans" w:cs="Open Sans"/>
        </w:rPr>
        <w:t>behaviour support plan and behaviour charting records ongoing changed behaviours</w:t>
      </w:r>
      <w:r w:rsidR="000379F3">
        <w:rPr>
          <w:rFonts w:ascii="Open Sans" w:hAnsi="Open Sans" w:cs="Open Sans"/>
        </w:rPr>
        <w:t xml:space="preserve">, </w:t>
      </w:r>
      <w:r w:rsidR="00492747">
        <w:rPr>
          <w:rFonts w:ascii="Open Sans" w:hAnsi="Open Sans" w:cs="Open Sans"/>
        </w:rPr>
        <w:t xml:space="preserve">however, </w:t>
      </w:r>
      <w:r w:rsidR="000379F3">
        <w:rPr>
          <w:rFonts w:ascii="Open Sans" w:hAnsi="Open Sans" w:cs="Open Sans"/>
        </w:rPr>
        <w:t xml:space="preserve">strategies to support these behaviours were generic. </w:t>
      </w:r>
      <w:r w:rsidR="002B33C2">
        <w:rPr>
          <w:rFonts w:ascii="Open Sans" w:hAnsi="Open Sans" w:cs="Open Sans"/>
        </w:rPr>
        <w:t>The provider was unable to demonstra</w:t>
      </w:r>
      <w:r w:rsidR="00C63239">
        <w:rPr>
          <w:rFonts w:ascii="Open Sans" w:hAnsi="Open Sans" w:cs="Open Sans"/>
        </w:rPr>
        <w:t xml:space="preserve">te that post referral recommendations from external specialists were documented and implemented by staff. </w:t>
      </w:r>
    </w:p>
    <w:p w14:paraId="5BCC1070" w14:textId="30FCB765" w:rsidR="00D10629" w:rsidRPr="008B6AB5" w:rsidRDefault="00FD424E" w:rsidP="0036130C">
      <w:pPr>
        <w:pStyle w:val="NormalArial"/>
        <w:rPr>
          <w:rFonts w:ascii="Open Sans" w:hAnsi="Open Sans" w:cs="Open Sans"/>
        </w:rPr>
      </w:pPr>
      <w:r>
        <w:rPr>
          <w:rFonts w:ascii="Open Sans" w:hAnsi="Open Sans" w:cs="Open Sans"/>
        </w:rPr>
        <w:t>Consumer F is prescribed a pain patch</w:t>
      </w:r>
      <w:r w:rsidR="00060CCE">
        <w:rPr>
          <w:rFonts w:ascii="Open Sans" w:hAnsi="Open Sans" w:cs="Open Sans"/>
        </w:rPr>
        <w:t xml:space="preserve"> and anti-depressants</w:t>
      </w:r>
      <w:r w:rsidR="0029129B">
        <w:rPr>
          <w:rFonts w:ascii="Open Sans" w:hAnsi="Open Sans" w:cs="Open Sans"/>
        </w:rPr>
        <w:t xml:space="preserve">. </w:t>
      </w:r>
      <w:r w:rsidR="00492747">
        <w:rPr>
          <w:rFonts w:ascii="Open Sans" w:hAnsi="Open Sans" w:cs="Open Sans"/>
        </w:rPr>
        <w:t xml:space="preserve">On </w:t>
      </w:r>
      <w:r w:rsidR="0029129B">
        <w:rPr>
          <w:rFonts w:ascii="Open Sans" w:hAnsi="Open Sans" w:cs="Open Sans"/>
        </w:rPr>
        <w:t>on</w:t>
      </w:r>
      <w:r w:rsidR="00492747">
        <w:rPr>
          <w:rFonts w:ascii="Open Sans" w:hAnsi="Open Sans" w:cs="Open Sans"/>
        </w:rPr>
        <w:t>e</w:t>
      </w:r>
      <w:r w:rsidR="0029129B">
        <w:rPr>
          <w:rFonts w:ascii="Open Sans" w:hAnsi="Open Sans" w:cs="Open Sans"/>
        </w:rPr>
        <w:t xml:space="preserve"> </w:t>
      </w:r>
      <w:r w:rsidR="0004391C">
        <w:rPr>
          <w:rFonts w:ascii="Open Sans" w:hAnsi="Open Sans" w:cs="Open Sans"/>
        </w:rPr>
        <w:t>occasion</w:t>
      </w:r>
      <w:r w:rsidR="0029129B">
        <w:rPr>
          <w:rFonts w:ascii="Open Sans" w:hAnsi="Open Sans" w:cs="Open Sans"/>
        </w:rPr>
        <w:t xml:space="preserve">, the pain patch was not applied due to stock availability, and on another occasion the patch was applied 19 hours late. </w:t>
      </w:r>
      <w:r w:rsidR="00E3157D">
        <w:rPr>
          <w:rFonts w:ascii="Open Sans" w:hAnsi="Open Sans" w:cs="Open Sans"/>
        </w:rPr>
        <w:t xml:space="preserve">There was no evidence pain was monitored </w:t>
      </w:r>
      <w:r w:rsidR="00D10629">
        <w:rPr>
          <w:rFonts w:ascii="Open Sans" w:hAnsi="Open Sans" w:cs="Open Sans"/>
        </w:rPr>
        <w:t xml:space="preserve">during these periods where the patch was not applied. </w:t>
      </w:r>
    </w:p>
    <w:p w14:paraId="44BB6B7F" w14:textId="77777777" w:rsidR="00431AC9" w:rsidRDefault="00D76B41" w:rsidP="0036130C">
      <w:pPr>
        <w:pStyle w:val="NormalArial"/>
        <w:rPr>
          <w:rFonts w:ascii="Open Sans" w:hAnsi="Open Sans" w:cs="Open Sans"/>
        </w:rPr>
      </w:pPr>
      <w:r>
        <w:rPr>
          <w:rFonts w:ascii="Open Sans" w:hAnsi="Open Sans" w:cs="Open Sans"/>
        </w:rPr>
        <w:t>The Assessment Team observed 4 low lying beds to the floor, and the bed he</w:t>
      </w:r>
      <w:r w:rsidR="00E806BE">
        <w:rPr>
          <w:rFonts w:ascii="Open Sans" w:hAnsi="Open Sans" w:cs="Open Sans"/>
        </w:rPr>
        <w:t xml:space="preserve">ight was not maintained to the recommended height. Management reviewed all beds to ensure they were at the correct height, and acknowledged where low beds are utilised, there should be </w:t>
      </w:r>
      <w:r w:rsidR="00431AC9">
        <w:rPr>
          <w:rFonts w:ascii="Open Sans" w:hAnsi="Open Sans" w:cs="Open Sans"/>
        </w:rPr>
        <w:t xml:space="preserve">risk assessments and consideration of mechanical restraint. </w:t>
      </w:r>
    </w:p>
    <w:p w14:paraId="4103DFF4" w14:textId="77777777" w:rsidR="00664EBB" w:rsidRDefault="0046276F" w:rsidP="0036130C">
      <w:pPr>
        <w:pStyle w:val="NormalArial"/>
        <w:rPr>
          <w:rFonts w:ascii="Open Sans" w:hAnsi="Open Sans" w:cs="Open Sans"/>
        </w:rPr>
      </w:pPr>
      <w:r>
        <w:rPr>
          <w:rFonts w:ascii="Open Sans" w:hAnsi="Open Sans" w:cs="Open Sans"/>
        </w:rPr>
        <w:lastRenderedPageBreak/>
        <w:t>Consumer G had 29 medication incidents recorded in documentation from February</w:t>
      </w:r>
      <w:r w:rsidR="001E36E5">
        <w:rPr>
          <w:rFonts w:ascii="Open Sans" w:hAnsi="Open Sans" w:cs="Open Sans"/>
        </w:rPr>
        <w:t xml:space="preserve"> to July 2025, with 20 noted as refusal, </w:t>
      </w:r>
      <w:r w:rsidR="00664EBB">
        <w:rPr>
          <w:rFonts w:ascii="Open Sans" w:hAnsi="Open Sans" w:cs="Open Sans"/>
        </w:rPr>
        <w:t>and 4 related to no stock.</w:t>
      </w:r>
    </w:p>
    <w:p w14:paraId="5D710394" w14:textId="4230C182" w:rsidR="0026340C" w:rsidRDefault="00664EBB" w:rsidP="0036130C">
      <w:pPr>
        <w:pStyle w:val="NormalArial"/>
        <w:rPr>
          <w:rFonts w:ascii="Open Sans" w:hAnsi="Open Sans" w:cs="Open Sans"/>
        </w:rPr>
      </w:pPr>
      <w:r>
        <w:rPr>
          <w:rFonts w:ascii="Open Sans" w:hAnsi="Open Sans" w:cs="Open Sans"/>
        </w:rPr>
        <w:t xml:space="preserve">A review of time-sensitive medications from 16 to 30 May </w:t>
      </w:r>
      <w:r w:rsidR="00492747">
        <w:rPr>
          <w:rFonts w:ascii="Open Sans" w:hAnsi="Open Sans" w:cs="Open Sans"/>
        </w:rPr>
        <w:t xml:space="preserve">2025 </w:t>
      </w:r>
      <w:r>
        <w:rPr>
          <w:rFonts w:ascii="Open Sans" w:hAnsi="Open Sans" w:cs="Open Sans"/>
        </w:rPr>
        <w:t xml:space="preserve">evidenced </w:t>
      </w:r>
      <w:r w:rsidR="00FD5FE0">
        <w:rPr>
          <w:rFonts w:ascii="Open Sans" w:hAnsi="Open Sans" w:cs="Open Sans"/>
        </w:rPr>
        <w:t>4</w:t>
      </w:r>
      <w:r>
        <w:rPr>
          <w:rFonts w:ascii="Open Sans" w:hAnsi="Open Sans" w:cs="Open Sans"/>
        </w:rPr>
        <w:t xml:space="preserve">5 medications </w:t>
      </w:r>
      <w:r w:rsidR="00FD5FE0">
        <w:rPr>
          <w:rFonts w:ascii="Open Sans" w:hAnsi="Open Sans" w:cs="Open Sans"/>
        </w:rPr>
        <w:t xml:space="preserve">administered late, 33 administered early and 29 missed medications. </w:t>
      </w:r>
      <w:r w:rsidR="00505BA2">
        <w:rPr>
          <w:rFonts w:ascii="Open Sans" w:hAnsi="Open Sans" w:cs="Open Sans"/>
        </w:rPr>
        <w:t xml:space="preserve">A second report from 1 to 14 August 2025 evidenced 8 administered </w:t>
      </w:r>
      <w:r w:rsidR="00516FDA">
        <w:rPr>
          <w:rFonts w:ascii="Open Sans" w:hAnsi="Open Sans" w:cs="Open Sans"/>
        </w:rPr>
        <w:t xml:space="preserve">late, 16 early and 3 missed. </w:t>
      </w:r>
    </w:p>
    <w:p w14:paraId="4F36CAE2" w14:textId="77777777" w:rsidR="001F2B15" w:rsidRDefault="0026340C" w:rsidP="0036130C">
      <w:pPr>
        <w:pStyle w:val="NormalArial"/>
        <w:rPr>
          <w:rFonts w:ascii="Open Sans" w:hAnsi="Open Sans" w:cs="Open Sans"/>
        </w:rPr>
      </w:pPr>
      <w:r>
        <w:rPr>
          <w:rFonts w:ascii="Open Sans" w:hAnsi="Open Sans" w:cs="Open Sans"/>
        </w:rPr>
        <w:t>The provider</w:t>
      </w:r>
      <w:r w:rsidR="00B67E24">
        <w:rPr>
          <w:rFonts w:ascii="Open Sans" w:hAnsi="Open Sans" w:cs="Open Sans"/>
        </w:rPr>
        <w:t>, in their response</w:t>
      </w:r>
      <w:r w:rsidR="00377CC2">
        <w:rPr>
          <w:rFonts w:ascii="Open Sans" w:hAnsi="Open Sans" w:cs="Open Sans"/>
        </w:rPr>
        <w:t>,</w:t>
      </w:r>
      <w:r w:rsidR="00B67E24">
        <w:rPr>
          <w:rFonts w:ascii="Open Sans" w:hAnsi="Open Sans" w:cs="Open Sans"/>
        </w:rPr>
        <w:t xml:space="preserve"> provided clarifying information </w:t>
      </w:r>
      <w:r w:rsidR="00024F83">
        <w:rPr>
          <w:rFonts w:ascii="Open Sans" w:hAnsi="Open Sans" w:cs="Open Sans"/>
        </w:rPr>
        <w:t xml:space="preserve">for several consumers </w:t>
      </w:r>
      <w:r w:rsidR="007A18F0">
        <w:rPr>
          <w:rFonts w:ascii="Open Sans" w:hAnsi="Open Sans" w:cs="Open Sans"/>
        </w:rPr>
        <w:t xml:space="preserve">and </w:t>
      </w:r>
      <w:r w:rsidR="00377CC2">
        <w:rPr>
          <w:rFonts w:ascii="Open Sans" w:hAnsi="Open Sans" w:cs="Open Sans"/>
        </w:rPr>
        <w:t xml:space="preserve">included improvements </w:t>
      </w:r>
      <w:r w:rsidR="00422DF7">
        <w:rPr>
          <w:rFonts w:ascii="Open Sans" w:hAnsi="Open Sans" w:cs="Open Sans"/>
        </w:rPr>
        <w:t xml:space="preserve">undertaken following the </w:t>
      </w:r>
      <w:r w:rsidR="001F2B15">
        <w:rPr>
          <w:rFonts w:ascii="Open Sans" w:hAnsi="Open Sans" w:cs="Open Sans"/>
        </w:rPr>
        <w:t>assessment contact.</w:t>
      </w:r>
    </w:p>
    <w:p w14:paraId="4E721447" w14:textId="012571EA" w:rsidR="00C50904" w:rsidRDefault="001F2B15" w:rsidP="0036130C">
      <w:pPr>
        <w:pStyle w:val="NormalArial"/>
        <w:rPr>
          <w:rFonts w:ascii="Open Sans" w:hAnsi="Open Sans" w:cs="Open Sans"/>
        </w:rPr>
      </w:pPr>
      <w:r>
        <w:rPr>
          <w:rFonts w:ascii="Open Sans" w:hAnsi="Open Sans" w:cs="Open Sans"/>
        </w:rPr>
        <w:t>In relation to Consumer A,</w:t>
      </w:r>
      <w:r w:rsidR="001F4A47">
        <w:rPr>
          <w:rFonts w:ascii="Open Sans" w:hAnsi="Open Sans" w:cs="Open Sans"/>
        </w:rPr>
        <w:t xml:space="preserve"> a wound chart relating to the IAD was provided, and evidenced </w:t>
      </w:r>
      <w:r w:rsidR="00E20805">
        <w:rPr>
          <w:rFonts w:ascii="Open Sans" w:hAnsi="Open Sans" w:cs="Open Sans"/>
        </w:rPr>
        <w:t>when the wound was reclassified, the consumer</w:t>
      </w:r>
      <w:r w:rsidR="00492747">
        <w:rPr>
          <w:rFonts w:ascii="Open Sans" w:hAnsi="Open Sans" w:cs="Open Sans"/>
        </w:rPr>
        <w:t>’</w:t>
      </w:r>
      <w:r w:rsidR="00E20805">
        <w:rPr>
          <w:rFonts w:ascii="Open Sans" w:hAnsi="Open Sans" w:cs="Open Sans"/>
        </w:rPr>
        <w:t>s skin was healthy and pink. The wound chart contained commentary of the reclassification of the wound</w:t>
      </w:r>
      <w:r w:rsidR="00F331CF">
        <w:rPr>
          <w:rFonts w:ascii="Open Sans" w:hAnsi="Open Sans" w:cs="Open Sans"/>
        </w:rPr>
        <w:t xml:space="preserve">. A skin assessment was provided, which was undertaken prior to the assessment contact, and contained strategies to minimise the </w:t>
      </w:r>
      <w:r w:rsidR="005716C9">
        <w:rPr>
          <w:rFonts w:ascii="Open Sans" w:hAnsi="Open Sans" w:cs="Open Sans"/>
        </w:rPr>
        <w:t>risk of pressure injuries, including an air mattress and regular repositioning. Progress notes demonstrated the consumer</w:t>
      </w:r>
      <w:r w:rsidR="00492747">
        <w:rPr>
          <w:rFonts w:ascii="Open Sans" w:hAnsi="Open Sans" w:cs="Open Sans"/>
        </w:rPr>
        <w:t>’</w:t>
      </w:r>
      <w:r w:rsidR="005716C9">
        <w:rPr>
          <w:rFonts w:ascii="Open Sans" w:hAnsi="Open Sans" w:cs="Open Sans"/>
        </w:rPr>
        <w:t xml:space="preserve">s pain was </w:t>
      </w:r>
      <w:r w:rsidR="00CD1F70">
        <w:rPr>
          <w:rFonts w:ascii="Open Sans" w:hAnsi="Open Sans" w:cs="Open Sans"/>
        </w:rPr>
        <w:t xml:space="preserve">regularly monitored, and non-pharmacological interventions were trialled to manage the </w:t>
      </w:r>
      <w:r w:rsidR="00C50904">
        <w:rPr>
          <w:rFonts w:ascii="Open Sans" w:hAnsi="Open Sans" w:cs="Open Sans"/>
        </w:rPr>
        <w:t>consumer</w:t>
      </w:r>
      <w:r w:rsidR="00492747">
        <w:rPr>
          <w:rFonts w:ascii="Open Sans" w:hAnsi="Open Sans" w:cs="Open Sans"/>
        </w:rPr>
        <w:t>’</w:t>
      </w:r>
      <w:r w:rsidR="00C50904">
        <w:rPr>
          <w:rFonts w:ascii="Open Sans" w:hAnsi="Open Sans" w:cs="Open Sans"/>
        </w:rPr>
        <w:t>s</w:t>
      </w:r>
      <w:r w:rsidR="00CD1F70">
        <w:rPr>
          <w:rFonts w:ascii="Open Sans" w:hAnsi="Open Sans" w:cs="Open Sans"/>
        </w:rPr>
        <w:t xml:space="preserve"> pain. </w:t>
      </w:r>
    </w:p>
    <w:p w14:paraId="6FC79A4F" w14:textId="74B2B48F" w:rsidR="001102D7" w:rsidRDefault="00C50904" w:rsidP="0036130C">
      <w:pPr>
        <w:pStyle w:val="NormalArial"/>
        <w:rPr>
          <w:rFonts w:ascii="Open Sans" w:hAnsi="Open Sans" w:cs="Open Sans"/>
        </w:rPr>
      </w:pPr>
      <w:r>
        <w:rPr>
          <w:rFonts w:ascii="Open Sans" w:hAnsi="Open Sans" w:cs="Open Sans"/>
        </w:rPr>
        <w:t>In relation to Consumer B, the provider evidenced progress notes which</w:t>
      </w:r>
      <w:r w:rsidR="00392A83">
        <w:rPr>
          <w:rFonts w:ascii="Open Sans" w:hAnsi="Open Sans" w:cs="Open Sans"/>
        </w:rPr>
        <w:t xml:space="preserve"> demonstrated an attempt was made to contact the representative about the care plan on several occasions prior to the assessment contact. A full care conference was undertaken following the assessment contact</w:t>
      </w:r>
      <w:r w:rsidR="00970F3B">
        <w:rPr>
          <w:rFonts w:ascii="Open Sans" w:hAnsi="Open Sans" w:cs="Open Sans"/>
        </w:rPr>
        <w:t xml:space="preserve"> to address the representative’s concerns. </w:t>
      </w:r>
      <w:r w:rsidR="008549C1">
        <w:rPr>
          <w:rFonts w:ascii="Open Sans" w:hAnsi="Open Sans" w:cs="Open Sans"/>
        </w:rPr>
        <w:t>The provider asserted repositioning is not c</w:t>
      </w:r>
      <w:r w:rsidR="00BE6F04">
        <w:rPr>
          <w:rFonts w:ascii="Open Sans" w:hAnsi="Open Sans" w:cs="Open Sans"/>
        </w:rPr>
        <w:t xml:space="preserve">harted on a repositioning </w:t>
      </w:r>
      <w:r w:rsidR="00EB2347">
        <w:rPr>
          <w:rFonts w:ascii="Open Sans" w:hAnsi="Open Sans" w:cs="Open Sans"/>
        </w:rPr>
        <w:t>chart and</w:t>
      </w:r>
      <w:r w:rsidR="00BE6F04">
        <w:rPr>
          <w:rFonts w:ascii="Open Sans" w:hAnsi="Open Sans" w:cs="Open Sans"/>
        </w:rPr>
        <w:t xml:space="preserve"> provided an updated skin assessment for the consume</w:t>
      </w:r>
      <w:r w:rsidR="001102D7">
        <w:rPr>
          <w:rFonts w:ascii="Open Sans" w:hAnsi="Open Sans" w:cs="Open Sans"/>
        </w:rPr>
        <w:t>r</w:t>
      </w:r>
      <w:r w:rsidR="003F416D">
        <w:rPr>
          <w:rFonts w:ascii="Open Sans" w:hAnsi="Open Sans" w:cs="Open Sans"/>
        </w:rPr>
        <w:t xml:space="preserve">, however, no further evidence </w:t>
      </w:r>
      <w:r w:rsidR="005D25A8">
        <w:rPr>
          <w:rFonts w:ascii="Open Sans" w:hAnsi="Open Sans" w:cs="Open Sans"/>
        </w:rPr>
        <w:t xml:space="preserve">to support monitoring of repositioning was provided. </w:t>
      </w:r>
    </w:p>
    <w:p w14:paraId="3BD5F822" w14:textId="6EA9639E" w:rsidR="00EB2347" w:rsidRDefault="001102D7" w:rsidP="0036130C">
      <w:pPr>
        <w:pStyle w:val="NormalArial"/>
        <w:rPr>
          <w:rFonts w:ascii="Open Sans" w:hAnsi="Open Sans" w:cs="Open Sans"/>
        </w:rPr>
      </w:pPr>
      <w:r>
        <w:rPr>
          <w:rFonts w:ascii="Open Sans" w:hAnsi="Open Sans" w:cs="Open Sans"/>
        </w:rPr>
        <w:t xml:space="preserve">In relation to Consumer C, </w:t>
      </w:r>
      <w:r w:rsidR="004D64B0">
        <w:rPr>
          <w:rFonts w:ascii="Open Sans" w:hAnsi="Open Sans" w:cs="Open Sans"/>
        </w:rPr>
        <w:t xml:space="preserve">the provider clarified the </w:t>
      </w:r>
      <w:r w:rsidR="00D21034">
        <w:rPr>
          <w:rFonts w:ascii="Open Sans" w:hAnsi="Open Sans" w:cs="Open Sans"/>
        </w:rPr>
        <w:t>bruise</w:t>
      </w:r>
      <w:r w:rsidR="004D64B0">
        <w:rPr>
          <w:rFonts w:ascii="Open Sans" w:hAnsi="Open Sans" w:cs="Open Sans"/>
        </w:rPr>
        <w:t xml:space="preserve"> was identified in the </w:t>
      </w:r>
      <w:r w:rsidR="0033000B">
        <w:rPr>
          <w:rFonts w:ascii="Open Sans" w:hAnsi="Open Sans" w:cs="Open Sans"/>
        </w:rPr>
        <w:t>evening of 3 August</w:t>
      </w:r>
      <w:r w:rsidR="009C0BF4">
        <w:rPr>
          <w:rFonts w:ascii="Open Sans" w:hAnsi="Open Sans" w:cs="Open Sans"/>
        </w:rPr>
        <w:t xml:space="preserve"> 2025</w:t>
      </w:r>
      <w:r w:rsidR="0033000B">
        <w:rPr>
          <w:rFonts w:ascii="Open Sans" w:hAnsi="Open Sans" w:cs="Open Sans"/>
        </w:rPr>
        <w:t xml:space="preserve">, with the wound chart commenced several hours later. </w:t>
      </w:r>
      <w:r w:rsidR="00D21034">
        <w:rPr>
          <w:rFonts w:ascii="Open Sans" w:hAnsi="Open Sans" w:cs="Open Sans"/>
        </w:rPr>
        <w:t xml:space="preserve">Progress notes directly following the identification </w:t>
      </w:r>
      <w:r w:rsidR="003134F6">
        <w:rPr>
          <w:rFonts w:ascii="Open Sans" w:hAnsi="Open Sans" w:cs="Open Sans"/>
        </w:rPr>
        <w:t xml:space="preserve">demonstrate the representative and medical officer were contacted directly after the </w:t>
      </w:r>
      <w:r w:rsidR="006664C9">
        <w:rPr>
          <w:rFonts w:ascii="Open Sans" w:hAnsi="Open Sans" w:cs="Open Sans"/>
        </w:rPr>
        <w:t>bruise was identified</w:t>
      </w:r>
      <w:r w:rsidR="003016E1">
        <w:rPr>
          <w:rFonts w:ascii="Open Sans" w:hAnsi="Open Sans" w:cs="Open Sans"/>
        </w:rPr>
        <w:t xml:space="preserve">. </w:t>
      </w:r>
      <w:r w:rsidR="00420670">
        <w:rPr>
          <w:rFonts w:ascii="Open Sans" w:hAnsi="Open Sans" w:cs="Open Sans"/>
        </w:rPr>
        <w:t xml:space="preserve">A wound chart was </w:t>
      </w:r>
      <w:r w:rsidR="00EB2347">
        <w:rPr>
          <w:rFonts w:ascii="Open Sans" w:hAnsi="Open Sans" w:cs="Open Sans"/>
        </w:rPr>
        <w:t>provided and</w:t>
      </w:r>
      <w:r w:rsidR="00420670">
        <w:rPr>
          <w:rFonts w:ascii="Open Sans" w:hAnsi="Open Sans" w:cs="Open Sans"/>
        </w:rPr>
        <w:t xml:space="preserve"> demonstrated no pictures of Consumer C’s arm was present</w:t>
      </w:r>
      <w:r w:rsidR="007C7965">
        <w:rPr>
          <w:rFonts w:ascii="Open Sans" w:hAnsi="Open Sans" w:cs="Open Sans"/>
        </w:rPr>
        <w:t>.</w:t>
      </w:r>
      <w:r w:rsidR="003016E1">
        <w:rPr>
          <w:rFonts w:ascii="Open Sans" w:hAnsi="Open Sans" w:cs="Open Sans"/>
        </w:rPr>
        <w:t xml:space="preserve"> </w:t>
      </w:r>
    </w:p>
    <w:p w14:paraId="03594FDA" w14:textId="2BC6393C" w:rsidR="00EE220F" w:rsidRDefault="00EB2347" w:rsidP="0036130C">
      <w:pPr>
        <w:pStyle w:val="NormalArial"/>
        <w:rPr>
          <w:rFonts w:ascii="Open Sans" w:hAnsi="Open Sans" w:cs="Open Sans"/>
        </w:rPr>
      </w:pPr>
      <w:r>
        <w:rPr>
          <w:rFonts w:ascii="Open Sans" w:hAnsi="Open Sans" w:cs="Open Sans"/>
        </w:rPr>
        <w:t xml:space="preserve">In relation to Consumer D, the provider acknowledged the behaviour support plan was not personalised and provided an updated plan which contained personalised strategies to support the consumer. Behaviour charting following the assessment contact demonstrates a significant decrease in </w:t>
      </w:r>
      <w:r w:rsidR="0098066B">
        <w:rPr>
          <w:rFonts w:ascii="Open Sans" w:hAnsi="Open Sans" w:cs="Open Sans"/>
        </w:rPr>
        <w:t xml:space="preserve">behaviours for Consumer D, following implementation of more personalised strategies. </w:t>
      </w:r>
      <w:r w:rsidR="007C3735">
        <w:rPr>
          <w:rFonts w:ascii="Open Sans" w:hAnsi="Open Sans" w:cs="Open Sans"/>
        </w:rPr>
        <w:t xml:space="preserve">Behaviour charting demonstrates </w:t>
      </w:r>
      <w:r w:rsidR="00EE220F">
        <w:rPr>
          <w:rFonts w:ascii="Open Sans" w:hAnsi="Open Sans" w:cs="Open Sans"/>
        </w:rPr>
        <w:t xml:space="preserve">non-pharmacological strategies are trialled prior to administration of psychotropic medication. </w:t>
      </w:r>
    </w:p>
    <w:p w14:paraId="4B165C02" w14:textId="773B3E2B" w:rsidR="000E3FC8" w:rsidRDefault="00EE220F" w:rsidP="0036130C">
      <w:pPr>
        <w:pStyle w:val="NormalArial"/>
        <w:rPr>
          <w:rFonts w:ascii="Open Sans" w:hAnsi="Open Sans" w:cs="Open Sans"/>
        </w:rPr>
      </w:pPr>
      <w:r>
        <w:rPr>
          <w:rFonts w:ascii="Open Sans" w:hAnsi="Open Sans" w:cs="Open Sans"/>
        </w:rPr>
        <w:t xml:space="preserve">In relation to Consumer E, </w:t>
      </w:r>
      <w:r w:rsidR="00035C5A">
        <w:rPr>
          <w:rFonts w:ascii="Open Sans" w:hAnsi="Open Sans" w:cs="Open Sans"/>
        </w:rPr>
        <w:t xml:space="preserve">the provider acknowledged communication was previously a concern within the service and provided evidence of care </w:t>
      </w:r>
      <w:r w:rsidR="00035C5A">
        <w:rPr>
          <w:rFonts w:ascii="Open Sans" w:hAnsi="Open Sans" w:cs="Open Sans"/>
        </w:rPr>
        <w:lastRenderedPageBreak/>
        <w:t xml:space="preserve">consultations which occurred with the representative following the assessment contact. </w:t>
      </w:r>
      <w:r w:rsidR="00327285">
        <w:rPr>
          <w:rFonts w:ascii="Open Sans" w:hAnsi="Open Sans" w:cs="Open Sans"/>
        </w:rPr>
        <w:t xml:space="preserve">Progress notes for March and November 2024 demonstrate </w:t>
      </w:r>
      <w:r w:rsidR="00723A8E">
        <w:rPr>
          <w:rFonts w:ascii="Open Sans" w:hAnsi="Open Sans" w:cs="Open Sans"/>
        </w:rPr>
        <w:t xml:space="preserve">communication regarding the psychotropic medication, including the risks associated with its use, such as disrupted sleep and </w:t>
      </w:r>
      <w:r w:rsidR="00BE11C9">
        <w:rPr>
          <w:rFonts w:ascii="Open Sans" w:hAnsi="Open Sans" w:cs="Open Sans"/>
        </w:rPr>
        <w:t xml:space="preserve">increases risks of falls. The provider acknowledged </w:t>
      </w:r>
      <w:r w:rsidR="00D6005C">
        <w:rPr>
          <w:rFonts w:ascii="Open Sans" w:hAnsi="Open Sans" w:cs="Open Sans"/>
        </w:rPr>
        <w:t xml:space="preserve">appropriate monitoring of Consumer E’s sleep was not </w:t>
      </w:r>
      <w:r w:rsidR="003C10CC">
        <w:rPr>
          <w:rFonts w:ascii="Open Sans" w:hAnsi="Open Sans" w:cs="Open Sans"/>
        </w:rPr>
        <w:t>undertaken and</w:t>
      </w:r>
      <w:r w:rsidR="00D6005C">
        <w:rPr>
          <w:rFonts w:ascii="Open Sans" w:hAnsi="Open Sans" w:cs="Open Sans"/>
        </w:rPr>
        <w:t xml:space="preserve"> </w:t>
      </w:r>
      <w:r w:rsidR="00B43FF9">
        <w:rPr>
          <w:rFonts w:ascii="Open Sans" w:hAnsi="Open Sans" w:cs="Open Sans"/>
        </w:rPr>
        <w:t xml:space="preserve">has implemented a range of improvement actions for the consumer, including sleep charting, </w:t>
      </w:r>
      <w:r w:rsidR="00AA4352">
        <w:rPr>
          <w:rFonts w:ascii="Open Sans" w:hAnsi="Open Sans" w:cs="Open Sans"/>
        </w:rPr>
        <w:t>regular review of sleep data and prioritisation of</w:t>
      </w:r>
      <w:r w:rsidR="003C10CC">
        <w:rPr>
          <w:rFonts w:ascii="Open Sans" w:hAnsi="Open Sans" w:cs="Open Sans"/>
        </w:rPr>
        <w:t xml:space="preserve"> non-pharmacological sleep interventions. </w:t>
      </w:r>
    </w:p>
    <w:p w14:paraId="00D318B2" w14:textId="5AA4238E" w:rsidR="00086C9B" w:rsidRDefault="00BA392C" w:rsidP="0036130C">
      <w:pPr>
        <w:pStyle w:val="NormalArial"/>
        <w:rPr>
          <w:rFonts w:ascii="Open Sans" w:hAnsi="Open Sans" w:cs="Open Sans"/>
        </w:rPr>
      </w:pPr>
      <w:r>
        <w:rPr>
          <w:rFonts w:ascii="Open Sans" w:hAnsi="Open Sans" w:cs="Open Sans"/>
        </w:rPr>
        <w:t>In relation to Consumer F</w:t>
      </w:r>
      <w:r w:rsidR="003A0B34">
        <w:rPr>
          <w:rFonts w:ascii="Open Sans" w:hAnsi="Open Sans" w:cs="Open Sans"/>
        </w:rPr>
        <w:t>,</w:t>
      </w:r>
      <w:r w:rsidR="0054063F">
        <w:rPr>
          <w:rFonts w:ascii="Open Sans" w:hAnsi="Open Sans" w:cs="Open Sans"/>
        </w:rPr>
        <w:t xml:space="preserve"> the provider assert</w:t>
      </w:r>
      <w:r w:rsidR="009C0BF4">
        <w:rPr>
          <w:rFonts w:ascii="Open Sans" w:hAnsi="Open Sans" w:cs="Open Sans"/>
        </w:rPr>
        <w:t>s</w:t>
      </w:r>
      <w:r w:rsidR="0054063F">
        <w:rPr>
          <w:rFonts w:ascii="Open Sans" w:hAnsi="Open Sans" w:cs="Open Sans"/>
        </w:rPr>
        <w:t xml:space="preserve"> the consumer did not experience adverse impact on the occasion the pain patch was not applied, however, </w:t>
      </w:r>
      <w:r w:rsidR="00086C9B">
        <w:rPr>
          <w:rFonts w:ascii="Open Sans" w:hAnsi="Open Sans" w:cs="Open Sans"/>
        </w:rPr>
        <w:t>acknowledged pain charting and monitoring was completed inconsistently following the missed pain patch. The provider has undertaken a pain assessment and reviewed the consumer</w:t>
      </w:r>
      <w:r w:rsidR="009C0BF4">
        <w:rPr>
          <w:rFonts w:ascii="Open Sans" w:hAnsi="Open Sans" w:cs="Open Sans"/>
        </w:rPr>
        <w:t>’</w:t>
      </w:r>
      <w:r w:rsidR="00086C9B">
        <w:rPr>
          <w:rFonts w:ascii="Open Sans" w:hAnsi="Open Sans" w:cs="Open Sans"/>
        </w:rPr>
        <w:t xml:space="preserve">s pain management plan. </w:t>
      </w:r>
    </w:p>
    <w:p w14:paraId="11B1D63E" w14:textId="24625785" w:rsidR="00850BB3" w:rsidRDefault="00086C9B" w:rsidP="0036130C">
      <w:pPr>
        <w:pStyle w:val="NormalArial"/>
        <w:rPr>
          <w:rFonts w:ascii="Open Sans" w:hAnsi="Open Sans" w:cs="Open Sans"/>
        </w:rPr>
      </w:pPr>
      <w:r>
        <w:rPr>
          <w:rFonts w:ascii="Open Sans" w:hAnsi="Open Sans" w:cs="Open Sans"/>
        </w:rPr>
        <w:t xml:space="preserve">In relation to Consumer G, the provider </w:t>
      </w:r>
      <w:r w:rsidR="00DC67B3">
        <w:rPr>
          <w:rFonts w:ascii="Open Sans" w:hAnsi="Open Sans" w:cs="Open Sans"/>
        </w:rPr>
        <w:t xml:space="preserve">presented evidence which asserts medication incidents have significantly decreased for the consumer </w:t>
      </w:r>
      <w:r w:rsidR="00850BB3">
        <w:rPr>
          <w:rFonts w:ascii="Open Sans" w:hAnsi="Open Sans" w:cs="Open Sans"/>
        </w:rPr>
        <w:t xml:space="preserve">in recent months. The provider acknowledged a significant number of incidents in February and March </w:t>
      </w:r>
      <w:r w:rsidR="009C0BF4">
        <w:rPr>
          <w:rFonts w:ascii="Open Sans" w:hAnsi="Open Sans" w:cs="Open Sans"/>
        </w:rPr>
        <w:t xml:space="preserve">2025 </w:t>
      </w:r>
      <w:r w:rsidR="00850BB3">
        <w:rPr>
          <w:rFonts w:ascii="Open Sans" w:hAnsi="Open Sans" w:cs="Open Sans"/>
        </w:rPr>
        <w:t xml:space="preserve">warranted further scrutiny, however, evidenced correctional strategies implemented were effective in reducing medication incidents for this consumer. </w:t>
      </w:r>
    </w:p>
    <w:p w14:paraId="630DCE0A" w14:textId="7AD597B9" w:rsidR="00CE23FF" w:rsidRDefault="00850BB3" w:rsidP="0036130C">
      <w:pPr>
        <w:pStyle w:val="NormalArial"/>
        <w:rPr>
          <w:rFonts w:ascii="Open Sans" w:hAnsi="Open Sans" w:cs="Open Sans"/>
        </w:rPr>
      </w:pPr>
      <w:r>
        <w:rPr>
          <w:rFonts w:ascii="Open Sans" w:hAnsi="Open Sans" w:cs="Open Sans"/>
        </w:rPr>
        <w:t>I acknowledge the provider</w:t>
      </w:r>
      <w:r w:rsidR="009C0BF4">
        <w:rPr>
          <w:rFonts w:ascii="Open Sans" w:hAnsi="Open Sans" w:cs="Open Sans"/>
        </w:rPr>
        <w:t>’</w:t>
      </w:r>
      <w:r>
        <w:rPr>
          <w:rFonts w:ascii="Open Sans" w:hAnsi="Open Sans" w:cs="Open Sans"/>
        </w:rPr>
        <w:t xml:space="preserve">s </w:t>
      </w:r>
      <w:r w:rsidR="004438E3">
        <w:rPr>
          <w:rFonts w:ascii="Open Sans" w:hAnsi="Open Sans" w:cs="Open Sans"/>
        </w:rPr>
        <w:t>response;</w:t>
      </w:r>
      <w:r>
        <w:rPr>
          <w:rFonts w:ascii="Open Sans" w:hAnsi="Open Sans" w:cs="Open Sans"/>
        </w:rPr>
        <w:t xml:space="preserve"> however, I find the </w:t>
      </w:r>
      <w:r w:rsidR="00DA264A">
        <w:rPr>
          <w:rFonts w:ascii="Open Sans" w:hAnsi="Open Sans" w:cs="Open Sans"/>
        </w:rPr>
        <w:t>provider was unable to demonstrate personal and clinical care was best practice and optimised the consumer</w:t>
      </w:r>
      <w:r w:rsidR="009C0BF4">
        <w:rPr>
          <w:rFonts w:ascii="Open Sans" w:hAnsi="Open Sans" w:cs="Open Sans"/>
        </w:rPr>
        <w:t>’</w:t>
      </w:r>
      <w:r w:rsidR="00DA264A">
        <w:rPr>
          <w:rFonts w:ascii="Open Sans" w:hAnsi="Open Sans" w:cs="Open Sans"/>
        </w:rPr>
        <w:t xml:space="preserve">s health and </w:t>
      </w:r>
      <w:r w:rsidR="00CC196B">
        <w:rPr>
          <w:rFonts w:ascii="Open Sans" w:hAnsi="Open Sans" w:cs="Open Sans"/>
        </w:rPr>
        <w:t>wellbeing.</w:t>
      </w:r>
    </w:p>
    <w:p w14:paraId="68C4F551" w14:textId="77777777" w:rsidR="008F3036" w:rsidRDefault="00CC196B" w:rsidP="0036130C">
      <w:pPr>
        <w:pStyle w:val="NormalArial"/>
        <w:rPr>
          <w:rFonts w:ascii="Open Sans" w:hAnsi="Open Sans" w:cs="Open Sans"/>
        </w:rPr>
      </w:pPr>
      <w:r>
        <w:rPr>
          <w:rFonts w:ascii="Open Sans" w:hAnsi="Open Sans" w:cs="Open Sans"/>
        </w:rPr>
        <w:t xml:space="preserve">In coming to my finding, I acknowledge the </w:t>
      </w:r>
      <w:r w:rsidR="0051655F">
        <w:rPr>
          <w:rFonts w:ascii="Open Sans" w:hAnsi="Open Sans" w:cs="Open Sans"/>
        </w:rPr>
        <w:t>ongoing</w:t>
      </w:r>
      <w:r>
        <w:rPr>
          <w:rFonts w:ascii="Open Sans" w:hAnsi="Open Sans" w:cs="Open Sans"/>
        </w:rPr>
        <w:t xml:space="preserve"> improvements the provider is </w:t>
      </w:r>
      <w:r w:rsidR="004438E3">
        <w:rPr>
          <w:rFonts w:ascii="Open Sans" w:hAnsi="Open Sans" w:cs="Open Sans"/>
        </w:rPr>
        <w:t>undertaking;</w:t>
      </w:r>
      <w:r>
        <w:rPr>
          <w:rFonts w:ascii="Open Sans" w:hAnsi="Open Sans" w:cs="Open Sans"/>
        </w:rPr>
        <w:t xml:space="preserve"> </w:t>
      </w:r>
      <w:r w:rsidR="004438E3">
        <w:rPr>
          <w:rFonts w:ascii="Open Sans" w:hAnsi="Open Sans" w:cs="Open Sans"/>
        </w:rPr>
        <w:t>however,</w:t>
      </w:r>
      <w:r w:rsidR="0051655F">
        <w:rPr>
          <w:rFonts w:ascii="Open Sans" w:hAnsi="Open Sans" w:cs="Open Sans"/>
        </w:rPr>
        <w:t xml:space="preserve"> I consider these improvements will take a significant period to implement and embed within the service. </w:t>
      </w:r>
    </w:p>
    <w:p w14:paraId="24F286AE" w14:textId="19561FFA" w:rsidR="008F3036" w:rsidRDefault="0099693F" w:rsidP="0036130C">
      <w:pPr>
        <w:pStyle w:val="NormalArial"/>
        <w:rPr>
          <w:rFonts w:ascii="Open Sans" w:hAnsi="Open Sans" w:cs="Open Sans"/>
        </w:rPr>
      </w:pPr>
      <w:r>
        <w:rPr>
          <w:rFonts w:ascii="Open Sans" w:hAnsi="Open Sans" w:cs="Open Sans"/>
        </w:rPr>
        <w:t>I have considered the information provided relating to skin integrity</w:t>
      </w:r>
      <w:r w:rsidR="00287B21">
        <w:rPr>
          <w:rFonts w:ascii="Open Sans" w:hAnsi="Open Sans" w:cs="Open Sans"/>
        </w:rPr>
        <w:t xml:space="preserve">, and I acknowledge </w:t>
      </w:r>
      <w:r w:rsidR="005D25A8">
        <w:rPr>
          <w:rFonts w:ascii="Open Sans" w:hAnsi="Open Sans" w:cs="Open Sans"/>
        </w:rPr>
        <w:t>whilst consumer</w:t>
      </w:r>
      <w:r w:rsidR="00287B21">
        <w:rPr>
          <w:rFonts w:ascii="Open Sans" w:hAnsi="Open Sans" w:cs="Open Sans"/>
        </w:rPr>
        <w:t xml:space="preserve"> wound</w:t>
      </w:r>
      <w:r w:rsidR="005D25A8">
        <w:rPr>
          <w:rFonts w:ascii="Open Sans" w:hAnsi="Open Sans" w:cs="Open Sans"/>
        </w:rPr>
        <w:t>s</w:t>
      </w:r>
      <w:r w:rsidR="00287B21">
        <w:rPr>
          <w:rFonts w:ascii="Open Sans" w:hAnsi="Open Sans" w:cs="Open Sans"/>
        </w:rPr>
        <w:t xml:space="preserve"> </w:t>
      </w:r>
      <w:r w:rsidR="005D25A8">
        <w:rPr>
          <w:rFonts w:ascii="Open Sans" w:hAnsi="Open Sans" w:cs="Open Sans"/>
        </w:rPr>
        <w:t>were monitored, the provider did not evidence how repositioning is monitored to minimise the development of pressure injur</w:t>
      </w:r>
      <w:r w:rsidR="00D94698">
        <w:rPr>
          <w:rFonts w:ascii="Open Sans" w:hAnsi="Open Sans" w:cs="Open Sans"/>
        </w:rPr>
        <w:t xml:space="preserve">ies. </w:t>
      </w:r>
      <w:r w:rsidR="00CD2030">
        <w:rPr>
          <w:rFonts w:ascii="Open Sans" w:hAnsi="Open Sans" w:cs="Open Sans"/>
        </w:rPr>
        <w:t xml:space="preserve">I have also considered </w:t>
      </w:r>
      <w:r w:rsidR="008728A8">
        <w:rPr>
          <w:rFonts w:ascii="Open Sans" w:hAnsi="Open Sans" w:cs="Open Sans"/>
        </w:rPr>
        <w:t xml:space="preserve">Consumer A was identified as high-risk of pressure injuries, and </w:t>
      </w:r>
      <w:r w:rsidR="00C07D1E">
        <w:rPr>
          <w:rFonts w:ascii="Open Sans" w:hAnsi="Open Sans" w:cs="Open Sans"/>
        </w:rPr>
        <w:t xml:space="preserve">the provider </w:t>
      </w:r>
      <w:r w:rsidR="00BB457C">
        <w:rPr>
          <w:rFonts w:ascii="Open Sans" w:hAnsi="Open Sans" w:cs="Open Sans"/>
        </w:rPr>
        <w:t xml:space="preserve">did not demonstrate </w:t>
      </w:r>
      <w:r w:rsidR="007D3A34">
        <w:rPr>
          <w:rFonts w:ascii="Open Sans" w:hAnsi="Open Sans" w:cs="Open Sans"/>
        </w:rPr>
        <w:t>prevention strategies, over appropriate oversight of consumers at high risk of pressure injuries.</w:t>
      </w:r>
    </w:p>
    <w:p w14:paraId="1D183963" w14:textId="33E52E84" w:rsidR="00CC196B" w:rsidRDefault="00D94698" w:rsidP="0036130C">
      <w:pPr>
        <w:pStyle w:val="NormalArial"/>
        <w:rPr>
          <w:rFonts w:ascii="Open Sans" w:hAnsi="Open Sans" w:cs="Open Sans"/>
        </w:rPr>
      </w:pPr>
      <w:r>
        <w:rPr>
          <w:rFonts w:ascii="Open Sans" w:hAnsi="Open Sans" w:cs="Open Sans"/>
        </w:rPr>
        <w:t xml:space="preserve">I acknowledge Consumer D’s behaviour support plan was updated and has been </w:t>
      </w:r>
      <w:r w:rsidR="004438E3">
        <w:rPr>
          <w:rFonts w:ascii="Open Sans" w:hAnsi="Open Sans" w:cs="Open Sans"/>
        </w:rPr>
        <w:t>effective</w:t>
      </w:r>
      <w:r w:rsidR="00E45EC6">
        <w:rPr>
          <w:rFonts w:ascii="Open Sans" w:hAnsi="Open Sans" w:cs="Open Sans"/>
        </w:rPr>
        <w:t xml:space="preserve"> in supporting changed behaviours</w:t>
      </w:r>
      <w:r w:rsidR="004438E3">
        <w:rPr>
          <w:rFonts w:ascii="Open Sans" w:hAnsi="Open Sans" w:cs="Open Sans"/>
        </w:rPr>
        <w:t xml:space="preserve">, however, </w:t>
      </w:r>
      <w:r w:rsidR="00886D89">
        <w:rPr>
          <w:rFonts w:ascii="Open Sans" w:hAnsi="Open Sans" w:cs="Open Sans"/>
        </w:rPr>
        <w:t>I find ongoing improvements relating to behaviour support will take time to implement.</w:t>
      </w:r>
    </w:p>
    <w:p w14:paraId="1EDDF15A" w14:textId="37FF6F6A" w:rsidR="008A1071" w:rsidRDefault="00902116" w:rsidP="0036130C">
      <w:pPr>
        <w:pStyle w:val="NormalArial"/>
        <w:rPr>
          <w:rFonts w:ascii="Open Sans" w:hAnsi="Open Sans" w:cs="Open Sans"/>
        </w:rPr>
      </w:pPr>
      <w:r>
        <w:rPr>
          <w:rFonts w:ascii="Open Sans" w:hAnsi="Open Sans" w:cs="Open Sans"/>
        </w:rPr>
        <w:t xml:space="preserve">I consider whilst actions were taken to </w:t>
      </w:r>
      <w:r w:rsidR="008007F9">
        <w:rPr>
          <w:rFonts w:ascii="Open Sans" w:hAnsi="Open Sans" w:cs="Open Sans"/>
        </w:rPr>
        <w:t>rev</w:t>
      </w:r>
      <w:r w:rsidR="008A1071">
        <w:rPr>
          <w:rFonts w:ascii="Open Sans" w:hAnsi="Open Sans" w:cs="Open Sans"/>
        </w:rPr>
        <w:t>ie</w:t>
      </w:r>
      <w:r w:rsidR="008007F9">
        <w:rPr>
          <w:rFonts w:ascii="Open Sans" w:hAnsi="Open Sans" w:cs="Open Sans"/>
        </w:rPr>
        <w:t>w</w:t>
      </w:r>
      <w:r w:rsidR="00180BF0">
        <w:rPr>
          <w:rFonts w:ascii="Open Sans" w:hAnsi="Open Sans" w:cs="Open Sans"/>
        </w:rPr>
        <w:t xml:space="preserve"> Consumer E’s pain management</w:t>
      </w:r>
      <w:r w:rsidR="008007F9">
        <w:rPr>
          <w:rFonts w:ascii="Open Sans" w:hAnsi="Open Sans" w:cs="Open Sans"/>
        </w:rPr>
        <w:t>, these actions were reactive, and the provider was unable to demonstrate how</w:t>
      </w:r>
      <w:r w:rsidR="008A1071">
        <w:rPr>
          <w:rFonts w:ascii="Open Sans" w:hAnsi="Open Sans" w:cs="Open Sans"/>
        </w:rPr>
        <w:t xml:space="preserve"> the consumer</w:t>
      </w:r>
      <w:r w:rsidR="009C0BF4">
        <w:rPr>
          <w:rFonts w:ascii="Open Sans" w:hAnsi="Open Sans" w:cs="Open Sans"/>
        </w:rPr>
        <w:t>’</w:t>
      </w:r>
      <w:r w:rsidR="008A1071">
        <w:rPr>
          <w:rFonts w:ascii="Open Sans" w:hAnsi="Open Sans" w:cs="Open Sans"/>
        </w:rPr>
        <w:t>s pain was monitored in the period where the pain patch was not applied.</w:t>
      </w:r>
    </w:p>
    <w:p w14:paraId="1C612844" w14:textId="77777777" w:rsidR="00D223EA" w:rsidRDefault="008A1071" w:rsidP="0036130C">
      <w:pPr>
        <w:pStyle w:val="NormalArial"/>
        <w:rPr>
          <w:rFonts w:ascii="Open Sans" w:hAnsi="Open Sans" w:cs="Open Sans"/>
        </w:rPr>
      </w:pPr>
      <w:r>
        <w:rPr>
          <w:rFonts w:ascii="Open Sans" w:hAnsi="Open Sans" w:cs="Open Sans"/>
        </w:rPr>
        <w:t>For the reasons detailed above, I find req</w:t>
      </w:r>
      <w:r w:rsidR="00D223EA">
        <w:rPr>
          <w:rFonts w:ascii="Open Sans" w:hAnsi="Open Sans" w:cs="Open Sans"/>
        </w:rPr>
        <w:t>uirement 3(3)(a) non-compliant.</w:t>
      </w:r>
    </w:p>
    <w:p w14:paraId="7023C820" w14:textId="549FFCDA" w:rsidR="00FD3B76" w:rsidRDefault="00D223EA" w:rsidP="0036130C">
      <w:pPr>
        <w:pStyle w:val="NormalArial"/>
        <w:rPr>
          <w:rFonts w:ascii="Open Sans" w:hAnsi="Open Sans" w:cs="Open Sans"/>
        </w:rPr>
      </w:pPr>
      <w:r>
        <w:rPr>
          <w:rFonts w:ascii="Open Sans" w:hAnsi="Open Sans" w:cs="Open Sans"/>
          <w:b/>
          <w:bCs/>
        </w:rPr>
        <w:lastRenderedPageBreak/>
        <w:t>Requirement 3(3)(b)</w:t>
      </w:r>
      <w:r w:rsidR="00EC6165">
        <w:rPr>
          <w:rFonts w:ascii="Open Sans" w:hAnsi="Open Sans" w:cs="Open Sans"/>
          <w:b/>
          <w:bCs/>
        </w:rPr>
        <w:t xml:space="preserve"> </w:t>
      </w:r>
      <w:r w:rsidR="00EC6165">
        <w:rPr>
          <w:rFonts w:ascii="Open Sans" w:hAnsi="Open Sans" w:cs="Open Sans"/>
        </w:rPr>
        <w:t xml:space="preserve">– The Assessment Team found </w:t>
      </w:r>
      <w:r w:rsidR="00C5565B">
        <w:rPr>
          <w:rFonts w:ascii="Open Sans" w:hAnsi="Open Sans" w:cs="Open Sans"/>
        </w:rPr>
        <w:t xml:space="preserve">high-impact or high-prevalence risks associated with the care of consumers </w:t>
      </w:r>
      <w:r w:rsidR="009C0BF4">
        <w:rPr>
          <w:rFonts w:ascii="Open Sans" w:hAnsi="Open Sans" w:cs="Open Sans"/>
        </w:rPr>
        <w:t xml:space="preserve">were </w:t>
      </w:r>
      <w:r w:rsidR="00C5565B">
        <w:rPr>
          <w:rFonts w:ascii="Open Sans" w:hAnsi="Open Sans" w:cs="Open Sans"/>
        </w:rPr>
        <w:t>not effectively managed</w:t>
      </w:r>
      <w:r w:rsidR="00D750F0">
        <w:rPr>
          <w:rFonts w:ascii="Open Sans" w:hAnsi="Open Sans" w:cs="Open Sans"/>
        </w:rPr>
        <w:t xml:space="preserve">, </w:t>
      </w:r>
      <w:r w:rsidR="00E546D3">
        <w:rPr>
          <w:rFonts w:ascii="Open Sans" w:hAnsi="Open Sans" w:cs="Open Sans"/>
        </w:rPr>
        <w:t xml:space="preserve">specifically in relation to </w:t>
      </w:r>
      <w:r w:rsidR="00FD3B76">
        <w:rPr>
          <w:rFonts w:ascii="Open Sans" w:hAnsi="Open Sans" w:cs="Open Sans"/>
        </w:rPr>
        <w:t>pain</w:t>
      </w:r>
      <w:r w:rsidR="009C0BF4">
        <w:rPr>
          <w:rFonts w:ascii="Open Sans" w:hAnsi="Open Sans" w:cs="Open Sans"/>
        </w:rPr>
        <w:t>,</w:t>
      </w:r>
      <w:r w:rsidR="00FD3B76">
        <w:rPr>
          <w:rFonts w:ascii="Open Sans" w:hAnsi="Open Sans" w:cs="Open Sans"/>
        </w:rPr>
        <w:t xml:space="preserve"> post fall management and behaviour support. The Assessment Team </w:t>
      </w:r>
      <w:r w:rsidR="004202AB">
        <w:rPr>
          <w:rFonts w:ascii="Open Sans" w:hAnsi="Open Sans" w:cs="Open Sans"/>
        </w:rPr>
        <w:t xml:space="preserve">recommended requirement 3(3)(b) not met and </w:t>
      </w:r>
      <w:r w:rsidR="00FD3B76">
        <w:rPr>
          <w:rFonts w:ascii="Open Sans" w:hAnsi="Open Sans" w:cs="Open Sans"/>
        </w:rPr>
        <w:t xml:space="preserve">provided the following information which was obtained through interviews and document review. </w:t>
      </w:r>
    </w:p>
    <w:p w14:paraId="5AEE10B0" w14:textId="0F570EA3" w:rsidR="00FD3B76" w:rsidRDefault="003A5EC4" w:rsidP="0036130C">
      <w:pPr>
        <w:pStyle w:val="NormalArial"/>
        <w:rPr>
          <w:rFonts w:ascii="Open Sans" w:hAnsi="Open Sans" w:cs="Open Sans"/>
        </w:rPr>
      </w:pPr>
      <w:r>
        <w:rPr>
          <w:rFonts w:ascii="Open Sans" w:hAnsi="Open Sans" w:cs="Open Sans"/>
        </w:rPr>
        <w:t>Consumer D is identified as at high risk of falls</w:t>
      </w:r>
      <w:r w:rsidR="00746E82">
        <w:rPr>
          <w:rFonts w:ascii="Open Sans" w:hAnsi="Open Sans" w:cs="Open Sans"/>
        </w:rPr>
        <w:t xml:space="preserve"> </w:t>
      </w:r>
      <w:r>
        <w:rPr>
          <w:rFonts w:ascii="Open Sans" w:hAnsi="Open Sans" w:cs="Open Sans"/>
        </w:rPr>
        <w:t xml:space="preserve">and experienced 2 falls over a </w:t>
      </w:r>
      <w:r w:rsidR="00746E82">
        <w:rPr>
          <w:rFonts w:ascii="Open Sans" w:hAnsi="Open Sans" w:cs="Open Sans"/>
        </w:rPr>
        <w:t>3-day</w:t>
      </w:r>
      <w:r>
        <w:rPr>
          <w:rFonts w:ascii="Open Sans" w:hAnsi="Open Sans" w:cs="Open Sans"/>
        </w:rPr>
        <w:t xml:space="preserve"> period.</w:t>
      </w:r>
      <w:r w:rsidR="00F806F7">
        <w:rPr>
          <w:rFonts w:ascii="Open Sans" w:hAnsi="Open Sans" w:cs="Open Sans"/>
        </w:rPr>
        <w:t xml:space="preserve"> </w:t>
      </w:r>
      <w:r w:rsidR="00746E82">
        <w:rPr>
          <w:rFonts w:ascii="Open Sans" w:hAnsi="Open Sans" w:cs="Open Sans"/>
        </w:rPr>
        <w:t xml:space="preserve">A medication for low blood pressure was withheld, and despite </w:t>
      </w:r>
      <w:r w:rsidR="00C900CB">
        <w:rPr>
          <w:rFonts w:ascii="Open Sans" w:hAnsi="Open Sans" w:cs="Open Sans"/>
        </w:rPr>
        <w:t>low blood pressure readings</w:t>
      </w:r>
      <w:r w:rsidR="00170712">
        <w:rPr>
          <w:rFonts w:ascii="Open Sans" w:hAnsi="Open Sans" w:cs="Open Sans"/>
        </w:rPr>
        <w:t>, there was no documented evidence staff escalated concerns to a medical officer</w:t>
      </w:r>
      <w:r w:rsidR="00CD353A">
        <w:rPr>
          <w:rFonts w:ascii="Open Sans" w:hAnsi="Open Sans" w:cs="Open Sans"/>
        </w:rPr>
        <w:t xml:space="preserve"> </w:t>
      </w:r>
      <w:r w:rsidR="00170712">
        <w:rPr>
          <w:rFonts w:ascii="Open Sans" w:hAnsi="Open Sans" w:cs="Open Sans"/>
        </w:rPr>
        <w:t>or implemented interim clinical management str</w:t>
      </w:r>
      <w:r w:rsidR="007408C0">
        <w:rPr>
          <w:rFonts w:ascii="Open Sans" w:hAnsi="Open Sans" w:cs="Open Sans"/>
        </w:rPr>
        <w:t>ategies</w:t>
      </w:r>
      <w:r w:rsidR="009C0BF4">
        <w:rPr>
          <w:rFonts w:ascii="Open Sans" w:hAnsi="Open Sans" w:cs="Open Sans"/>
        </w:rPr>
        <w:t>,</w:t>
      </w:r>
      <w:r w:rsidR="007408C0">
        <w:rPr>
          <w:rFonts w:ascii="Open Sans" w:hAnsi="Open Sans" w:cs="Open Sans"/>
        </w:rPr>
        <w:t xml:space="preserve"> such as increased monitoring. </w:t>
      </w:r>
      <w:r w:rsidR="003B2FF7">
        <w:rPr>
          <w:rFonts w:ascii="Open Sans" w:hAnsi="Open Sans" w:cs="Open Sans"/>
        </w:rPr>
        <w:t>Two hours</w:t>
      </w:r>
      <w:r w:rsidR="007408C0">
        <w:rPr>
          <w:rFonts w:ascii="Open Sans" w:hAnsi="Open Sans" w:cs="Open Sans"/>
        </w:rPr>
        <w:t xml:space="preserve"> later</w:t>
      </w:r>
      <w:r w:rsidR="009C0BF4">
        <w:rPr>
          <w:rFonts w:ascii="Open Sans" w:hAnsi="Open Sans" w:cs="Open Sans"/>
        </w:rPr>
        <w:t>,</w:t>
      </w:r>
      <w:r w:rsidR="003B2FF7">
        <w:rPr>
          <w:rFonts w:ascii="Open Sans" w:hAnsi="Open Sans" w:cs="Open Sans"/>
        </w:rPr>
        <w:t xml:space="preserve"> the consumer was</w:t>
      </w:r>
      <w:r w:rsidR="007408C0">
        <w:rPr>
          <w:rFonts w:ascii="Open Sans" w:hAnsi="Open Sans" w:cs="Open Sans"/>
        </w:rPr>
        <w:t xml:space="preserve"> transferred to hospital following an unresponsive episode.</w:t>
      </w:r>
      <w:r w:rsidR="00CD353A">
        <w:rPr>
          <w:rFonts w:ascii="Open Sans" w:hAnsi="Open Sans" w:cs="Open Sans"/>
        </w:rPr>
        <w:t xml:space="preserve"> Upon return from hospital, progress notes </w:t>
      </w:r>
      <w:r w:rsidR="00013131">
        <w:rPr>
          <w:rFonts w:ascii="Open Sans" w:hAnsi="Open Sans" w:cs="Open Sans"/>
        </w:rPr>
        <w:t xml:space="preserve">and incident reports did </w:t>
      </w:r>
      <w:r w:rsidR="00640884">
        <w:rPr>
          <w:rFonts w:ascii="Open Sans" w:hAnsi="Open Sans" w:cs="Open Sans"/>
        </w:rPr>
        <w:t>not evidence a post hospital review</w:t>
      </w:r>
      <w:r w:rsidR="00EA5B6D">
        <w:rPr>
          <w:rFonts w:ascii="Open Sans" w:hAnsi="Open Sans" w:cs="Open Sans"/>
        </w:rPr>
        <w:t xml:space="preserve">, adjusted care planning or strategies to mitigate the risk of further low blood pressure episodes. </w:t>
      </w:r>
    </w:p>
    <w:p w14:paraId="1D619E41" w14:textId="6F51406A" w:rsidR="00842554" w:rsidRDefault="00842554" w:rsidP="0036130C">
      <w:pPr>
        <w:pStyle w:val="NormalArial"/>
        <w:rPr>
          <w:rFonts w:ascii="Open Sans" w:hAnsi="Open Sans" w:cs="Open Sans"/>
        </w:rPr>
      </w:pPr>
      <w:r>
        <w:rPr>
          <w:rFonts w:ascii="Open Sans" w:hAnsi="Open Sans" w:cs="Open Sans"/>
        </w:rPr>
        <w:t>Following Consumer D’s return from hospital</w:t>
      </w:r>
      <w:r w:rsidR="008E14EF">
        <w:rPr>
          <w:rFonts w:ascii="Open Sans" w:hAnsi="Open Sans" w:cs="Open Sans"/>
        </w:rPr>
        <w:t xml:space="preserve">, they sustained 3 falls overnight, and only 2 pain chart entries were </w:t>
      </w:r>
      <w:r w:rsidR="009C0BF4">
        <w:rPr>
          <w:rFonts w:ascii="Open Sans" w:hAnsi="Open Sans" w:cs="Open Sans"/>
        </w:rPr>
        <w:t xml:space="preserve">noted </w:t>
      </w:r>
      <w:r w:rsidR="008E14EF">
        <w:rPr>
          <w:rFonts w:ascii="Open Sans" w:hAnsi="Open Sans" w:cs="Open Sans"/>
        </w:rPr>
        <w:t xml:space="preserve">following these falls. Clinical staff misinterpreted </w:t>
      </w:r>
      <w:r w:rsidR="00970C97">
        <w:rPr>
          <w:rFonts w:ascii="Open Sans" w:hAnsi="Open Sans" w:cs="Open Sans"/>
        </w:rPr>
        <w:t>instructions on the medication chart</w:t>
      </w:r>
      <w:r w:rsidR="003322E1">
        <w:rPr>
          <w:rFonts w:ascii="Open Sans" w:hAnsi="Open Sans" w:cs="Open Sans"/>
        </w:rPr>
        <w:t>, resulting in pain medication being withheld. Post fall neurological observations were not undertaken following any of the falls</w:t>
      </w:r>
      <w:r w:rsidR="00683F4E">
        <w:rPr>
          <w:rFonts w:ascii="Open Sans" w:hAnsi="Open Sans" w:cs="Open Sans"/>
        </w:rPr>
        <w:t>.</w:t>
      </w:r>
    </w:p>
    <w:p w14:paraId="75404C52" w14:textId="45BE3687" w:rsidR="00683F4E" w:rsidRDefault="00683F4E" w:rsidP="0036130C">
      <w:pPr>
        <w:pStyle w:val="NormalArial"/>
        <w:rPr>
          <w:rFonts w:ascii="Open Sans" w:hAnsi="Open Sans" w:cs="Open Sans"/>
        </w:rPr>
      </w:pPr>
      <w:r>
        <w:rPr>
          <w:rFonts w:ascii="Open Sans" w:hAnsi="Open Sans" w:cs="Open Sans"/>
        </w:rPr>
        <w:t xml:space="preserve">Consumer C </w:t>
      </w:r>
      <w:r w:rsidR="00F139B5">
        <w:rPr>
          <w:rFonts w:ascii="Open Sans" w:hAnsi="Open Sans" w:cs="Open Sans"/>
        </w:rPr>
        <w:t xml:space="preserve">lives with chronic </w:t>
      </w:r>
      <w:r w:rsidR="006D16BE">
        <w:rPr>
          <w:rFonts w:ascii="Open Sans" w:hAnsi="Open Sans" w:cs="Open Sans"/>
        </w:rPr>
        <w:t>pain and</w:t>
      </w:r>
      <w:r w:rsidR="00F139B5">
        <w:rPr>
          <w:rFonts w:ascii="Open Sans" w:hAnsi="Open Sans" w:cs="Open Sans"/>
        </w:rPr>
        <w:t xml:space="preserve"> has </w:t>
      </w:r>
      <w:r w:rsidR="006E5571">
        <w:rPr>
          <w:rFonts w:ascii="Open Sans" w:hAnsi="Open Sans" w:cs="Open Sans"/>
        </w:rPr>
        <w:t>experienced falls resulting in fractures. Consumer C experienced a fall in July and August</w:t>
      </w:r>
      <w:r w:rsidR="009C0BF4">
        <w:rPr>
          <w:rFonts w:ascii="Open Sans" w:hAnsi="Open Sans" w:cs="Open Sans"/>
        </w:rPr>
        <w:t xml:space="preserve"> 2025</w:t>
      </w:r>
      <w:r w:rsidR="00706174">
        <w:rPr>
          <w:rFonts w:ascii="Open Sans" w:hAnsi="Open Sans" w:cs="Open Sans"/>
        </w:rPr>
        <w:t>. For the fall in July</w:t>
      </w:r>
      <w:r w:rsidR="009C0BF4">
        <w:rPr>
          <w:rFonts w:ascii="Open Sans" w:hAnsi="Open Sans" w:cs="Open Sans"/>
        </w:rPr>
        <w:t xml:space="preserve"> 2025</w:t>
      </w:r>
      <w:r w:rsidR="005E4648">
        <w:rPr>
          <w:rFonts w:ascii="Open Sans" w:hAnsi="Open Sans" w:cs="Open Sans"/>
        </w:rPr>
        <w:t xml:space="preserve">, no analysis was undertaken of the cause of the fall, and </w:t>
      </w:r>
      <w:r w:rsidR="00C51D3B">
        <w:rPr>
          <w:rFonts w:ascii="Open Sans" w:hAnsi="Open Sans" w:cs="Open Sans"/>
        </w:rPr>
        <w:t>Consumer C sustained rib fractures following this fall. For the fall in August</w:t>
      </w:r>
      <w:r w:rsidR="009C0BF4">
        <w:rPr>
          <w:rFonts w:ascii="Open Sans" w:hAnsi="Open Sans" w:cs="Open Sans"/>
        </w:rPr>
        <w:t xml:space="preserve"> 2025</w:t>
      </w:r>
      <w:r w:rsidR="00C51D3B">
        <w:rPr>
          <w:rFonts w:ascii="Open Sans" w:hAnsi="Open Sans" w:cs="Open Sans"/>
        </w:rPr>
        <w:t>, Consumer C was observed to have a haem</w:t>
      </w:r>
      <w:r w:rsidR="001511E6">
        <w:rPr>
          <w:rFonts w:ascii="Open Sans" w:hAnsi="Open Sans" w:cs="Open Sans"/>
        </w:rPr>
        <w:t xml:space="preserve">atoma on </w:t>
      </w:r>
      <w:r w:rsidR="009C0BF4">
        <w:rPr>
          <w:rFonts w:ascii="Open Sans" w:hAnsi="Open Sans" w:cs="Open Sans"/>
        </w:rPr>
        <w:t xml:space="preserve">the </w:t>
      </w:r>
      <w:r w:rsidR="001511E6">
        <w:rPr>
          <w:rFonts w:ascii="Open Sans" w:hAnsi="Open Sans" w:cs="Open Sans"/>
        </w:rPr>
        <w:t xml:space="preserve">left </w:t>
      </w:r>
      <w:r w:rsidR="006D16BE">
        <w:rPr>
          <w:rFonts w:ascii="Open Sans" w:hAnsi="Open Sans" w:cs="Open Sans"/>
        </w:rPr>
        <w:t>hip,</w:t>
      </w:r>
      <w:r w:rsidR="006679D2">
        <w:rPr>
          <w:rFonts w:ascii="Open Sans" w:hAnsi="Open Sans" w:cs="Open Sans"/>
        </w:rPr>
        <w:t xml:space="preserve"> and the completed incident form did not identify if this was </w:t>
      </w:r>
      <w:r w:rsidR="00DA5AA8">
        <w:rPr>
          <w:rFonts w:ascii="Open Sans" w:hAnsi="Open Sans" w:cs="Open Sans"/>
        </w:rPr>
        <w:t>a result of a traumatic fall, instead saying it was a bruise.</w:t>
      </w:r>
      <w:r w:rsidR="0021269D">
        <w:rPr>
          <w:rFonts w:ascii="Open Sans" w:hAnsi="Open Sans" w:cs="Open Sans"/>
        </w:rPr>
        <w:t xml:space="preserve"> The Assessment Team advised no pain monitoring was undertaken prior to hospital transfers, and Consumer C remained in the service for 12 hours prior to hospital transfer. Medication charting for July and August</w:t>
      </w:r>
      <w:r w:rsidR="009C0BF4">
        <w:rPr>
          <w:rFonts w:ascii="Open Sans" w:hAnsi="Open Sans" w:cs="Open Sans"/>
        </w:rPr>
        <w:t xml:space="preserve"> 2025</w:t>
      </w:r>
      <w:r w:rsidR="0021269D">
        <w:rPr>
          <w:rFonts w:ascii="Open Sans" w:hAnsi="Open Sans" w:cs="Open Sans"/>
        </w:rPr>
        <w:t xml:space="preserve"> evidenced </w:t>
      </w:r>
      <w:r w:rsidR="00120339">
        <w:rPr>
          <w:rFonts w:ascii="Open Sans" w:hAnsi="Open Sans" w:cs="Open Sans"/>
        </w:rPr>
        <w:t xml:space="preserve">pain monitoring was not undertaken each time as required analgesia was administered. </w:t>
      </w:r>
    </w:p>
    <w:p w14:paraId="58022F1A" w14:textId="11826089" w:rsidR="00120339" w:rsidRDefault="00120339" w:rsidP="0036130C">
      <w:pPr>
        <w:pStyle w:val="NormalArial"/>
        <w:rPr>
          <w:rFonts w:ascii="Open Sans" w:hAnsi="Open Sans" w:cs="Open Sans"/>
        </w:rPr>
      </w:pPr>
      <w:r>
        <w:rPr>
          <w:rFonts w:ascii="Open Sans" w:hAnsi="Open Sans" w:cs="Open Sans"/>
        </w:rPr>
        <w:t xml:space="preserve">The Assessment Team advised </w:t>
      </w:r>
      <w:r w:rsidR="00051251">
        <w:rPr>
          <w:rFonts w:ascii="Open Sans" w:hAnsi="Open Sans" w:cs="Open Sans"/>
        </w:rPr>
        <w:t xml:space="preserve">a review of clinical files demonstrated </w:t>
      </w:r>
      <w:r w:rsidR="00FD0F09">
        <w:rPr>
          <w:rFonts w:ascii="Open Sans" w:hAnsi="Open Sans" w:cs="Open Sans"/>
        </w:rPr>
        <w:t>incons</w:t>
      </w:r>
      <w:r w:rsidR="00217829">
        <w:rPr>
          <w:rFonts w:ascii="Open Sans" w:hAnsi="Open Sans" w:cs="Open Sans"/>
        </w:rPr>
        <w:t xml:space="preserve">istencies with post fall management of neurological observations and pain management, however, did not provide commentary or </w:t>
      </w:r>
      <w:r w:rsidR="0042043A">
        <w:rPr>
          <w:rFonts w:ascii="Open Sans" w:hAnsi="Open Sans" w:cs="Open Sans"/>
        </w:rPr>
        <w:t xml:space="preserve">additional </w:t>
      </w:r>
      <w:r w:rsidR="00217829">
        <w:rPr>
          <w:rFonts w:ascii="Open Sans" w:hAnsi="Open Sans" w:cs="Open Sans"/>
        </w:rPr>
        <w:t xml:space="preserve">examples of missed post fall monitoring. </w:t>
      </w:r>
    </w:p>
    <w:p w14:paraId="317657BF" w14:textId="77777777" w:rsidR="0032592C" w:rsidRDefault="00217829" w:rsidP="0036130C">
      <w:pPr>
        <w:pStyle w:val="NormalArial"/>
        <w:rPr>
          <w:rFonts w:ascii="Open Sans" w:hAnsi="Open Sans" w:cs="Open Sans"/>
        </w:rPr>
      </w:pPr>
      <w:r>
        <w:rPr>
          <w:rFonts w:ascii="Open Sans" w:hAnsi="Open Sans" w:cs="Open Sans"/>
        </w:rPr>
        <w:t>The provider refuted the Assessment Team’s findings</w:t>
      </w:r>
      <w:r w:rsidR="00F16C69">
        <w:rPr>
          <w:rFonts w:ascii="Open Sans" w:hAnsi="Open Sans" w:cs="Open Sans"/>
        </w:rPr>
        <w:t xml:space="preserve">, however, did not </w:t>
      </w:r>
      <w:r w:rsidR="00510D3E">
        <w:rPr>
          <w:rFonts w:ascii="Open Sans" w:hAnsi="Open Sans" w:cs="Open Sans"/>
        </w:rPr>
        <w:t xml:space="preserve">present evidence </w:t>
      </w:r>
      <w:r w:rsidR="00DC013B">
        <w:rPr>
          <w:rFonts w:ascii="Open Sans" w:hAnsi="Open Sans" w:cs="Open Sans"/>
        </w:rPr>
        <w:t xml:space="preserve">relating to Consumer </w:t>
      </w:r>
      <w:r w:rsidR="0032592C">
        <w:rPr>
          <w:rFonts w:ascii="Open Sans" w:hAnsi="Open Sans" w:cs="Open Sans"/>
        </w:rPr>
        <w:t>D’s unresponsive episode or subsequent falls.</w:t>
      </w:r>
    </w:p>
    <w:p w14:paraId="53D4D889" w14:textId="0DD9154E" w:rsidR="00217829" w:rsidRDefault="0032592C" w:rsidP="0036130C">
      <w:pPr>
        <w:pStyle w:val="NormalArial"/>
        <w:rPr>
          <w:rFonts w:ascii="Open Sans" w:hAnsi="Open Sans" w:cs="Open Sans"/>
        </w:rPr>
      </w:pPr>
      <w:r>
        <w:rPr>
          <w:rFonts w:ascii="Open Sans" w:hAnsi="Open Sans" w:cs="Open Sans"/>
        </w:rPr>
        <w:t xml:space="preserve">In relation to Consumer C, the provider presented progress notes </w:t>
      </w:r>
      <w:r w:rsidR="000F0F0F">
        <w:rPr>
          <w:rFonts w:ascii="Open Sans" w:hAnsi="Open Sans" w:cs="Open Sans"/>
        </w:rPr>
        <w:t xml:space="preserve">which evidence </w:t>
      </w:r>
      <w:r w:rsidR="00C37917">
        <w:rPr>
          <w:rFonts w:ascii="Open Sans" w:hAnsi="Open Sans" w:cs="Open Sans"/>
        </w:rPr>
        <w:t xml:space="preserve">clinical staff recommended a hospital transfer upon initial </w:t>
      </w:r>
      <w:r w:rsidR="00E06E7A">
        <w:rPr>
          <w:rFonts w:ascii="Open Sans" w:hAnsi="Open Sans" w:cs="Open Sans"/>
        </w:rPr>
        <w:t xml:space="preserve">assessment of the consumer, however </w:t>
      </w:r>
      <w:r w:rsidR="000F0F0F">
        <w:rPr>
          <w:rFonts w:ascii="Open Sans" w:hAnsi="Open Sans" w:cs="Open Sans"/>
        </w:rPr>
        <w:t xml:space="preserve">the representative refused hospital transfer until 12 </w:t>
      </w:r>
      <w:r w:rsidR="000F0F0F">
        <w:rPr>
          <w:rFonts w:ascii="Open Sans" w:hAnsi="Open Sans" w:cs="Open Sans"/>
        </w:rPr>
        <w:lastRenderedPageBreak/>
        <w:t xml:space="preserve">hours </w:t>
      </w:r>
      <w:r w:rsidR="00EB553D">
        <w:rPr>
          <w:rFonts w:ascii="Open Sans" w:hAnsi="Open Sans" w:cs="Open Sans"/>
        </w:rPr>
        <w:t xml:space="preserve">after the haematoma was initially identified. Incident reports and progress notes demonstrate the consumer denied </w:t>
      </w:r>
      <w:r w:rsidR="00307757">
        <w:rPr>
          <w:rFonts w:ascii="Open Sans" w:hAnsi="Open Sans" w:cs="Open Sans"/>
        </w:rPr>
        <w:t>a fall or other traumatic injury</w:t>
      </w:r>
      <w:r w:rsidR="009F39FD">
        <w:rPr>
          <w:rFonts w:ascii="Open Sans" w:hAnsi="Open Sans" w:cs="Open Sans"/>
        </w:rPr>
        <w:t>, and upon return from hospital, the consumer was reviewed by the phys</w:t>
      </w:r>
      <w:r w:rsidR="005D7359">
        <w:rPr>
          <w:rFonts w:ascii="Open Sans" w:hAnsi="Open Sans" w:cs="Open Sans"/>
        </w:rPr>
        <w:t xml:space="preserve">iotherapist. </w:t>
      </w:r>
    </w:p>
    <w:p w14:paraId="5F1163BA" w14:textId="5D2778EF" w:rsidR="005D7359" w:rsidRDefault="005D7359" w:rsidP="0036130C">
      <w:pPr>
        <w:pStyle w:val="NormalArial"/>
        <w:rPr>
          <w:rFonts w:ascii="Open Sans" w:hAnsi="Open Sans" w:cs="Open Sans"/>
        </w:rPr>
      </w:pPr>
      <w:r>
        <w:rPr>
          <w:rFonts w:ascii="Open Sans" w:hAnsi="Open Sans" w:cs="Open Sans"/>
        </w:rPr>
        <w:t>I acknowledge the provider</w:t>
      </w:r>
      <w:r w:rsidR="009C0BF4">
        <w:rPr>
          <w:rFonts w:ascii="Open Sans" w:hAnsi="Open Sans" w:cs="Open Sans"/>
        </w:rPr>
        <w:t>’</w:t>
      </w:r>
      <w:r>
        <w:rPr>
          <w:rFonts w:ascii="Open Sans" w:hAnsi="Open Sans" w:cs="Open Sans"/>
        </w:rPr>
        <w:t xml:space="preserve">s </w:t>
      </w:r>
      <w:proofErr w:type="gramStart"/>
      <w:r>
        <w:rPr>
          <w:rFonts w:ascii="Open Sans" w:hAnsi="Open Sans" w:cs="Open Sans"/>
        </w:rPr>
        <w:t>response,</w:t>
      </w:r>
      <w:proofErr w:type="gramEnd"/>
      <w:r>
        <w:rPr>
          <w:rFonts w:ascii="Open Sans" w:hAnsi="Open Sans" w:cs="Open Sans"/>
        </w:rPr>
        <w:t xml:space="preserve"> however, I find the provider did not demonstrate effective management of high-impact or high-prevalence risks associated with the care of each consumer. </w:t>
      </w:r>
    </w:p>
    <w:p w14:paraId="36439D29" w14:textId="438C8E66" w:rsidR="00B73816" w:rsidRDefault="00B73816" w:rsidP="0036130C">
      <w:pPr>
        <w:pStyle w:val="NormalArial"/>
        <w:rPr>
          <w:rFonts w:ascii="Open Sans" w:hAnsi="Open Sans" w:cs="Open Sans"/>
        </w:rPr>
      </w:pPr>
      <w:r>
        <w:rPr>
          <w:rFonts w:ascii="Open Sans" w:hAnsi="Open Sans" w:cs="Open Sans"/>
        </w:rPr>
        <w:t xml:space="preserve">In coming to my finding, I acknowledge the appropriate management of Consumer C following identification of the haematoma. However, </w:t>
      </w:r>
      <w:r w:rsidR="00753AC0">
        <w:rPr>
          <w:rFonts w:ascii="Open Sans" w:hAnsi="Open Sans" w:cs="Open Sans"/>
        </w:rPr>
        <w:t xml:space="preserve">the provider did not present evidence to support appropriate oversight and management of Consumer D in relation to their low blood pressure and unresponsive episode. I consider Consumer D’s pain was not monitored effectively, and the consumer did not receive pain medication for several hours due to a misinterpretation of the medication chart. </w:t>
      </w:r>
      <w:r w:rsidR="00C14D00">
        <w:rPr>
          <w:rFonts w:ascii="Open Sans" w:hAnsi="Open Sans" w:cs="Open Sans"/>
        </w:rPr>
        <w:t>I also consider the provider did not identify how the risks to Consumer D would be mitigated in the future.</w:t>
      </w:r>
    </w:p>
    <w:p w14:paraId="36359B8F" w14:textId="02BEFD18" w:rsidR="00C14D00" w:rsidRPr="00EC6165" w:rsidRDefault="00C14D00" w:rsidP="0036130C">
      <w:pPr>
        <w:pStyle w:val="NormalArial"/>
        <w:rPr>
          <w:rFonts w:ascii="Open Sans" w:hAnsi="Open Sans" w:cs="Open Sans"/>
        </w:rPr>
      </w:pPr>
      <w:r>
        <w:rPr>
          <w:rFonts w:ascii="Open Sans" w:hAnsi="Open Sans" w:cs="Open Sans"/>
        </w:rPr>
        <w:t>For the reasons detailed above, I find requirement 3(3)(b) non-compliant.</w:t>
      </w:r>
    </w:p>
    <w:p w14:paraId="0E0D2FBF" w14:textId="76360DC3" w:rsidR="008D1863" w:rsidRDefault="008D1863">
      <w:pPr>
        <w:spacing w:after="160" w:line="259" w:lineRule="auto"/>
        <w:rPr>
          <w:rFonts w:ascii="Open Sans" w:eastAsia="Yu Gothic Light" w:hAnsi="Open Sans" w:cs="Open Sans"/>
          <w:b/>
          <w:bCs/>
          <w:sz w:val="30"/>
          <w:szCs w:val="28"/>
        </w:rPr>
      </w:pPr>
      <w:r>
        <w:rPr>
          <w:rFonts w:ascii="Open Sans" w:hAnsi="Open Sans" w:cs="Open Sans"/>
        </w:rPr>
        <w:br w:type="page"/>
      </w:r>
    </w:p>
    <w:p w14:paraId="60800D40" w14:textId="0647DD9B" w:rsidR="00CE23FF" w:rsidRPr="001E694D" w:rsidRDefault="00CE23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89"/>
        <w:gridCol w:w="1650"/>
      </w:tblGrid>
      <w:tr w:rsidR="008C07ED" w14:paraId="43751057" w14:textId="77777777" w:rsidTr="0009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2B894956" w14:textId="77777777" w:rsidR="00CE23FF" w:rsidRPr="001E694D" w:rsidRDefault="00CE23F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650" w:type="dxa"/>
            <w:shd w:val="clear" w:color="auto" w:fill="781E77"/>
          </w:tcPr>
          <w:p w14:paraId="4CCF3019" w14:textId="77777777" w:rsidR="00CE23FF" w:rsidRPr="001E694D" w:rsidRDefault="00CE23F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07ED" w14:paraId="0D2AD4E7" w14:textId="77777777" w:rsidTr="000946C0">
        <w:tc>
          <w:tcPr>
            <w:cnfStyle w:val="001000000000" w:firstRow="0" w:lastRow="0" w:firstColumn="1" w:lastColumn="0" w:oddVBand="0" w:evenVBand="0" w:oddHBand="0" w:evenHBand="0" w:firstRowFirstColumn="0" w:firstRowLastColumn="0" w:lastRowFirstColumn="0" w:lastRowLastColumn="0"/>
            <w:tcW w:w="0" w:type="auto"/>
          </w:tcPr>
          <w:p w14:paraId="7D00AA99"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7(3)(a)</w:t>
            </w:r>
          </w:p>
        </w:tc>
        <w:tc>
          <w:tcPr>
            <w:tcW w:w="5689" w:type="dxa"/>
          </w:tcPr>
          <w:p w14:paraId="1D9DBD59" w14:textId="77777777" w:rsidR="00CE23FF" w:rsidRPr="001E694D" w:rsidRDefault="00CE23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650" w:type="dxa"/>
          </w:tcPr>
          <w:p w14:paraId="4775CC49" w14:textId="77777777" w:rsidR="00CE23FF" w:rsidRPr="001E694D" w:rsidRDefault="00BC1C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266666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E23FF" w:rsidRPr="001E694D">
                  <w:rPr>
                    <w:rFonts w:ascii="Open Sans" w:hAnsi="Open Sans" w:cs="Open Sans"/>
                  </w:rPr>
                  <w:t>Compliant</w:t>
                </w:r>
              </w:sdtContent>
            </w:sdt>
          </w:p>
        </w:tc>
      </w:tr>
      <w:tr w:rsidR="008C07ED" w14:paraId="27D2DD5A" w14:textId="77777777" w:rsidTr="000946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BE54D4"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7(3)(d)</w:t>
            </w:r>
          </w:p>
        </w:tc>
        <w:tc>
          <w:tcPr>
            <w:tcW w:w="5689" w:type="dxa"/>
            <w:shd w:val="clear" w:color="auto" w:fill="auto"/>
          </w:tcPr>
          <w:p w14:paraId="58C91837" w14:textId="77777777" w:rsidR="00CE23FF" w:rsidRPr="001E694D" w:rsidRDefault="00CE23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650" w:type="dxa"/>
            <w:shd w:val="clear" w:color="auto" w:fill="auto"/>
          </w:tcPr>
          <w:p w14:paraId="35B2CF98" w14:textId="77777777" w:rsidR="00CE23FF" w:rsidRPr="001E694D" w:rsidRDefault="00BC1C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558644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E23FF" w:rsidRPr="001E694D">
                  <w:rPr>
                    <w:rFonts w:ascii="Open Sans" w:hAnsi="Open Sans" w:cs="Open Sans"/>
                  </w:rPr>
                  <w:t>Compliant</w:t>
                </w:r>
              </w:sdtContent>
            </w:sdt>
          </w:p>
        </w:tc>
      </w:tr>
    </w:tbl>
    <w:p w14:paraId="11FFB34B" w14:textId="77777777" w:rsidR="00CE23FF" w:rsidRPr="003E162B" w:rsidRDefault="00CE23FF" w:rsidP="002B0C90">
      <w:pPr>
        <w:pStyle w:val="Heading20"/>
        <w:rPr>
          <w:rFonts w:ascii="Open Sans" w:hAnsi="Open Sans" w:cs="Open Sans"/>
          <w:color w:val="781E77"/>
        </w:rPr>
      </w:pPr>
      <w:r w:rsidRPr="003E162B">
        <w:rPr>
          <w:rFonts w:ascii="Open Sans" w:hAnsi="Open Sans" w:cs="Open Sans"/>
          <w:color w:val="781E77"/>
        </w:rPr>
        <w:t>Findings</w:t>
      </w:r>
    </w:p>
    <w:p w14:paraId="198E00DE" w14:textId="22B496B9" w:rsidR="00CE23FF" w:rsidRDefault="00705777" w:rsidP="0036130C">
      <w:pPr>
        <w:pStyle w:val="NormalArial"/>
        <w:rPr>
          <w:rFonts w:ascii="Open Sans" w:hAnsi="Open Sans" w:cs="Open Sans"/>
        </w:rPr>
      </w:pPr>
      <w:r>
        <w:rPr>
          <w:rFonts w:ascii="Open Sans" w:hAnsi="Open Sans" w:cs="Open Sans"/>
          <w:b/>
          <w:bCs/>
        </w:rPr>
        <w:t xml:space="preserve">Requirement 7(3)(a) – </w:t>
      </w:r>
      <w:r>
        <w:rPr>
          <w:rFonts w:ascii="Open Sans" w:hAnsi="Open Sans" w:cs="Open Sans"/>
        </w:rPr>
        <w:t xml:space="preserve">The Assessment Team found the provider was unable to demonstrate the workforce is planned to enable, </w:t>
      </w:r>
      <w:r w:rsidR="00CE524C">
        <w:rPr>
          <w:rFonts w:ascii="Open Sans" w:hAnsi="Open Sans" w:cs="Open Sans"/>
        </w:rPr>
        <w:t xml:space="preserve">and the number and mix of the members of the workforce </w:t>
      </w:r>
      <w:r w:rsidR="00BE53C4">
        <w:rPr>
          <w:rFonts w:ascii="Open Sans" w:hAnsi="Open Sans" w:cs="Open Sans"/>
        </w:rPr>
        <w:t xml:space="preserve">enables the delivery of safe and quality services. The Assessment Team recommended </w:t>
      </w:r>
      <w:r w:rsidR="00337C57">
        <w:rPr>
          <w:rFonts w:ascii="Open Sans" w:hAnsi="Open Sans" w:cs="Open Sans"/>
        </w:rPr>
        <w:t xml:space="preserve">requirement 7(3)(a) not met and provided the following evidence which was obtained through interviews and document review. </w:t>
      </w:r>
    </w:p>
    <w:p w14:paraId="5D9E87A6" w14:textId="16B36109" w:rsidR="00337C57" w:rsidRDefault="00A212E0" w:rsidP="0036130C">
      <w:pPr>
        <w:pStyle w:val="NormalArial"/>
        <w:rPr>
          <w:rFonts w:ascii="Open Sans" w:hAnsi="Open Sans" w:cs="Open Sans"/>
        </w:rPr>
      </w:pPr>
      <w:r>
        <w:rPr>
          <w:rFonts w:ascii="Open Sans" w:hAnsi="Open Sans" w:cs="Open Sans"/>
        </w:rPr>
        <w:t>The complaints register for the 4 weeks prior to the assessment cont</w:t>
      </w:r>
      <w:r w:rsidR="0041365D">
        <w:rPr>
          <w:rFonts w:ascii="Open Sans" w:hAnsi="Open Sans" w:cs="Open Sans"/>
        </w:rPr>
        <w:t>ac</w:t>
      </w:r>
      <w:r>
        <w:rPr>
          <w:rFonts w:ascii="Open Sans" w:hAnsi="Open Sans" w:cs="Open Sans"/>
        </w:rPr>
        <w:t xml:space="preserve">t documented multiple staffing related concerns, including </w:t>
      </w:r>
      <w:r w:rsidR="004577CA">
        <w:rPr>
          <w:rFonts w:ascii="Open Sans" w:hAnsi="Open Sans" w:cs="Open Sans"/>
        </w:rPr>
        <w:t xml:space="preserve">lack of personal care </w:t>
      </w:r>
      <w:r w:rsidR="00DF394A">
        <w:rPr>
          <w:rFonts w:ascii="Open Sans" w:hAnsi="Open Sans" w:cs="Open Sans"/>
        </w:rPr>
        <w:t xml:space="preserve">following an operation </w:t>
      </w:r>
      <w:r w:rsidR="004577CA">
        <w:rPr>
          <w:rFonts w:ascii="Open Sans" w:hAnsi="Open Sans" w:cs="Open Sans"/>
        </w:rPr>
        <w:t xml:space="preserve">due the service being ‘short staffed’, a lack of assistance available at mealtimes and </w:t>
      </w:r>
      <w:r w:rsidR="005C20FE">
        <w:rPr>
          <w:rFonts w:ascii="Open Sans" w:hAnsi="Open Sans" w:cs="Open Sans"/>
        </w:rPr>
        <w:t xml:space="preserve">a high use of agency and </w:t>
      </w:r>
      <w:r w:rsidR="00527020">
        <w:rPr>
          <w:rFonts w:ascii="Open Sans" w:hAnsi="Open Sans" w:cs="Open Sans"/>
        </w:rPr>
        <w:t xml:space="preserve">unfamiliar staff. </w:t>
      </w:r>
    </w:p>
    <w:p w14:paraId="3316AB32" w14:textId="7DC20322" w:rsidR="0035467F" w:rsidRDefault="00527020" w:rsidP="0036130C">
      <w:pPr>
        <w:pStyle w:val="NormalArial"/>
        <w:rPr>
          <w:rFonts w:ascii="Open Sans" w:hAnsi="Open Sans" w:cs="Open Sans"/>
        </w:rPr>
      </w:pPr>
      <w:r>
        <w:rPr>
          <w:rFonts w:ascii="Open Sans" w:hAnsi="Open Sans" w:cs="Open Sans"/>
        </w:rPr>
        <w:t xml:space="preserve">The average call bell response time was significantly under the </w:t>
      </w:r>
      <w:r w:rsidR="003E6B0F">
        <w:rPr>
          <w:rFonts w:ascii="Open Sans" w:hAnsi="Open Sans" w:cs="Open Sans"/>
        </w:rPr>
        <w:t>10-minute</w:t>
      </w:r>
      <w:r>
        <w:rPr>
          <w:rFonts w:ascii="Open Sans" w:hAnsi="Open Sans" w:cs="Open Sans"/>
        </w:rPr>
        <w:t xml:space="preserve"> target response time, however, </w:t>
      </w:r>
      <w:r w:rsidR="009B5036">
        <w:rPr>
          <w:rFonts w:ascii="Open Sans" w:hAnsi="Open Sans" w:cs="Open Sans"/>
        </w:rPr>
        <w:t>17% of calls were over the 10</w:t>
      </w:r>
      <w:r w:rsidR="003E6B0F">
        <w:rPr>
          <w:rFonts w:ascii="Open Sans" w:hAnsi="Open Sans" w:cs="Open Sans"/>
        </w:rPr>
        <w:t>-</w:t>
      </w:r>
      <w:r w:rsidR="009B5036">
        <w:rPr>
          <w:rFonts w:ascii="Open Sans" w:hAnsi="Open Sans" w:cs="Open Sans"/>
        </w:rPr>
        <w:t>minute target time. Consumer D is at high risk of falls</w:t>
      </w:r>
      <w:r w:rsidR="00DD2BB3">
        <w:rPr>
          <w:rFonts w:ascii="Open Sans" w:hAnsi="Open Sans" w:cs="Open Sans"/>
        </w:rPr>
        <w:t xml:space="preserve">, with mitigation strategies for falls management stating staff are to ensure call bell sensors are in place and answered promptly. </w:t>
      </w:r>
      <w:r w:rsidR="00131D2A">
        <w:rPr>
          <w:rFonts w:ascii="Open Sans" w:hAnsi="Open Sans" w:cs="Open Sans"/>
        </w:rPr>
        <w:t xml:space="preserve">For a </w:t>
      </w:r>
      <w:r w:rsidR="003E6B0F">
        <w:rPr>
          <w:rFonts w:ascii="Open Sans" w:hAnsi="Open Sans" w:cs="Open Sans"/>
        </w:rPr>
        <w:t>2-week</w:t>
      </w:r>
      <w:r w:rsidR="00131D2A">
        <w:rPr>
          <w:rFonts w:ascii="Open Sans" w:hAnsi="Open Sans" w:cs="Open Sans"/>
        </w:rPr>
        <w:t xml:space="preserve"> period in July 2025</w:t>
      </w:r>
      <w:r w:rsidR="00EC53E9">
        <w:rPr>
          <w:rFonts w:ascii="Open Sans" w:hAnsi="Open Sans" w:cs="Open Sans"/>
        </w:rPr>
        <w:t>,</w:t>
      </w:r>
      <w:r w:rsidR="00131D2A">
        <w:rPr>
          <w:rFonts w:ascii="Open Sans" w:hAnsi="Open Sans" w:cs="Open Sans"/>
        </w:rPr>
        <w:t xml:space="preserve"> 18 of 114 call bells ha</w:t>
      </w:r>
      <w:r w:rsidR="00EC53E9">
        <w:rPr>
          <w:rFonts w:ascii="Open Sans" w:hAnsi="Open Sans" w:cs="Open Sans"/>
        </w:rPr>
        <w:t>d</w:t>
      </w:r>
      <w:r w:rsidR="00131D2A">
        <w:rPr>
          <w:rFonts w:ascii="Open Sans" w:hAnsi="Open Sans" w:cs="Open Sans"/>
        </w:rPr>
        <w:t xml:space="preserve"> a response time of over</w:t>
      </w:r>
      <w:r w:rsidR="0035467F">
        <w:rPr>
          <w:rFonts w:ascii="Open Sans" w:hAnsi="Open Sans" w:cs="Open Sans"/>
        </w:rPr>
        <w:t xml:space="preserve"> 10 minutes, with the longest response time an hour and 24 minutes. </w:t>
      </w:r>
      <w:r w:rsidR="00201798">
        <w:rPr>
          <w:rFonts w:ascii="Open Sans" w:hAnsi="Open Sans" w:cs="Open Sans"/>
        </w:rPr>
        <w:t xml:space="preserve">No investigation was undertaken to assess the reasons or </w:t>
      </w:r>
      <w:r w:rsidR="00897330">
        <w:rPr>
          <w:rFonts w:ascii="Open Sans" w:hAnsi="Open Sans" w:cs="Open Sans"/>
        </w:rPr>
        <w:t>any impact which may have resulted from the delayed response time.</w:t>
      </w:r>
    </w:p>
    <w:p w14:paraId="55CC133E" w14:textId="29C039E8" w:rsidR="00897330" w:rsidRDefault="00325840" w:rsidP="0036130C">
      <w:pPr>
        <w:pStyle w:val="NormalArial"/>
        <w:rPr>
          <w:rFonts w:ascii="Open Sans" w:hAnsi="Open Sans" w:cs="Open Sans"/>
        </w:rPr>
      </w:pPr>
      <w:r>
        <w:rPr>
          <w:rFonts w:ascii="Open Sans" w:hAnsi="Open Sans" w:cs="Open Sans"/>
        </w:rPr>
        <w:t>Management advised the organisation has introduced enhanced workforce planning strategies</w:t>
      </w:r>
      <w:r w:rsidR="00AE6124">
        <w:rPr>
          <w:rFonts w:ascii="Open Sans" w:hAnsi="Open Sans" w:cs="Open Sans"/>
        </w:rPr>
        <w:t xml:space="preserve"> to address service level and organisation wide deficiencies. </w:t>
      </w:r>
      <w:r w:rsidR="00EC53E9">
        <w:rPr>
          <w:rFonts w:ascii="Open Sans" w:hAnsi="Open Sans" w:cs="Open Sans"/>
        </w:rPr>
        <w:t>However,</w:t>
      </w:r>
      <w:r w:rsidR="00AE6124">
        <w:rPr>
          <w:rFonts w:ascii="Open Sans" w:hAnsi="Open Sans" w:cs="Open Sans"/>
        </w:rPr>
        <w:t xml:space="preserve"> at a service level</w:t>
      </w:r>
      <w:r w:rsidR="00FE030E">
        <w:rPr>
          <w:rFonts w:ascii="Open Sans" w:hAnsi="Open Sans" w:cs="Open Sans"/>
        </w:rPr>
        <w:t>, recruitment strategies were not effective in addressing gaps</w:t>
      </w:r>
      <w:r w:rsidR="001B6D52">
        <w:rPr>
          <w:rFonts w:ascii="Open Sans" w:hAnsi="Open Sans" w:cs="Open Sans"/>
        </w:rPr>
        <w:t xml:space="preserve">. </w:t>
      </w:r>
      <w:r w:rsidR="008F7532">
        <w:rPr>
          <w:rFonts w:ascii="Open Sans" w:hAnsi="Open Sans" w:cs="Open Sans"/>
        </w:rPr>
        <w:t>While mandatory care minutes were achieved, agency use was high, accounting for just under 50% of staff</w:t>
      </w:r>
      <w:r w:rsidR="00FF0180">
        <w:rPr>
          <w:rFonts w:ascii="Open Sans" w:hAnsi="Open Sans" w:cs="Open Sans"/>
        </w:rPr>
        <w:t>. Allocation shifts for a week in August 2025 showed at least one unfilled shift each day.</w:t>
      </w:r>
      <w:r w:rsidR="006A5AEA">
        <w:rPr>
          <w:rFonts w:ascii="Open Sans" w:hAnsi="Open Sans" w:cs="Open Sans"/>
        </w:rPr>
        <w:t xml:space="preserve"> On 6 August 2025, the evening shift had 2 unfilled care shifts and </w:t>
      </w:r>
      <w:r w:rsidR="009C0BF4">
        <w:rPr>
          <w:rFonts w:ascii="Open Sans" w:hAnsi="Open Sans" w:cs="Open Sans"/>
        </w:rPr>
        <w:t xml:space="preserve">one </w:t>
      </w:r>
      <w:r w:rsidR="006A5AEA">
        <w:rPr>
          <w:rFonts w:ascii="Open Sans" w:hAnsi="Open Sans" w:cs="Open Sans"/>
        </w:rPr>
        <w:t>unfilled clinica</w:t>
      </w:r>
      <w:r w:rsidR="002577E6">
        <w:rPr>
          <w:rFonts w:ascii="Open Sans" w:hAnsi="Open Sans" w:cs="Open Sans"/>
        </w:rPr>
        <w:t xml:space="preserve">l </w:t>
      </w:r>
      <w:r w:rsidR="00C224B4">
        <w:rPr>
          <w:rFonts w:ascii="Open Sans" w:hAnsi="Open Sans" w:cs="Open Sans"/>
        </w:rPr>
        <w:t>shift and</w:t>
      </w:r>
      <w:r w:rsidR="002577E6">
        <w:rPr>
          <w:rFonts w:ascii="Open Sans" w:hAnsi="Open Sans" w:cs="Open Sans"/>
        </w:rPr>
        <w:t xml:space="preserve"> overnight had one unfilled clinical shift.</w:t>
      </w:r>
      <w:r w:rsidR="00FF0180">
        <w:rPr>
          <w:rFonts w:ascii="Open Sans" w:hAnsi="Open Sans" w:cs="Open Sans"/>
        </w:rPr>
        <w:t xml:space="preserve"> Management advised there a</w:t>
      </w:r>
      <w:r w:rsidR="00ED015F">
        <w:rPr>
          <w:rFonts w:ascii="Open Sans" w:hAnsi="Open Sans" w:cs="Open Sans"/>
        </w:rPr>
        <w:t>re strategies in place to adjust the roster in these instances, however</w:t>
      </w:r>
      <w:r w:rsidR="009C0BF4">
        <w:rPr>
          <w:rFonts w:ascii="Open Sans" w:hAnsi="Open Sans" w:cs="Open Sans"/>
        </w:rPr>
        <w:t>,</w:t>
      </w:r>
      <w:r w:rsidR="00ED015F">
        <w:rPr>
          <w:rFonts w:ascii="Open Sans" w:hAnsi="Open Sans" w:cs="Open Sans"/>
        </w:rPr>
        <w:t xml:space="preserve"> this was not documented on</w:t>
      </w:r>
      <w:r w:rsidR="002A6021">
        <w:rPr>
          <w:rFonts w:ascii="Open Sans" w:hAnsi="Open Sans" w:cs="Open Sans"/>
        </w:rPr>
        <w:t xml:space="preserve"> the roster or allocation sheets.</w:t>
      </w:r>
    </w:p>
    <w:p w14:paraId="72629C41" w14:textId="22F94166" w:rsidR="000A768E" w:rsidRDefault="000A768E" w:rsidP="0036130C">
      <w:pPr>
        <w:pStyle w:val="NormalArial"/>
        <w:rPr>
          <w:rFonts w:ascii="Open Sans" w:hAnsi="Open Sans" w:cs="Open Sans"/>
        </w:rPr>
      </w:pPr>
      <w:r>
        <w:rPr>
          <w:rFonts w:ascii="Open Sans" w:hAnsi="Open Sans" w:cs="Open Sans"/>
        </w:rPr>
        <w:lastRenderedPageBreak/>
        <w:t>The provider refuted many of the Assessment Team</w:t>
      </w:r>
      <w:r w:rsidR="00726FB2">
        <w:rPr>
          <w:rFonts w:ascii="Open Sans" w:hAnsi="Open Sans" w:cs="Open Sans"/>
        </w:rPr>
        <w:t xml:space="preserve">’s findings, and reiterated the significant improvements undertaken in relation to improving staffing levels within the service. </w:t>
      </w:r>
    </w:p>
    <w:p w14:paraId="177E4FE6" w14:textId="4689C7AC" w:rsidR="00726FB2" w:rsidRDefault="00E60586" w:rsidP="0036130C">
      <w:pPr>
        <w:pStyle w:val="NormalArial"/>
        <w:rPr>
          <w:rFonts w:ascii="Open Sans" w:hAnsi="Open Sans" w:cs="Open Sans"/>
        </w:rPr>
      </w:pPr>
      <w:r>
        <w:rPr>
          <w:rFonts w:ascii="Open Sans" w:hAnsi="Open Sans" w:cs="Open Sans"/>
        </w:rPr>
        <w:t xml:space="preserve">In relation to complaints </w:t>
      </w:r>
      <w:r w:rsidR="009C0BF4">
        <w:rPr>
          <w:rFonts w:ascii="Open Sans" w:hAnsi="Open Sans" w:cs="Open Sans"/>
        </w:rPr>
        <w:t xml:space="preserve">noted </w:t>
      </w:r>
      <w:r>
        <w:rPr>
          <w:rFonts w:ascii="Open Sans" w:hAnsi="Open Sans" w:cs="Open Sans"/>
        </w:rPr>
        <w:t xml:space="preserve">in the feedback register, the provider acknowledged these complaints, and </w:t>
      </w:r>
      <w:r w:rsidR="007102A5">
        <w:rPr>
          <w:rFonts w:ascii="Open Sans" w:hAnsi="Open Sans" w:cs="Open Sans"/>
        </w:rPr>
        <w:t xml:space="preserve">evidenced investigations undertaken to resolve complaints. </w:t>
      </w:r>
      <w:r w:rsidR="00CF6702">
        <w:rPr>
          <w:rFonts w:ascii="Open Sans" w:hAnsi="Open Sans" w:cs="Open Sans"/>
        </w:rPr>
        <w:t>In relation to the complaint regarding a lack of personal care</w:t>
      </w:r>
      <w:r w:rsidR="00974907">
        <w:rPr>
          <w:rFonts w:ascii="Open Sans" w:hAnsi="Open Sans" w:cs="Open Sans"/>
        </w:rPr>
        <w:t>, the provider evidenced the consumer</w:t>
      </w:r>
      <w:r w:rsidR="009C0BF4">
        <w:rPr>
          <w:rFonts w:ascii="Open Sans" w:hAnsi="Open Sans" w:cs="Open Sans"/>
        </w:rPr>
        <w:t>’</w:t>
      </w:r>
      <w:r w:rsidR="00974907">
        <w:rPr>
          <w:rFonts w:ascii="Open Sans" w:hAnsi="Open Sans" w:cs="Open Sans"/>
        </w:rPr>
        <w:t>s call bells were responded to in line with call bell response times, and</w:t>
      </w:r>
      <w:r w:rsidR="00655B29">
        <w:rPr>
          <w:rFonts w:ascii="Open Sans" w:hAnsi="Open Sans" w:cs="Open Sans"/>
        </w:rPr>
        <w:t xml:space="preserve"> progress notes from the medical officer demonstrated a satisfactory recovery time for this consumer</w:t>
      </w:r>
      <w:r w:rsidR="00DF394A">
        <w:rPr>
          <w:rFonts w:ascii="Open Sans" w:hAnsi="Open Sans" w:cs="Open Sans"/>
        </w:rPr>
        <w:t xml:space="preserve"> following their operation. For </w:t>
      </w:r>
      <w:r w:rsidR="00BD73E2">
        <w:rPr>
          <w:rFonts w:ascii="Open Sans" w:hAnsi="Open Sans" w:cs="Open Sans"/>
        </w:rPr>
        <w:t xml:space="preserve">2 complaints relating to a lack of assistance at mealtimes, </w:t>
      </w:r>
      <w:r w:rsidR="008E4F34">
        <w:rPr>
          <w:rFonts w:ascii="Open Sans" w:hAnsi="Open Sans" w:cs="Open Sans"/>
        </w:rPr>
        <w:t>care documentation demonstrates each of the identified consumers receive support in line with their care plan</w:t>
      </w:r>
      <w:r w:rsidR="00D54BF9">
        <w:rPr>
          <w:rFonts w:ascii="Open Sans" w:hAnsi="Open Sans" w:cs="Open Sans"/>
        </w:rPr>
        <w:t xml:space="preserve">. For one consumer, who has experienced weight loss, progress notes and care plans demonstrate </w:t>
      </w:r>
      <w:r w:rsidR="005A1A13">
        <w:rPr>
          <w:rFonts w:ascii="Open Sans" w:hAnsi="Open Sans" w:cs="Open Sans"/>
        </w:rPr>
        <w:t xml:space="preserve">the consumer’s weight loss was related to general deterioration, with the consumer commencing end of life care in September 2025. </w:t>
      </w:r>
    </w:p>
    <w:p w14:paraId="58D0E0C9" w14:textId="4A2798A4" w:rsidR="00D523F4" w:rsidRDefault="00FB71C1" w:rsidP="0036130C">
      <w:pPr>
        <w:pStyle w:val="NormalArial"/>
        <w:rPr>
          <w:rFonts w:ascii="Open Sans" w:hAnsi="Open Sans" w:cs="Open Sans"/>
        </w:rPr>
      </w:pPr>
      <w:r>
        <w:rPr>
          <w:rFonts w:ascii="Open Sans" w:hAnsi="Open Sans" w:cs="Open Sans"/>
        </w:rPr>
        <w:t xml:space="preserve">The provider </w:t>
      </w:r>
      <w:r w:rsidR="001E4ABB">
        <w:rPr>
          <w:rFonts w:ascii="Open Sans" w:hAnsi="Open Sans" w:cs="Open Sans"/>
        </w:rPr>
        <w:t xml:space="preserve">presented monthly </w:t>
      </w:r>
      <w:r w:rsidR="003E1FAA">
        <w:rPr>
          <w:rFonts w:ascii="Open Sans" w:hAnsi="Open Sans" w:cs="Open Sans"/>
        </w:rPr>
        <w:t>call bell response analysis which evidence the number of call bells responded to in over 10 minutes has</w:t>
      </w:r>
      <w:r w:rsidR="00A910E6">
        <w:rPr>
          <w:rFonts w:ascii="Open Sans" w:hAnsi="Open Sans" w:cs="Open Sans"/>
        </w:rPr>
        <w:t xml:space="preserve"> decreased each month from June to August 2025. </w:t>
      </w:r>
      <w:r w:rsidR="00233754">
        <w:rPr>
          <w:rFonts w:ascii="Open Sans" w:hAnsi="Open Sans" w:cs="Open Sans"/>
        </w:rPr>
        <w:t>Call bells are</w:t>
      </w:r>
      <w:r w:rsidR="00B00F18">
        <w:rPr>
          <w:rFonts w:ascii="Open Sans" w:hAnsi="Open Sans" w:cs="Open Sans"/>
        </w:rPr>
        <w:t xml:space="preserve"> reviewed each day, and responsiveness is tabled at staff meetings to facilitate discussion and promote continuous improvement.</w:t>
      </w:r>
      <w:r w:rsidR="00DD20B1">
        <w:rPr>
          <w:rFonts w:ascii="Open Sans" w:hAnsi="Open Sans" w:cs="Open Sans"/>
        </w:rPr>
        <w:t xml:space="preserve"> </w:t>
      </w:r>
      <w:r w:rsidR="00855857">
        <w:rPr>
          <w:rFonts w:ascii="Open Sans" w:hAnsi="Open Sans" w:cs="Open Sans"/>
        </w:rPr>
        <w:t xml:space="preserve">In relation to Consumer D, monthly analysis demonstrates </w:t>
      </w:r>
      <w:r w:rsidR="002F159F">
        <w:rPr>
          <w:rFonts w:ascii="Open Sans" w:hAnsi="Open Sans" w:cs="Open Sans"/>
        </w:rPr>
        <w:t xml:space="preserve">the average response time to </w:t>
      </w:r>
      <w:r w:rsidR="00D36A71">
        <w:rPr>
          <w:rFonts w:ascii="Open Sans" w:hAnsi="Open Sans" w:cs="Open Sans"/>
        </w:rPr>
        <w:t>C</w:t>
      </w:r>
      <w:r w:rsidR="002F159F">
        <w:rPr>
          <w:rFonts w:ascii="Open Sans" w:hAnsi="Open Sans" w:cs="Open Sans"/>
        </w:rPr>
        <w:t>onsumer D’s call bells has decreased by 43%, with the average response time now 3</w:t>
      </w:r>
      <w:r w:rsidR="00FD0E7B">
        <w:rPr>
          <w:rFonts w:ascii="Open Sans" w:hAnsi="Open Sans" w:cs="Open Sans"/>
        </w:rPr>
        <w:t xml:space="preserve"> </w:t>
      </w:r>
      <w:r w:rsidR="002F159F">
        <w:rPr>
          <w:rFonts w:ascii="Open Sans" w:hAnsi="Open Sans" w:cs="Open Sans"/>
        </w:rPr>
        <w:t xml:space="preserve">minutes and 54 seconds. </w:t>
      </w:r>
    </w:p>
    <w:p w14:paraId="566373A4" w14:textId="0312591E" w:rsidR="00A14F03" w:rsidRDefault="00A14F03" w:rsidP="0036130C">
      <w:pPr>
        <w:pStyle w:val="NormalArial"/>
        <w:rPr>
          <w:rFonts w:ascii="Open Sans" w:hAnsi="Open Sans" w:cs="Open Sans"/>
        </w:rPr>
      </w:pPr>
      <w:r>
        <w:rPr>
          <w:rFonts w:ascii="Open Sans" w:hAnsi="Open Sans" w:cs="Open Sans"/>
        </w:rPr>
        <w:t xml:space="preserve">The provider advised they continue to implement targeted recruitment </w:t>
      </w:r>
      <w:r w:rsidR="0017064E">
        <w:rPr>
          <w:rFonts w:ascii="Open Sans" w:hAnsi="Open Sans" w:cs="Open Sans"/>
        </w:rPr>
        <w:t xml:space="preserve">initiatives which </w:t>
      </w:r>
      <w:r w:rsidR="009C0BF4">
        <w:rPr>
          <w:rFonts w:ascii="Open Sans" w:hAnsi="Open Sans" w:cs="Open Sans"/>
        </w:rPr>
        <w:t xml:space="preserve">are aimed </w:t>
      </w:r>
      <w:r w:rsidR="0017064E">
        <w:rPr>
          <w:rFonts w:ascii="Open Sans" w:hAnsi="Open Sans" w:cs="Open Sans"/>
        </w:rPr>
        <w:t>at attracting a suitably skilled workforce, with 4 clinical staff due to commence</w:t>
      </w:r>
      <w:r w:rsidR="00B30C6D">
        <w:rPr>
          <w:rFonts w:ascii="Open Sans" w:hAnsi="Open Sans" w:cs="Open Sans"/>
        </w:rPr>
        <w:t xml:space="preserve"> in the coming months. To support and improve staff engagement</w:t>
      </w:r>
      <w:r w:rsidR="00057F74">
        <w:rPr>
          <w:rFonts w:ascii="Open Sans" w:hAnsi="Open Sans" w:cs="Open Sans"/>
        </w:rPr>
        <w:t xml:space="preserve"> and retention</w:t>
      </w:r>
      <w:r w:rsidR="006D43A2">
        <w:rPr>
          <w:rFonts w:ascii="Open Sans" w:hAnsi="Open Sans" w:cs="Open Sans"/>
        </w:rPr>
        <w:t>, recognition and rewards programs have been implemented</w:t>
      </w:r>
      <w:r w:rsidR="00057F74">
        <w:rPr>
          <w:rFonts w:ascii="Open Sans" w:hAnsi="Open Sans" w:cs="Open Sans"/>
        </w:rPr>
        <w:t xml:space="preserve">, and workforce management updates are provided at both staff and consumer meetings. </w:t>
      </w:r>
      <w:r w:rsidR="004C4D03">
        <w:rPr>
          <w:rFonts w:ascii="Open Sans" w:hAnsi="Open Sans" w:cs="Open Sans"/>
        </w:rPr>
        <w:t xml:space="preserve">From June to August 2025, 24 </w:t>
      </w:r>
      <w:r w:rsidR="000B233A">
        <w:rPr>
          <w:rFonts w:ascii="Open Sans" w:hAnsi="Open Sans" w:cs="Open Sans"/>
        </w:rPr>
        <w:t>new staff have commenced, and 15 staff have been terminated</w:t>
      </w:r>
      <w:r w:rsidR="007C7F16">
        <w:rPr>
          <w:rFonts w:ascii="Open Sans" w:hAnsi="Open Sans" w:cs="Open Sans"/>
        </w:rPr>
        <w:t>, reflecting ongoing growth and an increased workforce capacity.</w:t>
      </w:r>
      <w:r w:rsidR="00C50F9A">
        <w:rPr>
          <w:rFonts w:ascii="Open Sans" w:hAnsi="Open Sans" w:cs="Open Sans"/>
        </w:rPr>
        <w:t xml:space="preserve"> Following the April 2025 roster review</w:t>
      </w:r>
      <w:r w:rsidR="00BC3C99">
        <w:rPr>
          <w:rFonts w:ascii="Open Sans" w:hAnsi="Open Sans" w:cs="Open Sans"/>
        </w:rPr>
        <w:t xml:space="preserve">, the hydration care staff shift was extended to 7 days a week to increase support at </w:t>
      </w:r>
      <w:r w:rsidR="003B7C7A">
        <w:rPr>
          <w:rFonts w:ascii="Open Sans" w:hAnsi="Open Sans" w:cs="Open Sans"/>
        </w:rPr>
        <w:t>mealtimes</w:t>
      </w:r>
      <w:r w:rsidR="00BC3C99">
        <w:rPr>
          <w:rFonts w:ascii="Open Sans" w:hAnsi="Open Sans" w:cs="Open Sans"/>
        </w:rPr>
        <w:t xml:space="preserve">, 2 evening care shifts and </w:t>
      </w:r>
      <w:r w:rsidR="00E06F77">
        <w:rPr>
          <w:rFonts w:ascii="Open Sans" w:hAnsi="Open Sans" w:cs="Open Sans"/>
        </w:rPr>
        <w:t xml:space="preserve">one </w:t>
      </w:r>
      <w:r w:rsidR="00BC3C99">
        <w:rPr>
          <w:rFonts w:ascii="Open Sans" w:hAnsi="Open Sans" w:cs="Open Sans"/>
        </w:rPr>
        <w:t xml:space="preserve">additional overnight care shift were implemented to reflect similar hours to morning shifts. </w:t>
      </w:r>
      <w:r w:rsidR="007F62C0">
        <w:rPr>
          <w:rFonts w:ascii="Open Sans" w:hAnsi="Open Sans" w:cs="Open Sans"/>
        </w:rPr>
        <w:t>Following the July 2025 roster review, the provider implemented a range of additional shifts</w:t>
      </w:r>
      <w:r w:rsidR="00E06F77">
        <w:rPr>
          <w:rFonts w:ascii="Open Sans" w:hAnsi="Open Sans" w:cs="Open Sans"/>
        </w:rPr>
        <w:t>,</w:t>
      </w:r>
      <w:r w:rsidR="007F62C0">
        <w:rPr>
          <w:rFonts w:ascii="Open Sans" w:hAnsi="Open Sans" w:cs="Open Sans"/>
        </w:rPr>
        <w:t xml:space="preserve"> including an additional lifestyle staff 7 days a week, </w:t>
      </w:r>
      <w:r w:rsidR="00DA6ED8">
        <w:rPr>
          <w:rFonts w:ascii="Open Sans" w:hAnsi="Open Sans" w:cs="Open Sans"/>
        </w:rPr>
        <w:t>redistribution of 2 clinical support shifts so both morning and evening shifts are covered</w:t>
      </w:r>
      <w:r w:rsidR="009256F7">
        <w:rPr>
          <w:rFonts w:ascii="Open Sans" w:hAnsi="Open Sans" w:cs="Open Sans"/>
        </w:rPr>
        <w:t>. A</w:t>
      </w:r>
      <w:r w:rsidR="00EA5CC8">
        <w:rPr>
          <w:rFonts w:ascii="Open Sans" w:hAnsi="Open Sans" w:cs="Open Sans"/>
        </w:rPr>
        <w:t xml:space="preserve"> recruitment effort is currently underway to recruit an additional clinical nurse shift, which will increase clinica</w:t>
      </w:r>
      <w:r w:rsidR="00D9446D">
        <w:rPr>
          <w:rFonts w:ascii="Open Sans" w:hAnsi="Open Sans" w:cs="Open Sans"/>
        </w:rPr>
        <w:t>l</w:t>
      </w:r>
      <w:r w:rsidR="00EA5CC8">
        <w:rPr>
          <w:rFonts w:ascii="Open Sans" w:hAnsi="Open Sans" w:cs="Open Sans"/>
        </w:rPr>
        <w:t xml:space="preserve"> oversight at the weekends</w:t>
      </w:r>
      <w:r w:rsidR="009340B2">
        <w:rPr>
          <w:rFonts w:ascii="Open Sans" w:hAnsi="Open Sans" w:cs="Open Sans"/>
        </w:rPr>
        <w:t>.</w:t>
      </w:r>
    </w:p>
    <w:p w14:paraId="4550679A" w14:textId="322ED192" w:rsidR="009340B2" w:rsidRDefault="0003014F" w:rsidP="0036130C">
      <w:pPr>
        <w:pStyle w:val="NormalArial"/>
        <w:rPr>
          <w:rFonts w:ascii="Open Sans" w:hAnsi="Open Sans" w:cs="Open Sans"/>
        </w:rPr>
      </w:pPr>
      <w:r>
        <w:rPr>
          <w:rFonts w:ascii="Open Sans" w:hAnsi="Open Sans" w:cs="Open Sans"/>
        </w:rPr>
        <w:t xml:space="preserve">The provider acknowledged agency use, advising it peaked in June </w:t>
      </w:r>
      <w:r w:rsidR="00E06F77">
        <w:rPr>
          <w:rFonts w:ascii="Open Sans" w:hAnsi="Open Sans" w:cs="Open Sans"/>
        </w:rPr>
        <w:t xml:space="preserve">2025 </w:t>
      </w:r>
      <w:r>
        <w:rPr>
          <w:rFonts w:ascii="Open Sans" w:hAnsi="Open Sans" w:cs="Open Sans"/>
        </w:rPr>
        <w:t>following an infectious outbreak</w:t>
      </w:r>
      <w:r w:rsidR="00F23855">
        <w:rPr>
          <w:rFonts w:ascii="Open Sans" w:hAnsi="Open Sans" w:cs="Open Sans"/>
        </w:rPr>
        <w:t xml:space="preserve">. Agency staff are generally engaged on a long-term basis through block bookings over several weeks or months to support </w:t>
      </w:r>
      <w:r w:rsidR="00F23855">
        <w:rPr>
          <w:rFonts w:ascii="Open Sans" w:hAnsi="Open Sans" w:cs="Open Sans"/>
        </w:rPr>
        <w:lastRenderedPageBreak/>
        <w:t xml:space="preserve">continuity of care for consumers. </w:t>
      </w:r>
      <w:r w:rsidR="009A029A">
        <w:rPr>
          <w:rFonts w:ascii="Open Sans" w:hAnsi="Open Sans" w:cs="Open Sans"/>
        </w:rPr>
        <w:t>Agency staff receive a comprehensive orientation upon commencement, and a tracking sheet of agency staff orientation was provided within the providers response.</w:t>
      </w:r>
    </w:p>
    <w:p w14:paraId="674D5F5C" w14:textId="7EC3A8AA" w:rsidR="007B1EAD" w:rsidRDefault="007B1EAD" w:rsidP="0036130C">
      <w:pPr>
        <w:pStyle w:val="NormalArial"/>
        <w:rPr>
          <w:rFonts w:ascii="Open Sans" w:hAnsi="Open Sans" w:cs="Open Sans"/>
        </w:rPr>
      </w:pPr>
      <w:r>
        <w:rPr>
          <w:rFonts w:ascii="Open Sans" w:hAnsi="Open Sans" w:cs="Open Sans"/>
        </w:rPr>
        <w:t>The prov</w:t>
      </w:r>
      <w:r w:rsidR="0014216F">
        <w:rPr>
          <w:rFonts w:ascii="Open Sans" w:hAnsi="Open Sans" w:cs="Open Sans"/>
        </w:rPr>
        <w:t xml:space="preserve">ider </w:t>
      </w:r>
      <w:r w:rsidR="0055176D">
        <w:rPr>
          <w:rFonts w:ascii="Open Sans" w:hAnsi="Open Sans" w:cs="Open Sans"/>
        </w:rPr>
        <w:t>advised</w:t>
      </w:r>
      <w:r w:rsidR="00AE2708">
        <w:rPr>
          <w:rFonts w:ascii="Open Sans" w:hAnsi="Open Sans" w:cs="Open Sans"/>
        </w:rPr>
        <w:t xml:space="preserve"> they have placed a self-imposed restriction on admissions since April 202</w:t>
      </w:r>
      <w:r w:rsidR="00B134EA">
        <w:rPr>
          <w:rFonts w:ascii="Open Sans" w:hAnsi="Open Sans" w:cs="Open Sans"/>
        </w:rPr>
        <w:t>5, as part of an organisation wide commitment to maintaining safe and quality care</w:t>
      </w:r>
      <w:r w:rsidR="00000715">
        <w:rPr>
          <w:rFonts w:ascii="Open Sans" w:hAnsi="Open Sans" w:cs="Open Sans"/>
        </w:rPr>
        <w:t>. As a result, the service is currently operating at 86% capacity, however, staffing on the master roster is based on an occupancy rate of 95%</w:t>
      </w:r>
      <w:r w:rsidR="00281D34">
        <w:rPr>
          <w:rFonts w:ascii="Open Sans" w:hAnsi="Open Sans" w:cs="Open Sans"/>
        </w:rPr>
        <w:t>.</w:t>
      </w:r>
      <w:r w:rsidR="002577E6">
        <w:rPr>
          <w:rFonts w:ascii="Open Sans" w:hAnsi="Open Sans" w:cs="Open Sans"/>
        </w:rPr>
        <w:t xml:space="preserve"> In relation to 6 August 2025</w:t>
      </w:r>
      <w:r w:rsidR="00B12779">
        <w:rPr>
          <w:rFonts w:ascii="Open Sans" w:hAnsi="Open Sans" w:cs="Open Sans"/>
        </w:rPr>
        <w:t xml:space="preserve">, additional management staff were on site and </w:t>
      </w:r>
      <w:proofErr w:type="gramStart"/>
      <w:r w:rsidR="00B12779">
        <w:rPr>
          <w:rFonts w:ascii="Open Sans" w:hAnsi="Open Sans" w:cs="Open Sans"/>
        </w:rPr>
        <w:t>provided assistance to</w:t>
      </w:r>
      <w:proofErr w:type="gramEnd"/>
      <w:r w:rsidR="00B12779">
        <w:rPr>
          <w:rFonts w:ascii="Open Sans" w:hAnsi="Open Sans" w:cs="Open Sans"/>
        </w:rPr>
        <w:t xml:space="preserve"> clinical and care staff and remained on site until late in the </w:t>
      </w:r>
      <w:r w:rsidR="00F179B0">
        <w:rPr>
          <w:rFonts w:ascii="Open Sans" w:hAnsi="Open Sans" w:cs="Open Sans"/>
        </w:rPr>
        <w:t>evening</w:t>
      </w:r>
      <w:r w:rsidR="006060FD">
        <w:rPr>
          <w:rFonts w:ascii="Open Sans" w:hAnsi="Open Sans" w:cs="Open Sans"/>
        </w:rPr>
        <w:t xml:space="preserve">. The overnight clinical shift was unable to be covered, so additional agency care staff were </w:t>
      </w:r>
      <w:r w:rsidR="00CB0CD1">
        <w:rPr>
          <w:rFonts w:ascii="Open Sans" w:hAnsi="Open Sans" w:cs="Open Sans"/>
        </w:rPr>
        <w:t>engaged to provide additional on the floor support. This planning was not reflected on the roster or allocation sheets,</w:t>
      </w:r>
      <w:r w:rsidR="00194397">
        <w:rPr>
          <w:rFonts w:ascii="Open Sans" w:hAnsi="Open Sans" w:cs="Open Sans"/>
        </w:rPr>
        <w:t xml:space="preserve"> as agency allocation is </w:t>
      </w:r>
      <w:r w:rsidR="00EC0BD0">
        <w:rPr>
          <w:rFonts w:ascii="Open Sans" w:hAnsi="Open Sans" w:cs="Open Sans"/>
        </w:rPr>
        <w:t xml:space="preserve">recorded through payroll. </w:t>
      </w:r>
    </w:p>
    <w:p w14:paraId="2A1CA379" w14:textId="4C936725" w:rsidR="00122501" w:rsidRDefault="000375CA" w:rsidP="0036130C">
      <w:pPr>
        <w:pStyle w:val="NormalArial"/>
        <w:rPr>
          <w:rFonts w:ascii="Open Sans" w:hAnsi="Open Sans" w:cs="Open Sans"/>
        </w:rPr>
      </w:pPr>
      <w:r>
        <w:rPr>
          <w:rFonts w:ascii="Open Sans" w:hAnsi="Open Sans" w:cs="Open Sans"/>
        </w:rPr>
        <w:t xml:space="preserve">I have come to a different finding </w:t>
      </w:r>
      <w:r w:rsidR="00E06F77">
        <w:rPr>
          <w:rFonts w:ascii="Open Sans" w:hAnsi="Open Sans" w:cs="Open Sans"/>
        </w:rPr>
        <w:t xml:space="preserve">to that of </w:t>
      </w:r>
      <w:r>
        <w:rPr>
          <w:rFonts w:ascii="Open Sans" w:hAnsi="Open Sans" w:cs="Open Sans"/>
        </w:rPr>
        <w:t>the Assessment Team’s recommendation of not met and find this requirement compliant. In coming to my finding</w:t>
      </w:r>
      <w:r w:rsidR="00C42A93">
        <w:rPr>
          <w:rFonts w:ascii="Open Sans" w:hAnsi="Open Sans" w:cs="Open Sans"/>
        </w:rPr>
        <w:t xml:space="preserve">, </w:t>
      </w:r>
      <w:r w:rsidR="002071D4">
        <w:rPr>
          <w:rFonts w:ascii="Open Sans" w:hAnsi="Open Sans" w:cs="Open Sans"/>
        </w:rPr>
        <w:t xml:space="preserve">I acknowledge evidence of complaints relating to staffing levels within the service, </w:t>
      </w:r>
      <w:r w:rsidR="005D6130">
        <w:rPr>
          <w:rFonts w:ascii="Open Sans" w:hAnsi="Open Sans" w:cs="Open Sans"/>
        </w:rPr>
        <w:t>however, I consider the</w:t>
      </w:r>
      <w:r w:rsidR="00BA3084">
        <w:rPr>
          <w:rFonts w:ascii="Open Sans" w:hAnsi="Open Sans" w:cs="Open Sans"/>
        </w:rPr>
        <w:t xml:space="preserve"> provider acknowledged and addressed these concerns at the time of these complaints.</w:t>
      </w:r>
      <w:r w:rsidR="004D6764">
        <w:rPr>
          <w:rFonts w:ascii="Open Sans" w:hAnsi="Open Sans" w:cs="Open Sans"/>
        </w:rPr>
        <w:t xml:space="preserve"> </w:t>
      </w:r>
      <w:r w:rsidR="00791514">
        <w:rPr>
          <w:rFonts w:ascii="Open Sans" w:hAnsi="Open Sans" w:cs="Open Sans"/>
        </w:rPr>
        <w:t>The Assessment Team did not present evidence of consumers</w:t>
      </w:r>
      <w:r w:rsidR="005B75EA">
        <w:rPr>
          <w:rFonts w:ascii="Open Sans" w:hAnsi="Open Sans" w:cs="Open Sans"/>
        </w:rPr>
        <w:t xml:space="preserve"> who felt impacted by insufficient staffing levels at the time of the assessment contact. </w:t>
      </w:r>
    </w:p>
    <w:p w14:paraId="46E8452D" w14:textId="590605C8" w:rsidR="005B75EA" w:rsidRDefault="005B75EA" w:rsidP="0036130C">
      <w:pPr>
        <w:pStyle w:val="NormalArial"/>
        <w:rPr>
          <w:rFonts w:ascii="Open Sans" w:hAnsi="Open Sans" w:cs="Open Sans"/>
        </w:rPr>
      </w:pPr>
      <w:r>
        <w:rPr>
          <w:rFonts w:ascii="Open Sans" w:hAnsi="Open Sans" w:cs="Open Sans"/>
        </w:rPr>
        <w:t xml:space="preserve">In relation to Consumer D, </w:t>
      </w:r>
      <w:r w:rsidR="00FB102D">
        <w:rPr>
          <w:rFonts w:ascii="Open Sans" w:hAnsi="Open Sans" w:cs="Open Sans"/>
        </w:rPr>
        <w:t xml:space="preserve">evidence presented by the provider demonstrates significant improvements in the call bell response time for this consumer. I have also </w:t>
      </w:r>
      <w:r w:rsidR="00E823EB">
        <w:rPr>
          <w:rFonts w:ascii="Open Sans" w:hAnsi="Open Sans" w:cs="Open Sans"/>
        </w:rPr>
        <w:t xml:space="preserve">considered the </w:t>
      </w:r>
      <w:r w:rsidR="00B60404">
        <w:rPr>
          <w:rFonts w:ascii="Open Sans" w:hAnsi="Open Sans" w:cs="Open Sans"/>
        </w:rPr>
        <w:t xml:space="preserve">service wide </w:t>
      </w:r>
      <w:r w:rsidR="00E823EB">
        <w:rPr>
          <w:rFonts w:ascii="Open Sans" w:hAnsi="Open Sans" w:cs="Open Sans"/>
        </w:rPr>
        <w:t>monthly call bell analysis</w:t>
      </w:r>
      <w:r w:rsidR="00624B5B">
        <w:rPr>
          <w:rFonts w:ascii="Open Sans" w:hAnsi="Open Sans" w:cs="Open Sans"/>
        </w:rPr>
        <w:t xml:space="preserve"> </w:t>
      </w:r>
      <w:r w:rsidR="00B60404">
        <w:rPr>
          <w:rFonts w:ascii="Open Sans" w:hAnsi="Open Sans" w:cs="Open Sans"/>
        </w:rPr>
        <w:t xml:space="preserve">and find the provider has made significant improvements </w:t>
      </w:r>
      <w:r w:rsidR="00CC3B4C">
        <w:rPr>
          <w:rFonts w:ascii="Open Sans" w:hAnsi="Open Sans" w:cs="Open Sans"/>
        </w:rPr>
        <w:t xml:space="preserve">in </w:t>
      </w:r>
      <w:r w:rsidR="00A5730B">
        <w:rPr>
          <w:rFonts w:ascii="Open Sans" w:hAnsi="Open Sans" w:cs="Open Sans"/>
        </w:rPr>
        <w:t xml:space="preserve">relation to </w:t>
      </w:r>
      <w:r w:rsidR="00CC3B4C">
        <w:rPr>
          <w:rFonts w:ascii="Open Sans" w:hAnsi="Open Sans" w:cs="Open Sans"/>
        </w:rPr>
        <w:t xml:space="preserve">call bell response times. </w:t>
      </w:r>
    </w:p>
    <w:p w14:paraId="192AE617" w14:textId="4A715386" w:rsidR="00F72906" w:rsidRDefault="00F72906" w:rsidP="0036130C">
      <w:pPr>
        <w:pStyle w:val="NormalArial"/>
        <w:rPr>
          <w:rFonts w:ascii="Open Sans" w:hAnsi="Open Sans" w:cs="Open Sans"/>
        </w:rPr>
      </w:pPr>
      <w:r>
        <w:rPr>
          <w:rFonts w:ascii="Open Sans" w:hAnsi="Open Sans" w:cs="Open Sans"/>
        </w:rPr>
        <w:t xml:space="preserve">I consider the provider is meeting mandatory care minutes and has demonstrated strategies </w:t>
      </w:r>
      <w:r w:rsidR="00210AE6">
        <w:rPr>
          <w:rFonts w:ascii="Open Sans" w:hAnsi="Open Sans" w:cs="Open Sans"/>
        </w:rPr>
        <w:t>for recruitment and retention of staff</w:t>
      </w:r>
      <w:r w:rsidR="00717449">
        <w:rPr>
          <w:rFonts w:ascii="Open Sans" w:hAnsi="Open Sans" w:cs="Open Sans"/>
        </w:rPr>
        <w:t xml:space="preserve">, and note the decreased agency use from June to August 2025. </w:t>
      </w:r>
      <w:r w:rsidR="00B05FE1">
        <w:rPr>
          <w:rFonts w:ascii="Open Sans" w:hAnsi="Open Sans" w:cs="Open Sans"/>
        </w:rPr>
        <w:t xml:space="preserve">I acknowledge the unfilled shifts on 6 August </w:t>
      </w:r>
      <w:proofErr w:type="gramStart"/>
      <w:r w:rsidR="00B05FE1">
        <w:rPr>
          <w:rFonts w:ascii="Open Sans" w:hAnsi="Open Sans" w:cs="Open Sans"/>
        </w:rPr>
        <w:t>2025,</w:t>
      </w:r>
      <w:proofErr w:type="gramEnd"/>
      <w:r w:rsidR="00B05FE1">
        <w:rPr>
          <w:rFonts w:ascii="Open Sans" w:hAnsi="Open Sans" w:cs="Open Sans"/>
        </w:rPr>
        <w:t xml:space="preserve"> however, </w:t>
      </w:r>
      <w:r w:rsidR="002B0A13">
        <w:rPr>
          <w:rFonts w:ascii="Open Sans" w:hAnsi="Open Sans" w:cs="Open Sans"/>
        </w:rPr>
        <w:t xml:space="preserve">I consider this does not demonstrate systemic </w:t>
      </w:r>
      <w:r w:rsidR="00FF01CD">
        <w:rPr>
          <w:rFonts w:ascii="Open Sans" w:hAnsi="Open Sans" w:cs="Open Sans"/>
        </w:rPr>
        <w:t xml:space="preserve">deficits in the workforce, and the Assessment Team did not present evidence of adverse </w:t>
      </w:r>
      <w:r w:rsidR="002E3A5D">
        <w:rPr>
          <w:rFonts w:ascii="Open Sans" w:hAnsi="Open Sans" w:cs="Open Sans"/>
        </w:rPr>
        <w:t xml:space="preserve">events </w:t>
      </w:r>
      <w:proofErr w:type="gramStart"/>
      <w:r w:rsidR="002E3A5D">
        <w:rPr>
          <w:rFonts w:ascii="Open Sans" w:hAnsi="Open Sans" w:cs="Open Sans"/>
        </w:rPr>
        <w:t>as a result of</w:t>
      </w:r>
      <w:proofErr w:type="gramEnd"/>
      <w:r w:rsidR="002E3A5D">
        <w:rPr>
          <w:rFonts w:ascii="Open Sans" w:hAnsi="Open Sans" w:cs="Open Sans"/>
        </w:rPr>
        <w:t xml:space="preserve"> the unfilled shifts.</w:t>
      </w:r>
    </w:p>
    <w:p w14:paraId="625EEFFD" w14:textId="022D6627" w:rsidR="002E3A5D" w:rsidRDefault="002E3A5D" w:rsidP="0036130C">
      <w:pPr>
        <w:pStyle w:val="NormalArial"/>
        <w:rPr>
          <w:rFonts w:ascii="Open Sans" w:hAnsi="Open Sans" w:cs="Open Sans"/>
        </w:rPr>
      </w:pPr>
      <w:r>
        <w:rPr>
          <w:rFonts w:ascii="Open Sans" w:hAnsi="Open Sans" w:cs="Open Sans"/>
        </w:rPr>
        <w:t xml:space="preserve">For the reasons detailed above, </w:t>
      </w:r>
      <w:r w:rsidR="00126BB6">
        <w:rPr>
          <w:rFonts w:ascii="Open Sans" w:hAnsi="Open Sans" w:cs="Open Sans"/>
        </w:rPr>
        <w:t xml:space="preserve">I find requirement 7(3)(a) compliant. </w:t>
      </w:r>
    </w:p>
    <w:p w14:paraId="1E2FF659" w14:textId="4384316B" w:rsidR="002F159F" w:rsidRDefault="00C22C79" w:rsidP="0036130C">
      <w:pPr>
        <w:pStyle w:val="NormalArial"/>
        <w:rPr>
          <w:rFonts w:ascii="Open Sans" w:hAnsi="Open Sans" w:cs="Open Sans"/>
        </w:rPr>
      </w:pPr>
      <w:r>
        <w:rPr>
          <w:rFonts w:ascii="Open Sans" w:hAnsi="Open Sans" w:cs="Open Sans"/>
          <w:b/>
          <w:bCs/>
        </w:rPr>
        <w:t xml:space="preserve">Requirement 7(3)(d) </w:t>
      </w:r>
      <w:r>
        <w:rPr>
          <w:rFonts w:ascii="Open Sans" w:hAnsi="Open Sans" w:cs="Open Sans"/>
        </w:rPr>
        <w:t xml:space="preserve">– The Assessment Team found the provider was unable </w:t>
      </w:r>
      <w:r w:rsidR="005B608A">
        <w:rPr>
          <w:rFonts w:ascii="Open Sans" w:hAnsi="Open Sans" w:cs="Open Sans"/>
        </w:rPr>
        <w:t>demons</w:t>
      </w:r>
      <w:r w:rsidR="00BF2565">
        <w:rPr>
          <w:rFonts w:ascii="Open Sans" w:hAnsi="Open Sans" w:cs="Open Sans"/>
        </w:rPr>
        <w:t xml:space="preserve">trate the workforce is recruited, trained, </w:t>
      </w:r>
      <w:r w:rsidR="0004391C">
        <w:rPr>
          <w:rFonts w:ascii="Open Sans" w:hAnsi="Open Sans" w:cs="Open Sans"/>
        </w:rPr>
        <w:t>equipped,</w:t>
      </w:r>
      <w:r w:rsidR="00BF2565">
        <w:rPr>
          <w:rFonts w:ascii="Open Sans" w:hAnsi="Open Sans" w:cs="Open Sans"/>
        </w:rPr>
        <w:t xml:space="preserve"> and supported to deliver the outcomes required by these </w:t>
      </w:r>
      <w:r w:rsidR="00E06F77">
        <w:rPr>
          <w:rFonts w:ascii="Open Sans" w:hAnsi="Open Sans" w:cs="Open Sans"/>
        </w:rPr>
        <w:t>Standards</w:t>
      </w:r>
      <w:r w:rsidR="00BF2565">
        <w:rPr>
          <w:rFonts w:ascii="Open Sans" w:hAnsi="Open Sans" w:cs="Open Sans"/>
        </w:rPr>
        <w:t xml:space="preserve">. The Assessment Team recommended </w:t>
      </w:r>
      <w:r w:rsidR="00564061">
        <w:rPr>
          <w:rFonts w:ascii="Open Sans" w:hAnsi="Open Sans" w:cs="Open Sans"/>
        </w:rPr>
        <w:t xml:space="preserve">requirement 7(3)(d) not met and provided the following evidence which was obtained through interviews and document review. </w:t>
      </w:r>
    </w:p>
    <w:p w14:paraId="2C40AD77" w14:textId="43E7DFBB" w:rsidR="00564061" w:rsidRDefault="00AC7007" w:rsidP="0036130C">
      <w:pPr>
        <w:pStyle w:val="NormalArial"/>
        <w:rPr>
          <w:rFonts w:ascii="Open Sans" w:hAnsi="Open Sans" w:cs="Open Sans"/>
        </w:rPr>
      </w:pPr>
      <w:r>
        <w:rPr>
          <w:rFonts w:ascii="Open Sans" w:hAnsi="Open Sans" w:cs="Open Sans"/>
        </w:rPr>
        <w:t xml:space="preserve">Feedback from consumers and representatives </w:t>
      </w:r>
      <w:r w:rsidR="00AC3CD0">
        <w:rPr>
          <w:rFonts w:ascii="Open Sans" w:hAnsi="Open Sans" w:cs="Open Sans"/>
        </w:rPr>
        <w:t xml:space="preserve">about staff knowledge, </w:t>
      </w:r>
      <w:r w:rsidR="0004391C">
        <w:rPr>
          <w:rFonts w:ascii="Open Sans" w:hAnsi="Open Sans" w:cs="Open Sans"/>
        </w:rPr>
        <w:t>skills,</w:t>
      </w:r>
      <w:r w:rsidR="00AC3CD0">
        <w:rPr>
          <w:rFonts w:ascii="Open Sans" w:hAnsi="Open Sans" w:cs="Open Sans"/>
        </w:rPr>
        <w:t xml:space="preserve"> and practices, relating to an infectious outbreak</w:t>
      </w:r>
      <w:r w:rsidR="00A93391">
        <w:rPr>
          <w:rFonts w:ascii="Open Sans" w:hAnsi="Open Sans" w:cs="Open Sans"/>
        </w:rPr>
        <w:t xml:space="preserve"> in June and July</w:t>
      </w:r>
      <w:r w:rsidR="00E06F77">
        <w:rPr>
          <w:rFonts w:ascii="Open Sans" w:hAnsi="Open Sans" w:cs="Open Sans"/>
        </w:rPr>
        <w:t xml:space="preserve"> 2025</w:t>
      </w:r>
      <w:r w:rsidR="004F6FA9">
        <w:rPr>
          <w:rFonts w:ascii="Open Sans" w:hAnsi="Open Sans" w:cs="Open Sans"/>
        </w:rPr>
        <w:t xml:space="preserve">, included concerns staff did not undertake appropriate infection control </w:t>
      </w:r>
      <w:r w:rsidR="003400E0">
        <w:rPr>
          <w:rFonts w:ascii="Open Sans" w:hAnsi="Open Sans" w:cs="Open Sans"/>
        </w:rPr>
        <w:t xml:space="preserve">practices, and advised communication was poor during the outbreak. </w:t>
      </w:r>
      <w:r w:rsidR="006D029E">
        <w:rPr>
          <w:rFonts w:ascii="Open Sans" w:hAnsi="Open Sans" w:cs="Open Sans"/>
        </w:rPr>
        <w:t xml:space="preserve">An outbreak summary </w:t>
      </w:r>
      <w:r w:rsidR="006D029E">
        <w:rPr>
          <w:rFonts w:ascii="Open Sans" w:hAnsi="Open Sans" w:cs="Open Sans"/>
        </w:rPr>
        <w:lastRenderedPageBreak/>
        <w:t xml:space="preserve">review undertaken by the provider following the outbreak </w:t>
      </w:r>
      <w:r w:rsidR="00525018">
        <w:rPr>
          <w:rFonts w:ascii="Open Sans" w:hAnsi="Open Sans" w:cs="Open Sans"/>
        </w:rPr>
        <w:t>highli</w:t>
      </w:r>
      <w:r w:rsidR="005C6E97">
        <w:rPr>
          <w:rFonts w:ascii="Open Sans" w:hAnsi="Open Sans" w:cs="Open Sans"/>
        </w:rPr>
        <w:t xml:space="preserve">ghted staff required additional education around clinical monitoring and documentation </w:t>
      </w:r>
      <w:r w:rsidR="00486DFF">
        <w:rPr>
          <w:rFonts w:ascii="Open Sans" w:hAnsi="Open Sans" w:cs="Open Sans"/>
        </w:rPr>
        <w:t xml:space="preserve">during outbreaks. </w:t>
      </w:r>
    </w:p>
    <w:p w14:paraId="47F7426C" w14:textId="20C04EC8" w:rsidR="00486DFF" w:rsidRDefault="00486DFF" w:rsidP="0036130C">
      <w:pPr>
        <w:pStyle w:val="NormalArial"/>
        <w:rPr>
          <w:rFonts w:ascii="Open Sans" w:hAnsi="Open Sans" w:cs="Open Sans"/>
        </w:rPr>
      </w:pPr>
      <w:r>
        <w:rPr>
          <w:rFonts w:ascii="Open Sans" w:hAnsi="Open Sans" w:cs="Open Sans"/>
        </w:rPr>
        <w:t xml:space="preserve">Improvements were noted in recruitment processes, mandatory and ad hoc </w:t>
      </w:r>
      <w:r w:rsidR="0004391C">
        <w:rPr>
          <w:rFonts w:ascii="Open Sans" w:hAnsi="Open Sans" w:cs="Open Sans"/>
        </w:rPr>
        <w:t>training,</w:t>
      </w:r>
      <w:r>
        <w:rPr>
          <w:rFonts w:ascii="Open Sans" w:hAnsi="Open Sans" w:cs="Open Sans"/>
        </w:rPr>
        <w:t xml:space="preserve"> and orientation programs</w:t>
      </w:r>
      <w:r w:rsidR="00A71458">
        <w:rPr>
          <w:rFonts w:ascii="Open Sans" w:hAnsi="Open Sans" w:cs="Open Sans"/>
        </w:rPr>
        <w:t xml:space="preserve">. These improvements </w:t>
      </w:r>
      <w:r w:rsidR="00E06F77">
        <w:rPr>
          <w:rFonts w:ascii="Open Sans" w:hAnsi="Open Sans" w:cs="Open Sans"/>
        </w:rPr>
        <w:t xml:space="preserve">included </w:t>
      </w:r>
      <w:r w:rsidR="00A71458">
        <w:rPr>
          <w:rFonts w:ascii="Open Sans" w:hAnsi="Open Sans" w:cs="Open Sans"/>
        </w:rPr>
        <w:t xml:space="preserve">increased monitoring for completion of recruitment </w:t>
      </w:r>
      <w:r w:rsidR="00F63CCB">
        <w:rPr>
          <w:rFonts w:ascii="Open Sans" w:hAnsi="Open Sans" w:cs="Open Sans"/>
        </w:rPr>
        <w:t xml:space="preserve">processes </w:t>
      </w:r>
      <w:r w:rsidR="00A71458">
        <w:rPr>
          <w:rFonts w:ascii="Open Sans" w:hAnsi="Open Sans" w:cs="Open Sans"/>
        </w:rPr>
        <w:t>and mandatory training</w:t>
      </w:r>
      <w:r w:rsidR="00F63CCB">
        <w:rPr>
          <w:rFonts w:ascii="Open Sans" w:hAnsi="Open Sans" w:cs="Open Sans"/>
        </w:rPr>
        <w:t>. All staff</w:t>
      </w:r>
      <w:r w:rsidR="00701757">
        <w:rPr>
          <w:rFonts w:ascii="Open Sans" w:hAnsi="Open Sans" w:cs="Open Sans"/>
        </w:rPr>
        <w:t xml:space="preserve"> have completed mandatory education, with only those on extended leave remaining outstanding. An orientation and buddy program for new and permanent agency staff was implemented. Staff confirmed they received sufficient training and onboarding. The provider also undertook a range of reactive toolbox education</w:t>
      </w:r>
      <w:r w:rsidR="00F20A95">
        <w:rPr>
          <w:rFonts w:ascii="Open Sans" w:hAnsi="Open Sans" w:cs="Open Sans"/>
        </w:rPr>
        <w:t xml:space="preserve"> sessions to address common deficits in staff practice. This training included policies, falls management, infection prevention and control, wounds, </w:t>
      </w:r>
      <w:r w:rsidR="00AD79CA">
        <w:rPr>
          <w:rFonts w:ascii="Open Sans" w:hAnsi="Open Sans" w:cs="Open Sans"/>
        </w:rPr>
        <w:t xml:space="preserve">and </w:t>
      </w:r>
      <w:r w:rsidR="00F20A95">
        <w:rPr>
          <w:rFonts w:ascii="Open Sans" w:hAnsi="Open Sans" w:cs="Open Sans"/>
        </w:rPr>
        <w:t>medication management</w:t>
      </w:r>
      <w:r w:rsidR="00AD79CA">
        <w:rPr>
          <w:rFonts w:ascii="Open Sans" w:hAnsi="Open Sans" w:cs="Open Sans"/>
        </w:rPr>
        <w:t>.</w:t>
      </w:r>
    </w:p>
    <w:p w14:paraId="71D5FC8F" w14:textId="36B62CA3" w:rsidR="00FC4275" w:rsidRDefault="00FC4275" w:rsidP="0036130C">
      <w:pPr>
        <w:pStyle w:val="NormalArial"/>
        <w:rPr>
          <w:rFonts w:ascii="Open Sans" w:hAnsi="Open Sans" w:cs="Open Sans"/>
        </w:rPr>
      </w:pPr>
      <w:r>
        <w:rPr>
          <w:rFonts w:ascii="Open Sans" w:hAnsi="Open Sans" w:cs="Open Sans"/>
        </w:rPr>
        <w:t>The Assessment Team advised whilst the provider demonstrated improvements in recruitment and education programs, aspects of service delivery</w:t>
      </w:r>
      <w:r w:rsidR="00E37D71">
        <w:rPr>
          <w:rFonts w:ascii="Open Sans" w:hAnsi="Open Sans" w:cs="Open Sans"/>
        </w:rPr>
        <w:t>, such as incident management, and clinical care and oversight</w:t>
      </w:r>
      <w:r w:rsidR="0011109A">
        <w:rPr>
          <w:rFonts w:ascii="Open Sans" w:hAnsi="Open Sans" w:cs="Open Sans"/>
        </w:rPr>
        <w:t xml:space="preserve"> were not yet correctly informing education for staff.</w:t>
      </w:r>
    </w:p>
    <w:p w14:paraId="1C6DB13E" w14:textId="2E696A2E" w:rsidR="00C07FE8" w:rsidRDefault="00C07FE8" w:rsidP="0036130C">
      <w:pPr>
        <w:pStyle w:val="NormalArial"/>
        <w:rPr>
          <w:rFonts w:ascii="Open Sans" w:hAnsi="Open Sans" w:cs="Open Sans"/>
        </w:rPr>
      </w:pPr>
      <w:r>
        <w:rPr>
          <w:rFonts w:ascii="Open Sans" w:hAnsi="Open Sans" w:cs="Open Sans"/>
        </w:rPr>
        <w:t>The provider refuted the Assessment Team’s findings</w:t>
      </w:r>
      <w:r w:rsidR="003C336A">
        <w:rPr>
          <w:rFonts w:ascii="Open Sans" w:hAnsi="Open Sans" w:cs="Open Sans"/>
        </w:rPr>
        <w:t xml:space="preserve">. The provider asserted appropriate action was taken in response to concerns relating to staff </w:t>
      </w:r>
      <w:r w:rsidR="005E55CE">
        <w:rPr>
          <w:rFonts w:ascii="Open Sans" w:hAnsi="Open Sans" w:cs="Open Sans"/>
        </w:rPr>
        <w:t xml:space="preserve">practice following the recent outbreak, and in their response provided evidence of </w:t>
      </w:r>
      <w:r w:rsidR="00D30634">
        <w:rPr>
          <w:rFonts w:ascii="Open Sans" w:hAnsi="Open Sans" w:cs="Open Sans"/>
        </w:rPr>
        <w:t>infection control toolbox sessions undertaken by staff</w:t>
      </w:r>
      <w:r w:rsidR="00124C23">
        <w:rPr>
          <w:rFonts w:ascii="Open Sans" w:hAnsi="Open Sans" w:cs="Open Sans"/>
        </w:rPr>
        <w:t>.</w:t>
      </w:r>
    </w:p>
    <w:p w14:paraId="3906D8B7" w14:textId="6F10493D" w:rsidR="00124C23" w:rsidRDefault="00124C23" w:rsidP="0036130C">
      <w:pPr>
        <w:pStyle w:val="NormalArial"/>
        <w:rPr>
          <w:rFonts w:ascii="Open Sans" w:hAnsi="Open Sans" w:cs="Open Sans"/>
        </w:rPr>
      </w:pPr>
      <w:r>
        <w:rPr>
          <w:rFonts w:ascii="Open Sans" w:hAnsi="Open Sans" w:cs="Open Sans"/>
        </w:rPr>
        <w:t xml:space="preserve">The provider highlighted the high rate of completion for mandatory </w:t>
      </w:r>
      <w:r w:rsidR="00975415">
        <w:rPr>
          <w:rFonts w:ascii="Open Sans" w:hAnsi="Open Sans" w:cs="Open Sans"/>
        </w:rPr>
        <w:t>training</w:t>
      </w:r>
      <w:r w:rsidR="00543A0D">
        <w:rPr>
          <w:rFonts w:ascii="Open Sans" w:hAnsi="Open Sans" w:cs="Open Sans"/>
        </w:rPr>
        <w:t xml:space="preserve">, and in their continuous improvement plan </w:t>
      </w:r>
      <w:r w:rsidR="001676E1">
        <w:rPr>
          <w:rFonts w:ascii="Open Sans" w:hAnsi="Open Sans" w:cs="Open Sans"/>
        </w:rPr>
        <w:t>evidenced planned improvement actions</w:t>
      </w:r>
      <w:r w:rsidR="00E06F77">
        <w:rPr>
          <w:rFonts w:ascii="Open Sans" w:hAnsi="Open Sans" w:cs="Open Sans"/>
        </w:rPr>
        <w:t>,</w:t>
      </w:r>
      <w:r w:rsidR="001676E1">
        <w:rPr>
          <w:rFonts w:ascii="Open Sans" w:hAnsi="Open Sans" w:cs="Open Sans"/>
        </w:rPr>
        <w:t xml:space="preserve"> including, but not limited to, scheduled observational audits of staff practice, </w:t>
      </w:r>
      <w:r w:rsidR="000F7384">
        <w:rPr>
          <w:rFonts w:ascii="Open Sans" w:hAnsi="Open Sans" w:cs="Open Sans"/>
        </w:rPr>
        <w:t>and undertaking staff feedback and self-assessment</w:t>
      </w:r>
      <w:r w:rsidR="00EB435D">
        <w:rPr>
          <w:rFonts w:ascii="Open Sans" w:hAnsi="Open Sans" w:cs="Open Sans"/>
        </w:rPr>
        <w:t xml:space="preserve">. </w:t>
      </w:r>
    </w:p>
    <w:p w14:paraId="25A63F7A" w14:textId="7EA71FBD" w:rsidR="00EB435D" w:rsidRDefault="00EB435D" w:rsidP="0036130C">
      <w:pPr>
        <w:pStyle w:val="NormalArial"/>
        <w:rPr>
          <w:rFonts w:ascii="Open Sans" w:hAnsi="Open Sans" w:cs="Open Sans"/>
        </w:rPr>
      </w:pPr>
      <w:r>
        <w:rPr>
          <w:rFonts w:ascii="Open Sans" w:hAnsi="Open Sans" w:cs="Open Sans"/>
        </w:rPr>
        <w:t xml:space="preserve">I have come to a different finding </w:t>
      </w:r>
      <w:r w:rsidR="00E06F77">
        <w:rPr>
          <w:rFonts w:ascii="Open Sans" w:hAnsi="Open Sans" w:cs="Open Sans"/>
        </w:rPr>
        <w:t xml:space="preserve">to that of </w:t>
      </w:r>
      <w:r>
        <w:rPr>
          <w:rFonts w:ascii="Open Sans" w:hAnsi="Open Sans" w:cs="Open Sans"/>
        </w:rPr>
        <w:t xml:space="preserve">the Assessment Team’s recommendation of not met and find this requirement compliant. </w:t>
      </w:r>
      <w:r w:rsidR="00515A6F">
        <w:rPr>
          <w:rFonts w:ascii="Open Sans" w:hAnsi="Open Sans" w:cs="Open Sans"/>
        </w:rPr>
        <w:t xml:space="preserve">I acknowledge concerns </w:t>
      </w:r>
      <w:r w:rsidR="006F2D1E">
        <w:rPr>
          <w:rFonts w:ascii="Open Sans" w:hAnsi="Open Sans" w:cs="Open Sans"/>
        </w:rPr>
        <w:t>raised by consumers and representatives relating to staff practice during an infectious outbreak. However, I consider the provider took appropriate action to address concerns raised, and evidence was provided of toolbox sessions undertaken following the outbreak. I also consider the provider self-identified the requirement for additional infection control training as part of the outbreak review.</w:t>
      </w:r>
    </w:p>
    <w:p w14:paraId="503DC57F" w14:textId="63BC765A" w:rsidR="00926B8D" w:rsidRDefault="000322D5" w:rsidP="0036130C">
      <w:pPr>
        <w:pStyle w:val="NormalArial"/>
        <w:rPr>
          <w:rFonts w:ascii="Open Sans" w:hAnsi="Open Sans" w:cs="Open Sans"/>
        </w:rPr>
      </w:pPr>
      <w:r>
        <w:rPr>
          <w:rFonts w:ascii="Open Sans" w:hAnsi="Open Sans" w:cs="Open Sans"/>
        </w:rPr>
        <w:t xml:space="preserve">I </w:t>
      </w:r>
      <w:r w:rsidR="000C603E">
        <w:rPr>
          <w:rFonts w:ascii="Open Sans" w:hAnsi="Open Sans" w:cs="Open Sans"/>
        </w:rPr>
        <w:t xml:space="preserve">acknowledge the Assessment Team’s </w:t>
      </w:r>
      <w:r w:rsidR="00451988">
        <w:rPr>
          <w:rFonts w:ascii="Open Sans" w:hAnsi="Open Sans" w:cs="Open Sans"/>
        </w:rPr>
        <w:t xml:space="preserve">statement that training is not yet informing </w:t>
      </w:r>
      <w:r w:rsidR="009B062A">
        <w:rPr>
          <w:rFonts w:ascii="Open Sans" w:hAnsi="Open Sans" w:cs="Open Sans"/>
        </w:rPr>
        <w:t xml:space="preserve">education for staff, however, </w:t>
      </w:r>
      <w:r w:rsidR="00CC4C50">
        <w:rPr>
          <w:rFonts w:ascii="Open Sans" w:hAnsi="Open Sans" w:cs="Open Sans"/>
        </w:rPr>
        <w:t xml:space="preserve">the Assessment Team did not present evidence </w:t>
      </w:r>
      <w:r w:rsidR="00AA4AAF">
        <w:rPr>
          <w:rFonts w:ascii="Open Sans" w:hAnsi="Open Sans" w:cs="Open Sans"/>
        </w:rPr>
        <w:t xml:space="preserve">deficits in care were related to a lack of education and training. Staff interviewed confirmed receiving appropriate onboarding and training, and </w:t>
      </w:r>
      <w:r w:rsidR="009F3376">
        <w:rPr>
          <w:rFonts w:ascii="Open Sans" w:hAnsi="Open Sans" w:cs="Open Sans"/>
        </w:rPr>
        <w:t xml:space="preserve">the Assessment Team evidenced where deficits in staff practice were undertaken, a toolbox session was implemented </w:t>
      </w:r>
      <w:r w:rsidR="0095619C">
        <w:rPr>
          <w:rFonts w:ascii="Open Sans" w:hAnsi="Open Sans" w:cs="Open Sans"/>
        </w:rPr>
        <w:t>for</w:t>
      </w:r>
      <w:r w:rsidR="009F3376">
        <w:rPr>
          <w:rFonts w:ascii="Open Sans" w:hAnsi="Open Sans" w:cs="Open Sans"/>
        </w:rPr>
        <w:t xml:space="preserve"> staff. </w:t>
      </w:r>
      <w:r w:rsidR="0046144A">
        <w:rPr>
          <w:rFonts w:ascii="Open Sans" w:hAnsi="Open Sans" w:cs="Open Sans"/>
        </w:rPr>
        <w:t xml:space="preserve">I </w:t>
      </w:r>
      <w:r w:rsidR="0021590B">
        <w:rPr>
          <w:rFonts w:ascii="Open Sans" w:hAnsi="Open Sans" w:cs="Open Sans"/>
        </w:rPr>
        <w:t xml:space="preserve">place weight on the high </w:t>
      </w:r>
      <w:r w:rsidR="0021590B">
        <w:rPr>
          <w:rFonts w:ascii="Open Sans" w:hAnsi="Open Sans" w:cs="Open Sans"/>
        </w:rPr>
        <w:lastRenderedPageBreak/>
        <w:t>completion rates for mandatory training and</w:t>
      </w:r>
      <w:r w:rsidR="00926B8D">
        <w:rPr>
          <w:rFonts w:ascii="Open Sans" w:hAnsi="Open Sans" w:cs="Open Sans"/>
        </w:rPr>
        <w:t xml:space="preserve"> improved onboarding processes for permanent and agency staff.</w:t>
      </w:r>
    </w:p>
    <w:p w14:paraId="6D7DBF38" w14:textId="2361F31B" w:rsidR="006F2D1E" w:rsidRPr="00705777" w:rsidRDefault="00926B8D" w:rsidP="0036130C">
      <w:pPr>
        <w:pStyle w:val="NormalArial"/>
        <w:rPr>
          <w:rFonts w:ascii="Open Sans" w:hAnsi="Open Sans" w:cs="Open Sans"/>
        </w:rPr>
      </w:pPr>
      <w:r>
        <w:rPr>
          <w:rFonts w:ascii="Open Sans" w:hAnsi="Open Sans" w:cs="Open Sans"/>
        </w:rPr>
        <w:t>For the reasons detailed above, I find requirement 7(3)(d) compliant</w:t>
      </w:r>
      <w:r w:rsidR="0004391C">
        <w:rPr>
          <w:rFonts w:ascii="Open Sans" w:hAnsi="Open Sans" w:cs="Open Sans"/>
        </w:rPr>
        <w:t xml:space="preserve">. </w:t>
      </w:r>
    </w:p>
    <w:p w14:paraId="77C3F619" w14:textId="77777777" w:rsidR="00CE23FF" w:rsidRPr="001E694D" w:rsidRDefault="00CE23FF" w:rsidP="0036130C">
      <w:pPr>
        <w:pStyle w:val="NormalArial"/>
        <w:rPr>
          <w:rFonts w:ascii="Open Sans" w:hAnsi="Open Sans" w:cs="Open Sans"/>
        </w:rPr>
      </w:pPr>
      <w:r w:rsidRPr="001E694D">
        <w:rPr>
          <w:rFonts w:ascii="Open Sans" w:hAnsi="Open Sans" w:cs="Open Sans"/>
        </w:rPr>
        <w:br w:type="page"/>
      </w:r>
    </w:p>
    <w:p w14:paraId="33C518CA" w14:textId="77777777" w:rsidR="00CE23FF" w:rsidRPr="001E694D" w:rsidRDefault="00CE23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6"/>
        <w:gridCol w:w="4810"/>
        <w:gridCol w:w="1843"/>
      </w:tblGrid>
      <w:tr w:rsidR="008C07ED" w14:paraId="0F7673C1" w14:textId="77777777" w:rsidTr="0009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781E77"/>
          </w:tcPr>
          <w:p w14:paraId="2B54D307" w14:textId="77777777" w:rsidR="00CE23FF" w:rsidRPr="001E694D" w:rsidRDefault="00CE23F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3" w:type="dxa"/>
            <w:shd w:val="clear" w:color="auto" w:fill="781E77"/>
          </w:tcPr>
          <w:p w14:paraId="70307E9E" w14:textId="77777777" w:rsidR="00CE23FF" w:rsidRPr="001E694D" w:rsidRDefault="00CE23F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07ED" w14:paraId="78E33F2A" w14:textId="77777777" w:rsidTr="000946C0">
        <w:tc>
          <w:tcPr>
            <w:cnfStyle w:val="001000000000" w:firstRow="0" w:lastRow="0" w:firstColumn="1" w:lastColumn="0" w:oddVBand="0" w:evenVBand="0" w:oddHBand="0" w:evenHBand="0" w:firstRowFirstColumn="0" w:firstRowLastColumn="0" w:lastRowFirstColumn="0" w:lastRowLastColumn="0"/>
            <w:tcW w:w="2556" w:type="dxa"/>
          </w:tcPr>
          <w:p w14:paraId="71C692D5"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8(3)(d)</w:t>
            </w:r>
          </w:p>
        </w:tc>
        <w:tc>
          <w:tcPr>
            <w:tcW w:w="4810" w:type="dxa"/>
          </w:tcPr>
          <w:p w14:paraId="69FBD908" w14:textId="77777777" w:rsidR="00CE23FF" w:rsidRPr="001E694D" w:rsidRDefault="00CE23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DC1F838" w14:textId="77777777" w:rsidR="00CE23FF" w:rsidRPr="001E694D" w:rsidRDefault="00CE23F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55C8744" w14:textId="77777777" w:rsidR="00CE23FF" w:rsidRPr="001E694D" w:rsidRDefault="00CE23F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9BDE631" w14:textId="77777777" w:rsidR="00CE23FF" w:rsidRPr="001E694D" w:rsidRDefault="00CE23F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53498E7" w14:textId="77777777" w:rsidR="00CE23FF" w:rsidRPr="001E694D" w:rsidRDefault="00CE23F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3" w:type="dxa"/>
          </w:tcPr>
          <w:p w14:paraId="6DDAAB1C" w14:textId="690CEAA9" w:rsidR="00CE23FF" w:rsidRPr="001E694D" w:rsidRDefault="00BC1C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77726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6069E">
                  <w:rPr>
                    <w:rFonts w:ascii="Open Sans" w:hAnsi="Open Sans" w:cs="Open Sans"/>
                    <w:color w:val="auto"/>
                  </w:rPr>
                  <w:t>Not Compliant</w:t>
                </w:r>
              </w:sdtContent>
            </w:sdt>
          </w:p>
        </w:tc>
      </w:tr>
      <w:tr w:rsidR="008C07ED" w14:paraId="09D03948" w14:textId="77777777" w:rsidTr="000946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40FB20F9" w14:textId="77777777" w:rsidR="00CE23FF" w:rsidRPr="001E694D" w:rsidRDefault="00CE23FF" w:rsidP="002C5FA9">
            <w:pPr>
              <w:spacing w:line="22" w:lineRule="atLeast"/>
              <w:rPr>
                <w:rFonts w:ascii="Open Sans" w:hAnsi="Open Sans" w:cs="Open Sans"/>
              </w:rPr>
            </w:pPr>
            <w:r w:rsidRPr="001E694D">
              <w:rPr>
                <w:rFonts w:ascii="Open Sans" w:hAnsi="Open Sans" w:cs="Open Sans"/>
              </w:rPr>
              <w:t>Requirement 8(3)(e)</w:t>
            </w:r>
          </w:p>
        </w:tc>
        <w:tc>
          <w:tcPr>
            <w:tcW w:w="4810" w:type="dxa"/>
            <w:shd w:val="clear" w:color="auto" w:fill="auto"/>
          </w:tcPr>
          <w:p w14:paraId="7D2CCDE4" w14:textId="77777777" w:rsidR="00CE23FF" w:rsidRPr="001E694D" w:rsidRDefault="00CE23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AE39113" w14:textId="77777777" w:rsidR="00CE23FF" w:rsidRPr="001E694D" w:rsidRDefault="00CE23FF"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47415973" w14:textId="77777777" w:rsidR="00CE23FF" w:rsidRPr="001E694D" w:rsidRDefault="00CE23FF"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3111588F" w14:textId="77777777" w:rsidR="00CE23FF" w:rsidRPr="001E694D" w:rsidRDefault="00CE23FF"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3" w:type="dxa"/>
            <w:shd w:val="clear" w:color="auto" w:fill="auto"/>
          </w:tcPr>
          <w:p w14:paraId="017F403E" w14:textId="40F18FA5" w:rsidR="00CE23FF" w:rsidRPr="001E694D" w:rsidRDefault="00BC1C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145483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6069E">
                  <w:rPr>
                    <w:rFonts w:ascii="Open Sans" w:hAnsi="Open Sans" w:cs="Open Sans"/>
                    <w:color w:val="auto"/>
                  </w:rPr>
                  <w:t>Not Compliant</w:t>
                </w:r>
              </w:sdtContent>
            </w:sdt>
          </w:p>
        </w:tc>
      </w:tr>
    </w:tbl>
    <w:p w14:paraId="14323FD3" w14:textId="77777777" w:rsidR="00CE23FF" w:rsidRPr="007A2323" w:rsidRDefault="00CE23F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83E88CC" w14:textId="3B756F48" w:rsidR="00F7715A" w:rsidRDefault="00F7715A" w:rsidP="00F7715A">
      <w:pPr>
        <w:pStyle w:val="NormalArial"/>
        <w:rPr>
          <w:rFonts w:ascii="Open Sans" w:hAnsi="Open Sans" w:cs="Open Sans"/>
        </w:rPr>
      </w:pPr>
      <w:r>
        <w:rPr>
          <w:rFonts w:ascii="Open Sans" w:hAnsi="Open Sans" w:cs="Open Sans"/>
        </w:rPr>
        <w:t xml:space="preserve">This Quality Standard is non-compliant as the 2 requirements assessed are non-compliant. </w:t>
      </w:r>
    </w:p>
    <w:p w14:paraId="66C73743" w14:textId="57273FB4" w:rsidR="00CE23FF" w:rsidRDefault="00F7715A" w:rsidP="00F7715A">
      <w:pPr>
        <w:pStyle w:val="NormalArial"/>
        <w:rPr>
          <w:rFonts w:ascii="Open Sans" w:hAnsi="Open Sans" w:cs="Open Sans"/>
          <w:color w:val="auto"/>
        </w:rPr>
      </w:pPr>
      <w:r>
        <w:rPr>
          <w:rFonts w:ascii="Open Sans" w:hAnsi="Open Sans" w:cs="Open Sans"/>
          <w:b/>
          <w:bCs/>
          <w:color w:val="auto"/>
        </w:rPr>
        <w:t xml:space="preserve">Requirement 8(3)(d) </w:t>
      </w:r>
      <w:r>
        <w:rPr>
          <w:rFonts w:ascii="Open Sans" w:hAnsi="Open Sans" w:cs="Open Sans"/>
          <w:color w:val="auto"/>
        </w:rPr>
        <w:t xml:space="preserve">– The Assessment Team found the provider was unable to demonstrate effective risk management systems and practices and recommended requirement 8(3)(d) not met. The Assessment Team provided the following information which was obtained through interviews and document review. </w:t>
      </w:r>
    </w:p>
    <w:p w14:paraId="4935D27C" w14:textId="6EE3B3C2" w:rsidR="00F7715A" w:rsidRDefault="00325257" w:rsidP="00F7715A">
      <w:pPr>
        <w:pStyle w:val="NormalArial"/>
        <w:rPr>
          <w:rFonts w:ascii="Open Sans" w:hAnsi="Open Sans" w:cs="Open Sans"/>
          <w:color w:val="auto"/>
        </w:rPr>
      </w:pPr>
      <w:r>
        <w:rPr>
          <w:rFonts w:ascii="Open Sans" w:hAnsi="Open Sans" w:cs="Open Sans"/>
          <w:color w:val="auto"/>
        </w:rPr>
        <w:t xml:space="preserve">In relation to </w:t>
      </w:r>
      <w:r w:rsidR="006E006D">
        <w:rPr>
          <w:rFonts w:ascii="Open Sans" w:hAnsi="Open Sans" w:cs="Open Sans"/>
          <w:color w:val="auto"/>
        </w:rPr>
        <w:t xml:space="preserve">management of high-impact or high-prevalence risks, </w:t>
      </w:r>
      <w:r w:rsidR="00E40F36">
        <w:rPr>
          <w:rFonts w:ascii="Open Sans" w:hAnsi="Open Sans" w:cs="Open Sans"/>
          <w:color w:val="auto"/>
        </w:rPr>
        <w:t xml:space="preserve">whilst improvements were </w:t>
      </w:r>
      <w:r w:rsidR="00E06F77">
        <w:rPr>
          <w:rFonts w:ascii="Open Sans" w:hAnsi="Open Sans" w:cs="Open Sans"/>
          <w:color w:val="auto"/>
        </w:rPr>
        <w:t xml:space="preserve">noted </w:t>
      </w:r>
      <w:r w:rsidR="00E40F36">
        <w:rPr>
          <w:rFonts w:ascii="Open Sans" w:hAnsi="Open Sans" w:cs="Open Sans"/>
          <w:color w:val="auto"/>
        </w:rPr>
        <w:t>in assessment and planning processes, these improvements did not always result in improvements in care and service delivery.</w:t>
      </w:r>
      <w:r w:rsidR="00AA23BB">
        <w:rPr>
          <w:rFonts w:ascii="Open Sans" w:hAnsi="Open Sans" w:cs="Open Sans"/>
          <w:color w:val="auto"/>
        </w:rPr>
        <w:t xml:space="preserve"> Deficits were identified in requirements 3(3)(a) and 3(3)(b) in relation to behaviour support, continence management, pain management and medication management. A high-impact high-prevalence risk register was in place at the service, however, deficits in operation</w:t>
      </w:r>
      <w:r w:rsidR="00CC2002">
        <w:rPr>
          <w:rFonts w:ascii="Open Sans" w:hAnsi="Open Sans" w:cs="Open Sans"/>
          <w:color w:val="auto"/>
        </w:rPr>
        <w:t>al care and services for consumers meant information contained within the register was unreliable</w:t>
      </w:r>
      <w:r w:rsidR="00610E3A">
        <w:rPr>
          <w:rFonts w:ascii="Open Sans" w:hAnsi="Open Sans" w:cs="Open Sans"/>
          <w:color w:val="auto"/>
        </w:rPr>
        <w:t>.</w:t>
      </w:r>
    </w:p>
    <w:p w14:paraId="05372710" w14:textId="4ED6E9B9" w:rsidR="00610E3A" w:rsidRDefault="00610E3A" w:rsidP="00F7715A">
      <w:pPr>
        <w:pStyle w:val="NormalArial"/>
        <w:rPr>
          <w:rFonts w:ascii="Open Sans" w:hAnsi="Open Sans" w:cs="Open Sans"/>
          <w:color w:val="auto"/>
        </w:rPr>
      </w:pPr>
      <w:r>
        <w:rPr>
          <w:rFonts w:ascii="Open Sans" w:hAnsi="Open Sans" w:cs="Open Sans"/>
          <w:color w:val="auto"/>
        </w:rPr>
        <w:lastRenderedPageBreak/>
        <w:t xml:space="preserve">A clinical indicators template should be completed each </w:t>
      </w:r>
      <w:proofErr w:type="gramStart"/>
      <w:r>
        <w:rPr>
          <w:rFonts w:ascii="Open Sans" w:hAnsi="Open Sans" w:cs="Open Sans"/>
          <w:color w:val="auto"/>
        </w:rPr>
        <w:t>month,</w:t>
      </w:r>
      <w:proofErr w:type="gramEnd"/>
      <w:r>
        <w:rPr>
          <w:rFonts w:ascii="Open Sans" w:hAnsi="Open Sans" w:cs="Open Sans"/>
          <w:color w:val="auto"/>
        </w:rPr>
        <w:t xml:space="preserve"> however, the template relies on risks and incidents being correctly identified and reported by staff. Management acknowledged incident</w:t>
      </w:r>
      <w:r w:rsidR="00E06F77">
        <w:rPr>
          <w:rFonts w:ascii="Open Sans" w:hAnsi="Open Sans" w:cs="Open Sans"/>
          <w:color w:val="auto"/>
        </w:rPr>
        <w:t>s</w:t>
      </w:r>
      <w:r>
        <w:rPr>
          <w:rFonts w:ascii="Open Sans" w:hAnsi="Open Sans" w:cs="Open Sans"/>
          <w:color w:val="auto"/>
        </w:rPr>
        <w:t xml:space="preserve"> were not </w:t>
      </w:r>
      <w:r w:rsidR="007A44C7">
        <w:rPr>
          <w:rFonts w:ascii="Open Sans" w:hAnsi="Open Sans" w:cs="Open Sans"/>
          <w:color w:val="auto"/>
        </w:rPr>
        <w:t>thoroughly investigated, and t</w:t>
      </w:r>
      <w:r w:rsidR="00F42778">
        <w:rPr>
          <w:rFonts w:ascii="Open Sans" w:hAnsi="Open Sans" w:cs="Open Sans"/>
          <w:color w:val="auto"/>
        </w:rPr>
        <w:t xml:space="preserve">his was a work in progress. Management demonstrated consumers with falls and other risks were </w:t>
      </w:r>
      <w:r w:rsidR="001A3211">
        <w:rPr>
          <w:rFonts w:ascii="Open Sans" w:hAnsi="Open Sans" w:cs="Open Sans"/>
          <w:color w:val="auto"/>
        </w:rPr>
        <w:t xml:space="preserve">identified and mitigation strategies were in place. However, the use of mitigation strategies was not always monitored or reviews. Call bell reports were not reviewed </w:t>
      </w:r>
      <w:proofErr w:type="gramStart"/>
      <w:r w:rsidR="001A3211">
        <w:rPr>
          <w:rFonts w:ascii="Open Sans" w:hAnsi="Open Sans" w:cs="Open Sans"/>
          <w:color w:val="auto"/>
        </w:rPr>
        <w:t>on a daily basis</w:t>
      </w:r>
      <w:proofErr w:type="gramEnd"/>
      <w:r w:rsidR="001A3211">
        <w:rPr>
          <w:rFonts w:ascii="Open Sans" w:hAnsi="Open Sans" w:cs="Open Sans"/>
          <w:color w:val="auto"/>
        </w:rPr>
        <w:t xml:space="preserve"> to </w:t>
      </w:r>
      <w:r w:rsidR="009D37C7">
        <w:rPr>
          <w:rFonts w:ascii="Open Sans" w:hAnsi="Open Sans" w:cs="Open Sans"/>
          <w:color w:val="auto"/>
        </w:rPr>
        <w:t>mitigate risks for all consumers,</w:t>
      </w:r>
      <w:r w:rsidR="00F31EF5">
        <w:rPr>
          <w:rFonts w:ascii="Open Sans" w:hAnsi="Open Sans" w:cs="Open Sans"/>
          <w:color w:val="auto"/>
        </w:rPr>
        <w:t xml:space="preserve"> particularly for consumers </w:t>
      </w:r>
      <w:r w:rsidR="00207398">
        <w:rPr>
          <w:rFonts w:ascii="Open Sans" w:hAnsi="Open Sans" w:cs="Open Sans"/>
          <w:color w:val="auto"/>
        </w:rPr>
        <w:t xml:space="preserve">at high risk of falls. </w:t>
      </w:r>
    </w:p>
    <w:p w14:paraId="1BAD2B17" w14:textId="6E091426" w:rsidR="00207398" w:rsidRDefault="00207398" w:rsidP="00F7715A">
      <w:pPr>
        <w:pStyle w:val="NormalArial"/>
        <w:rPr>
          <w:rFonts w:ascii="Open Sans" w:hAnsi="Open Sans" w:cs="Open Sans"/>
          <w:color w:val="auto"/>
        </w:rPr>
      </w:pPr>
      <w:r>
        <w:rPr>
          <w:rFonts w:ascii="Open Sans" w:hAnsi="Open Sans" w:cs="Open Sans"/>
          <w:color w:val="auto"/>
        </w:rPr>
        <w:t xml:space="preserve">Whilst the service demonstrated daily reports were printed to review medication administration and time sensitive medications, management could not provide a date of when the last </w:t>
      </w:r>
      <w:r w:rsidR="00FA2736">
        <w:rPr>
          <w:rFonts w:ascii="Open Sans" w:hAnsi="Open Sans" w:cs="Open Sans"/>
          <w:color w:val="auto"/>
        </w:rPr>
        <w:t xml:space="preserve">medication management review was undertaken. Management acknowledged they were aware of this deficit and presented </w:t>
      </w:r>
      <w:r w:rsidR="00D67E4E">
        <w:rPr>
          <w:rFonts w:ascii="Open Sans" w:hAnsi="Open Sans" w:cs="Open Sans"/>
          <w:color w:val="auto"/>
        </w:rPr>
        <w:t xml:space="preserve">documentation demonstrating they had initiated contact with the </w:t>
      </w:r>
      <w:r w:rsidR="009108A6">
        <w:rPr>
          <w:rFonts w:ascii="Open Sans" w:hAnsi="Open Sans" w:cs="Open Sans"/>
          <w:color w:val="auto"/>
        </w:rPr>
        <w:t>pharmacy to conduct the review.</w:t>
      </w:r>
    </w:p>
    <w:p w14:paraId="64A6148D" w14:textId="5E1A9FA8" w:rsidR="0069571E" w:rsidRDefault="009108A6" w:rsidP="00F7715A">
      <w:pPr>
        <w:pStyle w:val="NormalArial"/>
        <w:rPr>
          <w:rFonts w:ascii="Open Sans" w:hAnsi="Open Sans" w:cs="Open Sans"/>
          <w:color w:val="auto"/>
        </w:rPr>
      </w:pPr>
      <w:r>
        <w:rPr>
          <w:rFonts w:ascii="Open Sans" w:hAnsi="Open Sans" w:cs="Open Sans"/>
          <w:color w:val="auto"/>
        </w:rPr>
        <w:t xml:space="preserve">In relation to </w:t>
      </w:r>
      <w:r w:rsidR="0074385C">
        <w:rPr>
          <w:rFonts w:ascii="Open Sans" w:hAnsi="Open Sans" w:cs="Open Sans"/>
          <w:color w:val="auto"/>
        </w:rPr>
        <w:t>identifying and responding to abuse and neglect, as incidents were not fully investigated and reviewed, they could not be relied upon to be accurate assessments of the potential for abuse and neglect</w:t>
      </w:r>
      <w:r w:rsidR="00EA52E0">
        <w:rPr>
          <w:rFonts w:ascii="Open Sans" w:hAnsi="Open Sans" w:cs="Open Sans"/>
          <w:color w:val="auto"/>
        </w:rPr>
        <w:t xml:space="preserve">. Management advised late or missed medications and those not administered due to lack of stock, were not always identified as incidents or assessed for a potential </w:t>
      </w:r>
      <w:r w:rsidR="0004391C">
        <w:rPr>
          <w:rFonts w:ascii="Open Sans" w:hAnsi="Open Sans" w:cs="Open Sans"/>
          <w:color w:val="auto"/>
        </w:rPr>
        <w:t>incident reportable to the serious incident response scheme (</w:t>
      </w:r>
      <w:r w:rsidR="00EA52E0">
        <w:rPr>
          <w:rFonts w:ascii="Open Sans" w:hAnsi="Open Sans" w:cs="Open Sans"/>
          <w:color w:val="auto"/>
        </w:rPr>
        <w:t>SIRS</w:t>
      </w:r>
      <w:r w:rsidR="0004391C">
        <w:rPr>
          <w:rFonts w:ascii="Open Sans" w:hAnsi="Open Sans" w:cs="Open Sans"/>
          <w:color w:val="auto"/>
        </w:rPr>
        <w:t>)</w:t>
      </w:r>
      <w:r w:rsidR="00EA52E0">
        <w:rPr>
          <w:rFonts w:ascii="Open Sans" w:hAnsi="Open Sans" w:cs="Open Sans"/>
          <w:color w:val="auto"/>
        </w:rPr>
        <w:t>, and therefore</w:t>
      </w:r>
      <w:r w:rsidR="0004391C">
        <w:rPr>
          <w:rFonts w:ascii="Open Sans" w:hAnsi="Open Sans" w:cs="Open Sans"/>
          <w:color w:val="auto"/>
        </w:rPr>
        <w:t>,</w:t>
      </w:r>
      <w:r w:rsidR="00EA52E0">
        <w:rPr>
          <w:rFonts w:ascii="Open Sans" w:hAnsi="Open Sans" w:cs="Open Sans"/>
          <w:color w:val="auto"/>
        </w:rPr>
        <w:t xml:space="preserve"> not always captured in clinical indicators. </w:t>
      </w:r>
      <w:r w:rsidR="006D2FA8">
        <w:rPr>
          <w:rFonts w:ascii="Open Sans" w:hAnsi="Open Sans" w:cs="Open Sans"/>
          <w:color w:val="auto"/>
        </w:rPr>
        <w:t xml:space="preserve">In relation to wounds, one consumer </w:t>
      </w:r>
      <w:r w:rsidR="000E7B33">
        <w:rPr>
          <w:rFonts w:ascii="Open Sans" w:hAnsi="Open Sans" w:cs="Open Sans"/>
          <w:color w:val="auto"/>
        </w:rPr>
        <w:t>sustained a skin tear, which was documented as 2 separate incidents. Discrep</w:t>
      </w:r>
      <w:r w:rsidR="0030654C">
        <w:rPr>
          <w:rFonts w:ascii="Open Sans" w:hAnsi="Open Sans" w:cs="Open Sans"/>
          <w:color w:val="auto"/>
        </w:rPr>
        <w:t xml:space="preserve">ancies were present between the incident forms, with one report alleging the skin tear was caused by staff during care provision. </w:t>
      </w:r>
      <w:r w:rsidR="00AA3AAA">
        <w:rPr>
          <w:rFonts w:ascii="Open Sans" w:hAnsi="Open Sans" w:cs="Open Sans"/>
          <w:color w:val="auto"/>
        </w:rPr>
        <w:t xml:space="preserve">Management advised they were not aware of the 2 reports and would investigate further for possible reportable SIRS. </w:t>
      </w:r>
    </w:p>
    <w:p w14:paraId="3C64D9AF" w14:textId="2DBA9E5C" w:rsidR="009108A6" w:rsidRDefault="0069571E" w:rsidP="00F7715A">
      <w:pPr>
        <w:pStyle w:val="NormalArial"/>
        <w:rPr>
          <w:rFonts w:ascii="Open Sans" w:hAnsi="Open Sans" w:cs="Open Sans"/>
          <w:color w:val="auto"/>
        </w:rPr>
      </w:pPr>
      <w:r>
        <w:rPr>
          <w:rFonts w:ascii="Open Sans" w:hAnsi="Open Sans" w:cs="Open Sans"/>
          <w:color w:val="auto"/>
        </w:rPr>
        <w:t>In relation to supporting consumers to live the best life they can, processes are in place to support consumer</w:t>
      </w:r>
      <w:r w:rsidR="0004391C">
        <w:rPr>
          <w:rFonts w:ascii="Open Sans" w:hAnsi="Open Sans" w:cs="Open Sans"/>
          <w:color w:val="auto"/>
        </w:rPr>
        <w:t>s</w:t>
      </w:r>
      <w:r>
        <w:rPr>
          <w:rFonts w:ascii="Open Sans" w:hAnsi="Open Sans" w:cs="Open Sans"/>
          <w:color w:val="auto"/>
        </w:rPr>
        <w:t xml:space="preserve"> with choice and risk to improve and enhance their quality of life. However, deficits in requirements 3(3)(a) and 3(3)(b)</w:t>
      </w:r>
      <w:r w:rsidR="00E0452D">
        <w:rPr>
          <w:rFonts w:ascii="Open Sans" w:hAnsi="Open Sans" w:cs="Open Sans"/>
          <w:color w:val="auto"/>
        </w:rPr>
        <w:t xml:space="preserve"> </w:t>
      </w:r>
      <w:r w:rsidR="008B5F0A">
        <w:rPr>
          <w:rFonts w:ascii="Open Sans" w:hAnsi="Open Sans" w:cs="Open Sans"/>
          <w:color w:val="auto"/>
        </w:rPr>
        <w:t xml:space="preserve">around the delivery of care and services </w:t>
      </w:r>
      <w:r w:rsidR="00F8612C">
        <w:rPr>
          <w:rFonts w:ascii="Open Sans" w:hAnsi="Open Sans" w:cs="Open Sans"/>
          <w:color w:val="auto"/>
        </w:rPr>
        <w:t xml:space="preserve">demonstrates consumers were not always supported to live their best life. Dignity of risk processes were in place for some consumers to </w:t>
      </w:r>
      <w:r w:rsidR="00CA4C42">
        <w:rPr>
          <w:rFonts w:ascii="Open Sans" w:hAnsi="Open Sans" w:cs="Open Sans"/>
          <w:color w:val="auto"/>
        </w:rPr>
        <w:t xml:space="preserve">identify and reduce risks, however, for some consumers, risks associated with their care were not identified, mitigated, </w:t>
      </w:r>
      <w:r w:rsidR="0004391C">
        <w:rPr>
          <w:rFonts w:ascii="Open Sans" w:hAnsi="Open Sans" w:cs="Open Sans"/>
          <w:color w:val="auto"/>
        </w:rPr>
        <w:t>managed,</w:t>
      </w:r>
      <w:r w:rsidR="00CA4C42">
        <w:rPr>
          <w:rFonts w:ascii="Open Sans" w:hAnsi="Open Sans" w:cs="Open Sans"/>
          <w:color w:val="auto"/>
        </w:rPr>
        <w:t xml:space="preserve"> and monitored for effective</w:t>
      </w:r>
      <w:r w:rsidR="00590BC8">
        <w:rPr>
          <w:rFonts w:ascii="Open Sans" w:hAnsi="Open Sans" w:cs="Open Sans"/>
          <w:color w:val="auto"/>
        </w:rPr>
        <w:t xml:space="preserve">ness. Consumers were at risk of preventable harm in areas including medication administration, pain management, post falls management and </w:t>
      </w:r>
      <w:r w:rsidR="00D82BE2">
        <w:rPr>
          <w:rFonts w:ascii="Open Sans" w:hAnsi="Open Sans" w:cs="Open Sans"/>
          <w:color w:val="auto"/>
        </w:rPr>
        <w:t>behaviour support, impacting their ability to live their best life.</w:t>
      </w:r>
    </w:p>
    <w:p w14:paraId="2C907EA9" w14:textId="3D2C1C2B" w:rsidR="00D82BE2" w:rsidRDefault="00D82BE2" w:rsidP="00F7715A">
      <w:pPr>
        <w:pStyle w:val="NormalArial"/>
        <w:rPr>
          <w:rFonts w:ascii="Open Sans" w:hAnsi="Open Sans" w:cs="Open Sans"/>
          <w:color w:val="auto"/>
        </w:rPr>
      </w:pPr>
      <w:r>
        <w:rPr>
          <w:rFonts w:ascii="Open Sans" w:hAnsi="Open Sans" w:cs="Open Sans"/>
          <w:color w:val="auto"/>
        </w:rPr>
        <w:t xml:space="preserve">In relation to managing and preventing incidents, deficiencies were identified in </w:t>
      </w:r>
      <w:r w:rsidR="00F27855">
        <w:rPr>
          <w:rFonts w:ascii="Open Sans" w:hAnsi="Open Sans" w:cs="Open Sans"/>
          <w:color w:val="auto"/>
        </w:rPr>
        <w:t>the reporting and investigation of incidents, and in the use of mitigation strategies to prevent harm to consu</w:t>
      </w:r>
      <w:r w:rsidR="00CB15EF">
        <w:rPr>
          <w:rFonts w:ascii="Open Sans" w:hAnsi="Open Sans" w:cs="Open Sans"/>
          <w:color w:val="auto"/>
        </w:rPr>
        <w:t xml:space="preserve">mers. The Assessment Team observed multiple incomplete investigations, incorrect </w:t>
      </w:r>
      <w:r w:rsidR="0004391C">
        <w:rPr>
          <w:rFonts w:ascii="Open Sans" w:hAnsi="Open Sans" w:cs="Open Sans"/>
          <w:color w:val="auto"/>
        </w:rPr>
        <w:t>information,</w:t>
      </w:r>
      <w:r w:rsidR="00CB15EF">
        <w:rPr>
          <w:rFonts w:ascii="Open Sans" w:hAnsi="Open Sans" w:cs="Open Sans"/>
          <w:color w:val="auto"/>
        </w:rPr>
        <w:t xml:space="preserve"> and a lack of </w:t>
      </w:r>
      <w:r w:rsidR="00BE7814">
        <w:rPr>
          <w:rFonts w:ascii="Open Sans" w:hAnsi="Open Sans" w:cs="Open Sans"/>
          <w:color w:val="auto"/>
        </w:rPr>
        <w:t xml:space="preserve">management review on investigations. Management acknowledged investigations were not always thorough and staff knowledge was not yet at the </w:t>
      </w:r>
      <w:r w:rsidR="00C71065">
        <w:rPr>
          <w:rFonts w:ascii="Open Sans" w:hAnsi="Open Sans" w:cs="Open Sans"/>
          <w:color w:val="auto"/>
        </w:rPr>
        <w:lastRenderedPageBreak/>
        <w:t>organisation</w:t>
      </w:r>
      <w:r w:rsidR="0004391C">
        <w:rPr>
          <w:rFonts w:ascii="Open Sans" w:hAnsi="Open Sans" w:cs="Open Sans"/>
          <w:color w:val="auto"/>
        </w:rPr>
        <w:t>’</w:t>
      </w:r>
      <w:r w:rsidR="00C71065">
        <w:rPr>
          <w:rFonts w:ascii="Open Sans" w:hAnsi="Open Sans" w:cs="Open Sans"/>
          <w:color w:val="auto"/>
        </w:rPr>
        <w:t xml:space="preserve">s expected standard. Governing body </w:t>
      </w:r>
      <w:r w:rsidR="00111C06">
        <w:rPr>
          <w:rFonts w:ascii="Open Sans" w:hAnsi="Open Sans" w:cs="Open Sans"/>
          <w:color w:val="auto"/>
        </w:rPr>
        <w:t xml:space="preserve">oversight </w:t>
      </w:r>
      <w:r w:rsidR="0004391C">
        <w:rPr>
          <w:rFonts w:ascii="Open Sans" w:hAnsi="Open Sans" w:cs="Open Sans"/>
          <w:color w:val="auto"/>
        </w:rPr>
        <w:t xml:space="preserve">of </w:t>
      </w:r>
      <w:r w:rsidR="00111C06">
        <w:rPr>
          <w:rFonts w:ascii="Open Sans" w:hAnsi="Open Sans" w:cs="Open Sans"/>
          <w:color w:val="auto"/>
        </w:rPr>
        <w:t>risks and trends relied heavily on accurate service level reporting and reports</w:t>
      </w:r>
      <w:r w:rsidR="0004391C">
        <w:rPr>
          <w:rFonts w:ascii="Open Sans" w:hAnsi="Open Sans" w:cs="Open Sans"/>
          <w:color w:val="auto"/>
        </w:rPr>
        <w:t>,</w:t>
      </w:r>
      <w:r w:rsidR="00111C06">
        <w:rPr>
          <w:rFonts w:ascii="Open Sans" w:hAnsi="Open Sans" w:cs="Open Sans"/>
          <w:color w:val="auto"/>
        </w:rPr>
        <w:t xml:space="preserve"> therefore</w:t>
      </w:r>
      <w:r w:rsidR="0004391C">
        <w:rPr>
          <w:rFonts w:ascii="Open Sans" w:hAnsi="Open Sans" w:cs="Open Sans"/>
          <w:color w:val="auto"/>
        </w:rPr>
        <w:t>,</w:t>
      </w:r>
      <w:r w:rsidR="00111C06">
        <w:rPr>
          <w:rFonts w:ascii="Open Sans" w:hAnsi="Open Sans" w:cs="Open Sans"/>
          <w:color w:val="auto"/>
        </w:rPr>
        <w:t xml:space="preserve"> contained inaccurate data. </w:t>
      </w:r>
    </w:p>
    <w:p w14:paraId="14A55C32" w14:textId="67EBA57D" w:rsidR="00B71A97" w:rsidRDefault="00B71A97" w:rsidP="00F7715A">
      <w:pPr>
        <w:pStyle w:val="NormalArial"/>
        <w:rPr>
          <w:rFonts w:ascii="Open Sans" w:hAnsi="Open Sans" w:cs="Open Sans"/>
          <w:color w:val="auto"/>
        </w:rPr>
      </w:pPr>
      <w:r>
        <w:rPr>
          <w:rFonts w:ascii="Open Sans" w:hAnsi="Open Sans" w:cs="Open Sans"/>
          <w:color w:val="auto"/>
        </w:rPr>
        <w:t>As part of a proactive risk management strategy, the provide</w:t>
      </w:r>
      <w:r w:rsidR="0004391C">
        <w:rPr>
          <w:rFonts w:ascii="Open Sans" w:hAnsi="Open Sans" w:cs="Open Sans"/>
          <w:color w:val="auto"/>
        </w:rPr>
        <w:t>r</w:t>
      </w:r>
      <w:r>
        <w:rPr>
          <w:rFonts w:ascii="Open Sans" w:hAnsi="Open Sans" w:cs="Open Sans"/>
          <w:color w:val="auto"/>
        </w:rPr>
        <w:t xml:space="preserve"> engaged an external </w:t>
      </w:r>
      <w:r w:rsidR="00351726">
        <w:rPr>
          <w:rFonts w:ascii="Open Sans" w:hAnsi="Open Sans" w:cs="Open Sans"/>
          <w:color w:val="auto"/>
        </w:rPr>
        <w:t>consultant</w:t>
      </w:r>
      <w:r>
        <w:rPr>
          <w:rFonts w:ascii="Open Sans" w:hAnsi="Open Sans" w:cs="Open Sans"/>
          <w:color w:val="auto"/>
        </w:rPr>
        <w:t xml:space="preserve"> to conduct audits within the service. </w:t>
      </w:r>
      <w:r w:rsidR="00FA2BF0">
        <w:rPr>
          <w:rFonts w:ascii="Open Sans" w:hAnsi="Open Sans" w:cs="Open Sans"/>
          <w:color w:val="auto"/>
        </w:rPr>
        <w:t xml:space="preserve">Action plans were provided to address deficits identified within these audits, however, management acknowledged many of these deficits were ongoing and corrective actions were a work in progress. The external consultants </w:t>
      </w:r>
      <w:r w:rsidR="007F112D">
        <w:rPr>
          <w:rFonts w:ascii="Open Sans" w:hAnsi="Open Sans" w:cs="Open Sans"/>
          <w:color w:val="auto"/>
        </w:rPr>
        <w:t>had been engaged to remain at the service for an indefinite period</w:t>
      </w:r>
      <w:r w:rsidR="00232FAB">
        <w:rPr>
          <w:rFonts w:ascii="Open Sans" w:hAnsi="Open Sans" w:cs="Open Sans"/>
          <w:color w:val="auto"/>
        </w:rPr>
        <w:t>.</w:t>
      </w:r>
    </w:p>
    <w:p w14:paraId="76A669AB" w14:textId="7F03A58D" w:rsidR="00232FAB" w:rsidRDefault="00232FAB" w:rsidP="00F7715A">
      <w:pPr>
        <w:pStyle w:val="NormalArial"/>
        <w:rPr>
          <w:rFonts w:ascii="Open Sans" w:hAnsi="Open Sans" w:cs="Open Sans"/>
          <w:color w:val="auto"/>
        </w:rPr>
      </w:pPr>
      <w:r>
        <w:rPr>
          <w:rFonts w:ascii="Open Sans" w:hAnsi="Open Sans" w:cs="Open Sans"/>
          <w:color w:val="auto"/>
        </w:rPr>
        <w:t>The provider acknowledged the Assessment Team</w:t>
      </w:r>
      <w:r w:rsidR="0004391C">
        <w:rPr>
          <w:rFonts w:ascii="Open Sans" w:hAnsi="Open Sans" w:cs="Open Sans"/>
          <w:color w:val="auto"/>
        </w:rPr>
        <w:t>’</w:t>
      </w:r>
      <w:r>
        <w:rPr>
          <w:rFonts w:ascii="Open Sans" w:hAnsi="Open Sans" w:cs="Open Sans"/>
          <w:color w:val="auto"/>
        </w:rPr>
        <w:t>s report, and in their response advised a comprehensive review is being undertaken</w:t>
      </w:r>
      <w:r w:rsidR="00DE6D61">
        <w:rPr>
          <w:rFonts w:ascii="Open Sans" w:hAnsi="Open Sans" w:cs="Open Sans"/>
          <w:color w:val="auto"/>
        </w:rPr>
        <w:t xml:space="preserve">. </w:t>
      </w:r>
      <w:r w:rsidR="007B1DC9">
        <w:rPr>
          <w:rFonts w:ascii="Open Sans" w:hAnsi="Open Sans" w:cs="Open Sans"/>
          <w:color w:val="auto"/>
        </w:rPr>
        <w:t xml:space="preserve">The organisation wide improvements include, but are not limited to, a recent </w:t>
      </w:r>
      <w:r w:rsidR="0004391C">
        <w:rPr>
          <w:rFonts w:ascii="Open Sans" w:hAnsi="Open Sans" w:cs="Open Sans"/>
          <w:color w:val="auto"/>
        </w:rPr>
        <w:t xml:space="preserve">board </w:t>
      </w:r>
      <w:r w:rsidR="007B1DC9">
        <w:rPr>
          <w:rFonts w:ascii="Open Sans" w:hAnsi="Open Sans" w:cs="Open Sans"/>
          <w:color w:val="auto"/>
        </w:rPr>
        <w:t>appointment of a non-executive member and chair, corporate office leadership restructure, a new executive manager of clinical go</w:t>
      </w:r>
      <w:r w:rsidR="005663F4">
        <w:rPr>
          <w:rFonts w:ascii="Open Sans" w:hAnsi="Open Sans" w:cs="Open Sans"/>
          <w:color w:val="auto"/>
        </w:rPr>
        <w:t>vernance and increased monitoring activities to track improvements and ensure they are sustainable.</w:t>
      </w:r>
    </w:p>
    <w:p w14:paraId="23B05026" w14:textId="3D13F3A9" w:rsidR="005663F4" w:rsidRDefault="005663F4" w:rsidP="00F7715A">
      <w:pPr>
        <w:pStyle w:val="NormalArial"/>
        <w:rPr>
          <w:rFonts w:ascii="Open Sans" w:hAnsi="Open Sans" w:cs="Open Sans"/>
          <w:color w:val="auto"/>
        </w:rPr>
      </w:pPr>
      <w:r>
        <w:rPr>
          <w:rFonts w:ascii="Open Sans" w:hAnsi="Open Sans" w:cs="Open Sans"/>
          <w:color w:val="auto"/>
        </w:rPr>
        <w:t>I acknowledge the provider</w:t>
      </w:r>
      <w:r w:rsidR="0004391C">
        <w:rPr>
          <w:rFonts w:ascii="Open Sans" w:hAnsi="Open Sans" w:cs="Open Sans"/>
          <w:color w:val="auto"/>
        </w:rPr>
        <w:t>’</w:t>
      </w:r>
      <w:r>
        <w:rPr>
          <w:rFonts w:ascii="Open Sans" w:hAnsi="Open Sans" w:cs="Open Sans"/>
          <w:color w:val="auto"/>
        </w:rPr>
        <w:t xml:space="preserve">s </w:t>
      </w:r>
      <w:proofErr w:type="gramStart"/>
      <w:r>
        <w:rPr>
          <w:rFonts w:ascii="Open Sans" w:hAnsi="Open Sans" w:cs="Open Sans"/>
          <w:color w:val="auto"/>
        </w:rPr>
        <w:t>response,</w:t>
      </w:r>
      <w:proofErr w:type="gramEnd"/>
      <w:r w:rsidR="00A61C81">
        <w:rPr>
          <w:rFonts w:ascii="Open Sans" w:hAnsi="Open Sans" w:cs="Open Sans"/>
          <w:color w:val="auto"/>
        </w:rPr>
        <w:t xml:space="preserve"> however, I find the pro</w:t>
      </w:r>
      <w:r w:rsidR="00EF2362">
        <w:rPr>
          <w:rFonts w:ascii="Open Sans" w:hAnsi="Open Sans" w:cs="Open Sans"/>
          <w:color w:val="auto"/>
        </w:rPr>
        <w:t>vider did not demonstrate effective risk management systems and practices. In coming to my finding, I have considered the actions currently being undertaken to improve governance processes within the</w:t>
      </w:r>
      <w:r w:rsidR="008C1C61">
        <w:rPr>
          <w:rFonts w:ascii="Open Sans" w:hAnsi="Open Sans" w:cs="Open Sans"/>
          <w:color w:val="auto"/>
        </w:rPr>
        <w:t xml:space="preserve"> organisation, however</w:t>
      </w:r>
      <w:r w:rsidR="0004391C">
        <w:rPr>
          <w:rFonts w:ascii="Open Sans" w:hAnsi="Open Sans" w:cs="Open Sans"/>
          <w:color w:val="auto"/>
        </w:rPr>
        <w:t>,</w:t>
      </w:r>
      <w:r w:rsidR="008C1C61">
        <w:rPr>
          <w:rFonts w:ascii="Open Sans" w:hAnsi="Open Sans" w:cs="Open Sans"/>
          <w:color w:val="auto"/>
        </w:rPr>
        <w:t xml:space="preserve"> I consider improvements of this magnitude will require time to embed and review. </w:t>
      </w:r>
    </w:p>
    <w:p w14:paraId="75AE56E3" w14:textId="4207D8B6" w:rsidR="00E65C85" w:rsidRDefault="00E65C85" w:rsidP="00F7715A">
      <w:pPr>
        <w:pStyle w:val="NormalArial"/>
        <w:rPr>
          <w:rFonts w:ascii="Open Sans" w:hAnsi="Open Sans" w:cs="Open Sans"/>
          <w:color w:val="auto"/>
        </w:rPr>
      </w:pPr>
      <w:r>
        <w:rPr>
          <w:rFonts w:ascii="Open Sans" w:hAnsi="Open Sans" w:cs="Open Sans"/>
          <w:color w:val="auto"/>
        </w:rPr>
        <w:t>For the reasons detailed above, I find requirement 8(3)(d) non-compliant.</w:t>
      </w:r>
    </w:p>
    <w:p w14:paraId="39AE9047" w14:textId="0276E399" w:rsidR="00E65C85" w:rsidRDefault="00E65C85" w:rsidP="00F7715A">
      <w:pPr>
        <w:pStyle w:val="NormalArial"/>
        <w:rPr>
          <w:rFonts w:ascii="Open Sans" w:hAnsi="Open Sans" w:cs="Open Sans"/>
          <w:color w:val="auto"/>
        </w:rPr>
      </w:pPr>
      <w:r>
        <w:rPr>
          <w:rFonts w:ascii="Open Sans" w:hAnsi="Open Sans" w:cs="Open Sans"/>
          <w:b/>
          <w:bCs/>
          <w:color w:val="auto"/>
        </w:rPr>
        <w:t xml:space="preserve">Requirement 8(3)(e) </w:t>
      </w:r>
      <w:r>
        <w:rPr>
          <w:rFonts w:ascii="Open Sans" w:hAnsi="Open Sans" w:cs="Open Sans"/>
          <w:color w:val="auto"/>
        </w:rPr>
        <w:t xml:space="preserve">– The Assessment Team found the provider was unable to demonstrate an effective clinical governance framework </w:t>
      </w:r>
      <w:r w:rsidR="00B23D12">
        <w:rPr>
          <w:rFonts w:ascii="Open Sans" w:hAnsi="Open Sans" w:cs="Open Sans"/>
          <w:color w:val="auto"/>
        </w:rPr>
        <w:t xml:space="preserve">and recommended requirement 8(3)(e) not met. The Assessment Team provided the following information which was obtained through document review and </w:t>
      </w:r>
      <w:r w:rsidR="00F34DA8">
        <w:rPr>
          <w:rFonts w:ascii="Open Sans" w:hAnsi="Open Sans" w:cs="Open Sans"/>
          <w:color w:val="auto"/>
        </w:rPr>
        <w:t xml:space="preserve">interviews. </w:t>
      </w:r>
    </w:p>
    <w:p w14:paraId="0B87ECBE" w14:textId="72715291" w:rsidR="00F34DA8" w:rsidRDefault="00E6451D" w:rsidP="00F7715A">
      <w:pPr>
        <w:pStyle w:val="NormalArial"/>
        <w:rPr>
          <w:rFonts w:ascii="Open Sans" w:hAnsi="Open Sans" w:cs="Open Sans"/>
          <w:color w:val="auto"/>
        </w:rPr>
      </w:pPr>
      <w:r>
        <w:rPr>
          <w:rFonts w:ascii="Open Sans" w:hAnsi="Open Sans" w:cs="Open Sans"/>
          <w:color w:val="auto"/>
        </w:rPr>
        <w:t xml:space="preserve">Systems were in place for reporting, </w:t>
      </w:r>
      <w:r w:rsidR="0004391C">
        <w:rPr>
          <w:rFonts w:ascii="Open Sans" w:hAnsi="Open Sans" w:cs="Open Sans"/>
          <w:color w:val="auto"/>
        </w:rPr>
        <w:t>collecting,</w:t>
      </w:r>
      <w:r>
        <w:rPr>
          <w:rFonts w:ascii="Open Sans" w:hAnsi="Open Sans" w:cs="Open Sans"/>
          <w:color w:val="auto"/>
        </w:rPr>
        <w:t xml:space="preserve"> and analysing clinical data, however, these relied on accurate reporting at a service level. Deficiencies in service level operations clinical monitoring and oversight impacted on information received by the governing body. </w:t>
      </w:r>
    </w:p>
    <w:p w14:paraId="17DFC6B4" w14:textId="5BA01881" w:rsidR="00C60DDA" w:rsidRDefault="00C60DDA" w:rsidP="00F7715A">
      <w:pPr>
        <w:pStyle w:val="NormalArial"/>
        <w:rPr>
          <w:rFonts w:ascii="Open Sans" w:hAnsi="Open Sans" w:cs="Open Sans"/>
          <w:color w:val="auto"/>
        </w:rPr>
      </w:pPr>
      <w:r>
        <w:rPr>
          <w:rFonts w:ascii="Open Sans" w:hAnsi="Open Sans" w:cs="Open Sans"/>
          <w:color w:val="auto"/>
        </w:rPr>
        <w:t xml:space="preserve">Whilst the organisation demonstrated self-identification of some deficits through internal and external audit processes, actions to correct, mitigate and manage deficits were not fully implemented at the time of the assessment contact. </w:t>
      </w:r>
    </w:p>
    <w:p w14:paraId="27C2A6D0" w14:textId="51B5D4FE" w:rsidR="008C56FE" w:rsidRDefault="008C56FE" w:rsidP="00F7715A">
      <w:pPr>
        <w:pStyle w:val="NormalArial"/>
        <w:rPr>
          <w:rFonts w:ascii="Open Sans" w:hAnsi="Open Sans" w:cs="Open Sans"/>
          <w:color w:val="auto"/>
        </w:rPr>
      </w:pPr>
      <w:r>
        <w:rPr>
          <w:rFonts w:ascii="Open Sans" w:hAnsi="Open Sans" w:cs="Open Sans"/>
          <w:color w:val="auto"/>
        </w:rPr>
        <w:t>In relation to antimicrobial stewardship, policies were in place to ensure appropriate use of antibiotics for consumers and provided guidance on antimicrobial stewardship for staff. However, best practice antimicrobial stewardship was not demonstrated, with antibiotics still prescribed prior to or without pathology</w:t>
      </w:r>
      <w:r w:rsidR="004D52AB">
        <w:rPr>
          <w:rFonts w:ascii="Open Sans" w:hAnsi="Open Sans" w:cs="Open Sans"/>
          <w:color w:val="auto"/>
        </w:rPr>
        <w:t xml:space="preserve">. Medication advisory committee meetings were required to be held 4 times a year, with the most recent meeting occurring in July 2025. </w:t>
      </w:r>
      <w:r w:rsidR="004D52AB">
        <w:rPr>
          <w:rFonts w:ascii="Open Sans" w:hAnsi="Open Sans" w:cs="Open Sans"/>
          <w:color w:val="auto"/>
        </w:rPr>
        <w:lastRenderedPageBreak/>
        <w:t xml:space="preserve">Management acknowledged prior to this </w:t>
      </w:r>
      <w:proofErr w:type="gramStart"/>
      <w:r w:rsidR="004D52AB">
        <w:rPr>
          <w:rFonts w:ascii="Open Sans" w:hAnsi="Open Sans" w:cs="Open Sans"/>
          <w:color w:val="auto"/>
        </w:rPr>
        <w:t>date,</w:t>
      </w:r>
      <w:proofErr w:type="gramEnd"/>
      <w:r w:rsidR="004D52AB">
        <w:rPr>
          <w:rFonts w:ascii="Open Sans" w:hAnsi="Open Sans" w:cs="Open Sans"/>
          <w:color w:val="auto"/>
        </w:rPr>
        <w:t xml:space="preserve"> there were no records of these meetings occurring. </w:t>
      </w:r>
    </w:p>
    <w:p w14:paraId="7C82FDC9" w14:textId="2B2FD4B4" w:rsidR="00862795" w:rsidRDefault="00862795" w:rsidP="00F7715A">
      <w:pPr>
        <w:pStyle w:val="NormalArial"/>
        <w:rPr>
          <w:rFonts w:ascii="Open Sans" w:hAnsi="Open Sans" w:cs="Open Sans"/>
          <w:color w:val="auto"/>
        </w:rPr>
      </w:pPr>
      <w:r>
        <w:rPr>
          <w:rFonts w:ascii="Open Sans" w:hAnsi="Open Sans" w:cs="Open Sans"/>
          <w:color w:val="auto"/>
        </w:rPr>
        <w:t>In relation to minimising the use of restraint, the organisation had self-identified deficiencies in behaviour support and the use of restrictive practices across the organisation</w:t>
      </w:r>
      <w:r w:rsidR="00C07FAB">
        <w:rPr>
          <w:rFonts w:ascii="Open Sans" w:hAnsi="Open Sans" w:cs="Open Sans"/>
          <w:color w:val="auto"/>
        </w:rPr>
        <w:t>. The governing body advised an external organisation has been contracted to assist in reviewing and updating all care planning documentation and assessments for consumers at this service, including documentation relating to restrictive practices</w:t>
      </w:r>
      <w:r w:rsidR="00582727">
        <w:rPr>
          <w:rFonts w:ascii="Open Sans" w:hAnsi="Open Sans" w:cs="Open Sans"/>
          <w:color w:val="auto"/>
        </w:rPr>
        <w:t xml:space="preserve">. However, management acknowledged the practice of managing and minimising the use of restraints was a work in progress. </w:t>
      </w:r>
    </w:p>
    <w:p w14:paraId="4641407C" w14:textId="5C3D04E3" w:rsidR="00582727" w:rsidRDefault="00582727" w:rsidP="00F7715A">
      <w:pPr>
        <w:pStyle w:val="NormalArial"/>
        <w:rPr>
          <w:rFonts w:ascii="Open Sans" w:hAnsi="Open Sans" w:cs="Open Sans"/>
          <w:color w:val="auto"/>
        </w:rPr>
      </w:pPr>
      <w:r>
        <w:rPr>
          <w:rFonts w:ascii="Open Sans" w:hAnsi="Open Sans" w:cs="Open Sans"/>
          <w:color w:val="auto"/>
        </w:rPr>
        <w:t>In relation to open disclosure, the organisation has policies to guide staff in the practice of open disclos</w:t>
      </w:r>
      <w:r w:rsidR="002E2E55">
        <w:rPr>
          <w:rFonts w:ascii="Open Sans" w:hAnsi="Open Sans" w:cs="Open Sans"/>
          <w:color w:val="auto"/>
        </w:rPr>
        <w:t xml:space="preserve">ure, and management and staff advised open disclosure was used in relation to complaints and incident management. The governing body stated they were aware of </w:t>
      </w:r>
      <w:r w:rsidR="00381C95">
        <w:rPr>
          <w:rFonts w:ascii="Open Sans" w:hAnsi="Open Sans" w:cs="Open Sans"/>
          <w:color w:val="auto"/>
        </w:rPr>
        <w:t xml:space="preserve">instances where open disclosure was required, and management escalated information to the governing body where appropriate. </w:t>
      </w:r>
      <w:r w:rsidR="00835F8F">
        <w:rPr>
          <w:rFonts w:ascii="Open Sans" w:hAnsi="Open Sans" w:cs="Open Sans"/>
          <w:color w:val="auto"/>
        </w:rPr>
        <w:t>Documentation demonstrated the use of open disclosure by staff and management</w:t>
      </w:r>
      <w:r w:rsidR="0004391C">
        <w:rPr>
          <w:rFonts w:ascii="Open Sans" w:hAnsi="Open Sans" w:cs="Open Sans"/>
          <w:color w:val="auto"/>
        </w:rPr>
        <w:t>,</w:t>
      </w:r>
      <w:r w:rsidR="00835F8F">
        <w:rPr>
          <w:rFonts w:ascii="Open Sans" w:hAnsi="Open Sans" w:cs="Open Sans"/>
          <w:color w:val="auto"/>
        </w:rPr>
        <w:t xml:space="preserve"> and consumers and representatives stated they were offered apologies when issues occurred.</w:t>
      </w:r>
    </w:p>
    <w:p w14:paraId="71D6892A" w14:textId="467F7708" w:rsidR="00835F8F" w:rsidRDefault="00835F8F" w:rsidP="00835F8F">
      <w:pPr>
        <w:pStyle w:val="NormalArial"/>
        <w:rPr>
          <w:rFonts w:ascii="Open Sans" w:hAnsi="Open Sans" w:cs="Open Sans"/>
          <w:color w:val="auto"/>
        </w:rPr>
      </w:pPr>
      <w:r>
        <w:rPr>
          <w:rFonts w:ascii="Open Sans" w:hAnsi="Open Sans" w:cs="Open Sans"/>
          <w:color w:val="auto"/>
        </w:rPr>
        <w:t>The provider acknowledged the Assessment Team</w:t>
      </w:r>
      <w:r w:rsidR="0004391C">
        <w:rPr>
          <w:rFonts w:ascii="Open Sans" w:hAnsi="Open Sans" w:cs="Open Sans"/>
          <w:color w:val="auto"/>
        </w:rPr>
        <w:t>’</w:t>
      </w:r>
      <w:r>
        <w:rPr>
          <w:rFonts w:ascii="Open Sans" w:hAnsi="Open Sans" w:cs="Open Sans"/>
          <w:color w:val="auto"/>
        </w:rPr>
        <w:t xml:space="preserve">s report, and in their response advised a comprehensive review is being undertaken. The organisation wide improvements include, but are not limited to, a recent </w:t>
      </w:r>
      <w:r w:rsidR="0004391C">
        <w:rPr>
          <w:rFonts w:ascii="Open Sans" w:hAnsi="Open Sans" w:cs="Open Sans"/>
          <w:color w:val="auto"/>
        </w:rPr>
        <w:t xml:space="preserve">board </w:t>
      </w:r>
      <w:r>
        <w:rPr>
          <w:rFonts w:ascii="Open Sans" w:hAnsi="Open Sans" w:cs="Open Sans"/>
          <w:color w:val="auto"/>
        </w:rPr>
        <w:t>appointment of a non-executive member and chair, corporate office leadership restructure, a new executive manager of clinical governance and increased monitoring activities to track improvements and ensure they are sustainable.</w:t>
      </w:r>
    </w:p>
    <w:p w14:paraId="4E5909B7" w14:textId="6619FC14" w:rsidR="00835F8F" w:rsidRDefault="00835F8F" w:rsidP="00835F8F">
      <w:pPr>
        <w:pStyle w:val="NormalArial"/>
        <w:rPr>
          <w:rFonts w:ascii="Open Sans" w:hAnsi="Open Sans" w:cs="Open Sans"/>
          <w:color w:val="auto"/>
        </w:rPr>
      </w:pPr>
      <w:r>
        <w:rPr>
          <w:rFonts w:ascii="Open Sans" w:hAnsi="Open Sans" w:cs="Open Sans"/>
          <w:color w:val="auto"/>
        </w:rPr>
        <w:t>I acknowledge the provider</w:t>
      </w:r>
      <w:r w:rsidR="0004391C">
        <w:rPr>
          <w:rFonts w:ascii="Open Sans" w:hAnsi="Open Sans" w:cs="Open Sans"/>
          <w:color w:val="auto"/>
        </w:rPr>
        <w:t>’</w:t>
      </w:r>
      <w:r>
        <w:rPr>
          <w:rFonts w:ascii="Open Sans" w:hAnsi="Open Sans" w:cs="Open Sans"/>
          <w:color w:val="auto"/>
        </w:rPr>
        <w:t xml:space="preserve">s </w:t>
      </w:r>
      <w:proofErr w:type="gramStart"/>
      <w:r>
        <w:rPr>
          <w:rFonts w:ascii="Open Sans" w:hAnsi="Open Sans" w:cs="Open Sans"/>
          <w:color w:val="auto"/>
        </w:rPr>
        <w:t>response,</w:t>
      </w:r>
      <w:proofErr w:type="gramEnd"/>
      <w:r>
        <w:rPr>
          <w:rFonts w:ascii="Open Sans" w:hAnsi="Open Sans" w:cs="Open Sans"/>
          <w:color w:val="auto"/>
        </w:rPr>
        <w:t xml:space="preserve"> however, I find the provider did not demonstrate effective risk management systems and practices. In coming to my finding, I have considered the actions currently being undertaken to improve governance processes within the organisation, however I consider improvements of this magnitude will require time to embed and review. </w:t>
      </w:r>
    </w:p>
    <w:p w14:paraId="48D69C41" w14:textId="1F0B556F" w:rsidR="00835F8F" w:rsidRDefault="00835F8F" w:rsidP="00835F8F">
      <w:pPr>
        <w:pStyle w:val="NormalArial"/>
        <w:rPr>
          <w:rFonts w:ascii="Open Sans" w:hAnsi="Open Sans" w:cs="Open Sans"/>
          <w:color w:val="auto"/>
        </w:rPr>
      </w:pPr>
      <w:r>
        <w:rPr>
          <w:rFonts w:ascii="Open Sans" w:hAnsi="Open Sans" w:cs="Open Sans"/>
          <w:color w:val="auto"/>
        </w:rPr>
        <w:t>For the reasons detailed above, I find requirement 8(3)(e) non-compliant.</w:t>
      </w:r>
    </w:p>
    <w:p w14:paraId="42E6E7FC" w14:textId="77777777" w:rsidR="00835F8F" w:rsidRPr="00E65C85" w:rsidRDefault="00835F8F" w:rsidP="00F7715A">
      <w:pPr>
        <w:pStyle w:val="NormalArial"/>
        <w:rPr>
          <w:rFonts w:ascii="Open Sans" w:hAnsi="Open Sans" w:cs="Open Sans"/>
          <w:color w:val="auto"/>
        </w:rPr>
      </w:pPr>
    </w:p>
    <w:sectPr w:rsidR="00835F8F" w:rsidRPr="00E65C8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CFA4" w14:textId="77777777" w:rsidR="008D0837" w:rsidRDefault="008D0837">
      <w:pPr>
        <w:spacing w:after="0"/>
      </w:pPr>
      <w:r>
        <w:separator/>
      </w:r>
    </w:p>
  </w:endnote>
  <w:endnote w:type="continuationSeparator" w:id="0">
    <w:p w14:paraId="4703B94E" w14:textId="77777777" w:rsidR="008D0837" w:rsidRDefault="008D0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D320" w14:textId="77777777" w:rsidR="00CE23FF" w:rsidRPr="00DF37F2" w:rsidRDefault="00CE23F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Care Bargara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8BD6AF7" w14:textId="77777777" w:rsidR="00CE23FF" w:rsidRPr="00DF37F2" w:rsidRDefault="00CE23F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5409</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5BD2E6A" w14:textId="77777777" w:rsidR="00CE23FF" w:rsidRPr="00DF37F2" w:rsidRDefault="00CE23F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30D5" w14:textId="77777777" w:rsidR="00CE23FF" w:rsidRDefault="00CE23F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CC38" w14:textId="77777777" w:rsidR="008D0837" w:rsidRDefault="008D0837" w:rsidP="00D71F88">
      <w:pPr>
        <w:spacing w:after="0"/>
      </w:pPr>
      <w:r>
        <w:separator/>
      </w:r>
    </w:p>
  </w:footnote>
  <w:footnote w:type="continuationSeparator" w:id="0">
    <w:p w14:paraId="51DFE8ED" w14:textId="77777777" w:rsidR="008D0837" w:rsidRDefault="008D0837" w:rsidP="00D71F88">
      <w:pPr>
        <w:spacing w:after="0"/>
      </w:pPr>
      <w:r>
        <w:continuationSeparator/>
      </w:r>
    </w:p>
  </w:footnote>
  <w:footnote w:id="1">
    <w:p w14:paraId="0ECCB97B" w14:textId="5BCC39EF" w:rsidR="00CE23FF" w:rsidRDefault="00CE23F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D2888">
        <w:rPr>
          <w:rFonts w:ascii="Arial" w:hAnsi="Arial"/>
          <w:color w:val="auto"/>
          <w:sz w:val="20"/>
          <w:szCs w:val="20"/>
        </w:rPr>
        <w:t>section 68A of the Aged Care Quality and Safety Commission Rules 2018.</w:t>
      </w:r>
    </w:p>
    <w:p w14:paraId="5EF46B9D" w14:textId="77777777" w:rsidR="00CE23FF" w:rsidRDefault="00CE23F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C1D1" w14:textId="77777777" w:rsidR="00CE23FF" w:rsidRDefault="00CE23FF">
    <w:pPr>
      <w:pStyle w:val="Header"/>
    </w:pPr>
    <w:r>
      <w:rPr>
        <w:noProof/>
        <w:color w:val="2B579A"/>
        <w:shd w:val="clear" w:color="auto" w:fill="E6E6E6"/>
        <w:lang w:val="en-US"/>
      </w:rPr>
      <w:drawing>
        <wp:anchor distT="0" distB="0" distL="114300" distR="114300" simplePos="0" relativeHeight="251658241" behindDoc="1" locked="0" layoutInCell="1" allowOverlap="1" wp14:anchorId="64125EB7" wp14:editId="2FC8841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083C" w14:textId="77777777" w:rsidR="00CE23FF" w:rsidRDefault="00CE23FF">
    <w:pPr>
      <w:pStyle w:val="Header"/>
    </w:pPr>
    <w:r>
      <w:rPr>
        <w:noProof/>
      </w:rPr>
      <w:drawing>
        <wp:anchor distT="0" distB="0" distL="114300" distR="114300" simplePos="0" relativeHeight="251658240" behindDoc="0" locked="0" layoutInCell="1" allowOverlap="1" wp14:anchorId="3A7F8E77" wp14:editId="4A89429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303C84">
      <w:start w:val="1"/>
      <w:numFmt w:val="lowerRoman"/>
      <w:lvlText w:val="(%1)"/>
      <w:lvlJc w:val="left"/>
      <w:pPr>
        <w:ind w:left="1080" w:hanging="720"/>
      </w:pPr>
      <w:rPr>
        <w:rFonts w:hint="default"/>
      </w:rPr>
    </w:lvl>
    <w:lvl w:ilvl="1" w:tplc="0576CB42" w:tentative="1">
      <w:start w:val="1"/>
      <w:numFmt w:val="lowerLetter"/>
      <w:lvlText w:val="%2."/>
      <w:lvlJc w:val="left"/>
      <w:pPr>
        <w:ind w:left="1440" w:hanging="360"/>
      </w:pPr>
    </w:lvl>
    <w:lvl w:ilvl="2" w:tplc="6270BA34" w:tentative="1">
      <w:start w:val="1"/>
      <w:numFmt w:val="lowerRoman"/>
      <w:lvlText w:val="%3."/>
      <w:lvlJc w:val="right"/>
      <w:pPr>
        <w:ind w:left="2160" w:hanging="180"/>
      </w:pPr>
    </w:lvl>
    <w:lvl w:ilvl="3" w:tplc="FC922BC2" w:tentative="1">
      <w:start w:val="1"/>
      <w:numFmt w:val="decimal"/>
      <w:lvlText w:val="%4."/>
      <w:lvlJc w:val="left"/>
      <w:pPr>
        <w:ind w:left="2880" w:hanging="360"/>
      </w:pPr>
    </w:lvl>
    <w:lvl w:ilvl="4" w:tplc="F6105494" w:tentative="1">
      <w:start w:val="1"/>
      <w:numFmt w:val="lowerLetter"/>
      <w:lvlText w:val="%5."/>
      <w:lvlJc w:val="left"/>
      <w:pPr>
        <w:ind w:left="3600" w:hanging="360"/>
      </w:pPr>
    </w:lvl>
    <w:lvl w:ilvl="5" w:tplc="3A90124E" w:tentative="1">
      <w:start w:val="1"/>
      <w:numFmt w:val="lowerRoman"/>
      <w:lvlText w:val="%6."/>
      <w:lvlJc w:val="right"/>
      <w:pPr>
        <w:ind w:left="4320" w:hanging="180"/>
      </w:pPr>
    </w:lvl>
    <w:lvl w:ilvl="6" w:tplc="A93602E2" w:tentative="1">
      <w:start w:val="1"/>
      <w:numFmt w:val="decimal"/>
      <w:lvlText w:val="%7."/>
      <w:lvlJc w:val="left"/>
      <w:pPr>
        <w:ind w:left="5040" w:hanging="360"/>
      </w:pPr>
    </w:lvl>
    <w:lvl w:ilvl="7" w:tplc="07DCCC6C" w:tentative="1">
      <w:start w:val="1"/>
      <w:numFmt w:val="lowerLetter"/>
      <w:lvlText w:val="%8."/>
      <w:lvlJc w:val="left"/>
      <w:pPr>
        <w:ind w:left="5760" w:hanging="360"/>
      </w:pPr>
    </w:lvl>
    <w:lvl w:ilvl="8" w:tplc="C114D4F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BDC0D82">
      <w:start w:val="1"/>
      <w:numFmt w:val="lowerRoman"/>
      <w:lvlText w:val="(%1)"/>
      <w:lvlJc w:val="left"/>
      <w:pPr>
        <w:ind w:left="1080" w:hanging="720"/>
      </w:pPr>
      <w:rPr>
        <w:rFonts w:hint="default"/>
      </w:rPr>
    </w:lvl>
    <w:lvl w:ilvl="1" w:tplc="8316773A" w:tentative="1">
      <w:start w:val="1"/>
      <w:numFmt w:val="lowerLetter"/>
      <w:lvlText w:val="%2."/>
      <w:lvlJc w:val="left"/>
      <w:pPr>
        <w:ind w:left="1440" w:hanging="360"/>
      </w:pPr>
    </w:lvl>
    <w:lvl w:ilvl="2" w:tplc="8722A242" w:tentative="1">
      <w:start w:val="1"/>
      <w:numFmt w:val="lowerRoman"/>
      <w:lvlText w:val="%3."/>
      <w:lvlJc w:val="right"/>
      <w:pPr>
        <w:ind w:left="2160" w:hanging="180"/>
      </w:pPr>
    </w:lvl>
    <w:lvl w:ilvl="3" w:tplc="4F2E11F2" w:tentative="1">
      <w:start w:val="1"/>
      <w:numFmt w:val="decimal"/>
      <w:lvlText w:val="%4."/>
      <w:lvlJc w:val="left"/>
      <w:pPr>
        <w:ind w:left="2880" w:hanging="360"/>
      </w:pPr>
    </w:lvl>
    <w:lvl w:ilvl="4" w:tplc="BA18CC7C" w:tentative="1">
      <w:start w:val="1"/>
      <w:numFmt w:val="lowerLetter"/>
      <w:lvlText w:val="%5."/>
      <w:lvlJc w:val="left"/>
      <w:pPr>
        <w:ind w:left="3600" w:hanging="360"/>
      </w:pPr>
    </w:lvl>
    <w:lvl w:ilvl="5" w:tplc="387C807C" w:tentative="1">
      <w:start w:val="1"/>
      <w:numFmt w:val="lowerRoman"/>
      <w:lvlText w:val="%6."/>
      <w:lvlJc w:val="right"/>
      <w:pPr>
        <w:ind w:left="4320" w:hanging="180"/>
      </w:pPr>
    </w:lvl>
    <w:lvl w:ilvl="6" w:tplc="7F00ADE4" w:tentative="1">
      <w:start w:val="1"/>
      <w:numFmt w:val="decimal"/>
      <w:lvlText w:val="%7."/>
      <w:lvlJc w:val="left"/>
      <w:pPr>
        <w:ind w:left="5040" w:hanging="360"/>
      </w:pPr>
    </w:lvl>
    <w:lvl w:ilvl="7" w:tplc="AEE07A82" w:tentative="1">
      <w:start w:val="1"/>
      <w:numFmt w:val="lowerLetter"/>
      <w:lvlText w:val="%8."/>
      <w:lvlJc w:val="left"/>
      <w:pPr>
        <w:ind w:left="5760" w:hanging="360"/>
      </w:pPr>
    </w:lvl>
    <w:lvl w:ilvl="8" w:tplc="6CE885A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AD00AC4">
      <w:start w:val="1"/>
      <w:numFmt w:val="lowerRoman"/>
      <w:lvlText w:val="(%1)"/>
      <w:lvlJc w:val="left"/>
      <w:pPr>
        <w:ind w:left="1080" w:hanging="720"/>
      </w:pPr>
      <w:rPr>
        <w:rFonts w:hint="default"/>
      </w:rPr>
    </w:lvl>
    <w:lvl w:ilvl="1" w:tplc="6DE0B3DA" w:tentative="1">
      <w:start w:val="1"/>
      <w:numFmt w:val="lowerLetter"/>
      <w:lvlText w:val="%2."/>
      <w:lvlJc w:val="left"/>
      <w:pPr>
        <w:ind w:left="1440" w:hanging="360"/>
      </w:pPr>
    </w:lvl>
    <w:lvl w:ilvl="2" w:tplc="67A45EF6" w:tentative="1">
      <w:start w:val="1"/>
      <w:numFmt w:val="lowerRoman"/>
      <w:lvlText w:val="%3."/>
      <w:lvlJc w:val="right"/>
      <w:pPr>
        <w:ind w:left="2160" w:hanging="180"/>
      </w:pPr>
    </w:lvl>
    <w:lvl w:ilvl="3" w:tplc="6E40FA1C" w:tentative="1">
      <w:start w:val="1"/>
      <w:numFmt w:val="decimal"/>
      <w:lvlText w:val="%4."/>
      <w:lvlJc w:val="left"/>
      <w:pPr>
        <w:ind w:left="2880" w:hanging="360"/>
      </w:pPr>
    </w:lvl>
    <w:lvl w:ilvl="4" w:tplc="8B54B808" w:tentative="1">
      <w:start w:val="1"/>
      <w:numFmt w:val="lowerLetter"/>
      <w:lvlText w:val="%5."/>
      <w:lvlJc w:val="left"/>
      <w:pPr>
        <w:ind w:left="3600" w:hanging="360"/>
      </w:pPr>
    </w:lvl>
    <w:lvl w:ilvl="5" w:tplc="9ED0439A" w:tentative="1">
      <w:start w:val="1"/>
      <w:numFmt w:val="lowerRoman"/>
      <w:lvlText w:val="%6."/>
      <w:lvlJc w:val="right"/>
      <w:pPr>
        <w:ind w:left="4320" w:hanging="180"/>
      </w:pPr>
    </w:lvl>
    <w:lvl w:ilvl="6" w:tplc="FB1ADC18" w:tentative="1">
      <w:start w:val="1"/>
      <w:numFmt w:val="decimal"/>
      <w:lvlText w:val="%7."/>
      <w:lvlJc w:val="left"/>
      <w:pPr>
        <w:ind w:left="5040" w:hanging="360"/>
      </w:pPr>
    </w:lvl>
    <w:lvl w:ilvl="7" w:tplc="011044E0" w:tentative="1">
      <w:start w:val="1"/>
      <w:numFmt w:val="lowerLetter"/>
      <w:lvlText w:val="%8."/>
      <w:lvlJc w:val="left"/>
      <w:pPr>
        <w:ind w:left="5760" w:hanging="360"/>
      </w:pPr>
    </w:lvl>
    <w:lvl w:ilvl="8" w:tplc="D9DE93C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2F483BA">
      <w:start w:val="1"/>
      <w:numFmt w:val="bullet"/>
      <w:lvlText w:val=""/>
      <w:lvlJc w:val="left"/>
      <w:pPr>
        <w:ind w:left="720" w:hanging="360"/>
      </w:pPr>
      <w:rPr>
        <w:rFonts w:ascii="Symbol" w:hAnsi="Symbol" w:hint="default"/>
        <w:color w:val="auto"/>
        <w:sz w:val="24"/>
        <w:szCs w:val="24"/>
      </w:rPr>
    </w:lvl>
    <w:lvl w:ilvl="1" w:tplc="E1807066" w:tentative="1">
      <w:start w:val="1"/>
      <w:numFmt w:val="bullet"/>
      <w:lvlText w:val="o"/>
      <w:lvlJc w:val="left"/>
      <w:pPr>
        <w:ind w:left="1440" w:hanging="360"/>
      </w:pPr>
      <w:rPr>
        <w:rFonts w:ascii="Courier New" w:hAnsi="Courier New" w:cs="Courier New" w:hint="default"/>
      </w:rPr>
    </w:lvl>
    <w:lvl w:ilvl="2" w:tplc="74F66008" w:tentative="1">
      <w:start w:val="1"/>
      <w:numFmt w:val="bullet"/>
      <w:lvlText w:val=""/>
      <w:lvlJc w:val="left"/>
      <w:pPr>
        <w:ind w:left="2160" w:hanging="360"/>
      </w:pPr>
      <w:rPr>
        <w:rFonts w:ascii="Wingdings" w:hAnsi="Wingdings" w:hint="default"/>
      </w:rPr>
    </w:lvl>
    <w:lvl w:ilvl="3" w:tplc="9084AED4" w:tentative="1">
      <w:start w:val="1"/>
      <w:numFmt w:val="bullet"/>
      <w:lvlText w:val=""/>
      <w:lvlJc w:val="left"/>
      <w:pPr>
        <w:ind w:left="2880" w:hanging="360"/>
      </w:pPr>
      <w:rPr>
        <w:rFonts w:ascii="Symbol" w:hAnsi="Symbol" w:hint="default"/>
      </w:rPr>
    </w:lvl>
    <w:lvl w:ilvl="4" w:tplc="89644BAA" w:tentative="1">
      <w:start w:val="1"/>
      <w:numFmt w:val="bullet"/>
      <w:lvlText w:val="o"/>
      <w:lvlJc w:val="left"/>
      <w:pPr>
        <w:ind w:left="3600" w:hanging="360"/>
      </w:pPr>
      <w:rPr>
        <w:rFonts w:ascii="Courier New" w:hAnsi="Courier New" w:cs="Courier New" w:hint="default"/>
      </w:rPr>
    </w:lvl>
    <w:lvl w:ilvl="5" w:tplc="4AAC2A9C" w:tentative="1">
      <w:start w:val="1"/>
      <w:numFmt w:val="bullet"/>
      <w:lvlText w:val=""/>
      <w:lvlJc w:val="left"/>
      <w:pPr>
        <w:ind w:left="4320" w:hanging="360"/>
      </w:pPr>
      <w:rPr>
        <w:rFonts w:ascii="Wingdings" w:hAnsi="Wingdings" w:hint="default"/>
      </w:rPr>
    </w:lvl>
    <w:lvl w:ilvl="6" w:tplc="EC620C0C" w:tentative="1">
      <w:start w:val="1"/>
      <w:numFmt w:val="bullet"/>
      <w:lvlText w:val=""/>
      <w:lvlJc w:val="left"/>
      <w:pPr>
        <w:ind w:left="5040" w:hanging="360"/>
      </w:pPr>
      <w:rPr>
        <w:rFonts w:ascii="Symbol" w:hAnsi="Symbol" w:hint="default"/>
      </w:rPr>
    </w:lvl>
    <w:lvl w:ilvl="7" w:tplc="A90CCC20" w:tentative="1">
      <w:start w:val="1"/>
      <w:numFmt w:val="bullet"/>
      <w:lvlText w:val="o"/>
      <w:lvlJc w:val="left"/>
      <w:pPr>
        <w:ind w:left="5760" w:hanging="360"/>
      </w:pPr>
      <w:rPr>
        <w:rFonts w:ascii="Courier New" w:hAnsi="Courier New" w:cs="Courier New" w:hint="default"/>
      </w:rPr>
    </w:lvl>
    <w:lvl w:ilvl="8" w:tplc="A596001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3D64678">
      <w:start w:val="1"/>
      <w:numFmt w:val="lowerRoman"/>
      <w:lvlText w:val="(%1)"/>
      <w:lvlJc w:val="left"/>
      <w:pPr>
        <w:ind w:left="1080" w:hanging="720"/>
      </w:pPr>
      <w:rPr>
        <w:rFonts w:hint="default"/>
      </w:rPr>
    </w:lvl>
    <w:lvl w:ilvl="1" w:tplc="FCACEBE0" w:tentative="1">
      <w:start w:val="1"/>
      <w:numFmt w:val="lowerLetter"/>
      <w:lvlText w:val="%2."/>
      <w:lvlJc w:val="left"/>
      <w:pPr>
        <w:ind w:left="1440" w:hanging="360"/>
      </w:pPr>
    </w:lvl>
    <w:lvl w:ilvl="2" w:tplc="B14062A0" w:tentative="1">
      <w:start w:val="1"/>
      <w:numFmt w:val="lowerRoman"/>
      <w:lvlText w:val="%3."/>
      <w:lvlJc w:val="right"/>
      <w:pPr>
        <w:ind w:left="2160" w:hanging="180"/>
      </w:pPr>
    </w:lvl>
    <w:lvl w:ilvl="3" w:tplc="211A6368" w:tentative="1">
      <w:start w:val="1"/>
      <w:numFmt w:val="decimal"/>
      <w:lvlText w:val="%4."/>
      <w:lvlJc w:val="left"/>
      <w:pPr>
        <w:ind w:left="2880" w:hanging="360"/>
      </w:pPr>
    </w:lvl>
    <w:lvl w:ilvl="4" w:tplc="0E8447C8" w:tentative="1">
      <w:start w:val="1"/>
      <w:numFmt w:val="lowerLetter"/>
      <w:lvlText w:val="%5."/>
      <w:lvlJc w:val="left"/>
      <w:pPr>
        <w:ind w:left="3600" w:hanging="360"/>
      </w:pPr>
    </w:lvl>
    <w:lvl w:ilvl="5" w:tplc="43ACAAA8" w:tentative="1">
      <w:start w:val="1"/>
      <w:numFmt w:val="lowerRoman"/>
      <w:lvlText w:val="%6."/>
      <w:lvlJc w:val="right"/>
      <w:pPr>
        <w:ind w:left="4320" w:hanging="180"/>
      </w:pPr>
    </w:lvl>
    <w:lvl w:ilvl="6" w:tplc="A2BEEE56" w:tentative="1">
      <w:start w:val="1"/>
      <w:numFmt w:val="decimal"/>
      <w:lvlText w:val="%7."/>
      <w:lvlJc w:val="left"/>
      <w:pPr>
        <w:ind w:left="5040" w:hanging="360"/>
      </w:pPr>
    </w:lvl>
    <w:lvl w:ilvl="7" w:tplc="E83289C8" w:tentative="1">
      <w:start w:val="1"/>
      <w:numFmt w:val="lowerLetter"/>
      <w:lvlText w:val="%8."/>
      <w:lvlJc w:val="left"/>
      <w:pPr>
        <w:ind w:left="5760" w:hanging="360"/>
      </w:pPr>
    </w:lvl>
    <w:lvl w:ilvl="8" w:tplc="31EA3D3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1F891E6">
      <w:start w:val="1"/>
      <w:numFmt w:val="lowerRoman"/>
      <w:lvlText w:val="(%1)"/>
      <w:lvlJc w:val="left"/>
      <w:pPr>
        <w:ind w:left="1080" w:hanging="720"/>
      </w:pPr>
      <w:rPr>
        <w:rFonts w:hint="default"/>
      </w:rPr>
    </w:lvl>
    <w:lvl w:ilvl="1" w:tplc="A142E38A" w:tentative="1">
      <w:start w:val="1"/>
      <w:numFmt w:val="lowerLetter"/>
      <w:lvlText w:val="%2."/>
      <w:lvlJc w:val="left"/>
      <w:pPr>
        <w:ind w:left="1440" w:hanging="360"/>
      </w:pPr>
    </w:lvl>
    <w:lvl w:ilvl="2" w:tplc="D3E82458" w:tentative="1">
      <w:start w:val="1"/>
      <w:numFmt w:val="lowerRoman"/>
      <w:lvlText w:val="%3."/>
      <w:lvlJc w:val="right"/>
      <w:pPr>
        <w:ind w:left="2160" w:hanging="180"/>
      </w:pPr>
    </w:lvl>
    <w:lvl w:ilvl="3" w:tplc="88E8BC1A" w:tentative="1">
      <w:start w:val="1"/>
      <w:numFmt w:val="decimal"/>
      <w:lvlText w:val="%4."/>
      <w:lvlJc w:val="left"/>
      <w:pPr>
        <w:ind w:left="2880" w:hanging="360"/>
      </w:pPr>
    </w:lvl>
    <w:lvl w:ilvl="4" w:tplc="CB9CCB44" w:tentative="1">
      <w:start w:val="1"/>
      <w:numFmt w:val="lowerLetter"/>
      <w:lvlText w:val="%5."/>
      <w:lvlJc w:val="left"/>
      <w:pPr>
        <w:ind w:left="3600" w:hanging="360"/>
      </w:pPr>
    </w:lvl>
    <w:lvl w:ilvl="5" w:tplc="9C76D9D8" w:tentative="1">
      <w:start w:val="1"/>
      <w:numFmt w:val="lowerRoman"/>
      <w:lvlText w:val="%6."/>
      <w:lvlJc w:val="right"/>
      <w:pPr>
        <w:ind w:left="4320" w:hanging="180"/>
      </w:pPr>
    </w:lvl>
    <w:lvl w:ilvl="6" w:tplc="D7649E98" w:tentative="1">
      <w:start w:val="1"/>
      <w:numFmt w:val="decimal"/>
      <w:lvlText w:val="%7."/>
      <w:lvlJc w:val="left"/>
      <w:pPr>
        <w:ind w:left="5040" w:hanging="360"/>
      </w:pPr>
    </w:lvl>
    <w:lvl w:ilvl="7" w:tplc="B76E6EB4" w:tentative="1">
      <w:start w:val="1"/>
      <w:numFmt w:val="lowerLetter"/>
      <w:lvlText w:val="%8."/>
      <w:lvlJc w:val="left"/>
      <w:pPr>
        <w:ind w:left="5760" w:hanging="360"/>
      </w:pPr>
    </w:lvl>
    <w:lvl w:ilvl="8" w:tplc="77A0978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53A79A6">
      <w:start w:val="1"/>
      <w:numFmt w:val="lowerRoman"/>
      <w:lvlText w:val="(%1)"/>
      <w:lvlJc w:val="left"/>
      <w:pPr>
        <w:ind w:left="1080" w:hanging="720"/>
      </w:pPr>
      <w:rPr>
        <w:rFonts w:hint="default"/>
      </w:rPr>
    </w:lvl>
    <w:lvl w:ilvl="1" w:tplc="6C069A0E" w:tentative="1">
      <w:start w:val="1"/>
      <w:numFmt w:val="lowerLetter"/>
      <w:lvlText w:val="%2."/>
      <w:lvlJc w:val="left"/>
      <w:pPr>
        <w:ind w:left="1440" w:hanging="360"/>
      </w:pPr>
    </w:lvl>
    <w:lvl w:ilvl="2" w:tplc="843ED0AA" w:tentative="1">
      <w:start w:val="1"/>
      <w:numFmt w:val="lowerRoman"/>
      <w:lvlText w:val="%3."/>
      <w:lvlJc w:val="right"/>
      <w:pPr>
        <w:ind w:left="2160" w:hanging="180"/>
      </w:pPr>
    </w:lvl>
    <w:lvl w:ilvl="3" w:tplc="9BE0909C" w:tentative="1">
      <w:start w:val="1"/>
      <w:numFmt w:val="decimal"/>
      <w:lvlText w:val="%4."/>
      <w:lvlJc w:val="left"/>
      <w:pPr>
        <w:ind w:left="2880" w:hanging="360"/>
      </w:pPr>
    </w:lvl>
    <w:lvl w:ilvl="4" w:tplc="1DD26878" w:tentative="1">
      <w:start w:val="1"/>
      <w:numFmt w:val="lowerLetter"/>
      <w:lvlText w:val="%5."/>
      <w:lvlJc w:val="left"/>
      <w:pPr>
        <w:ind w:left="3600" w:hanging="360"/>
      </w:pPr>
    </w:lvl>
    <w:lvl w:ilvl="5" w:tplc="21A63AA4" w:tentative="1">
      <w:start w:val="1"/>
      <w:numFmt w:val="lowerRoman"/>
      <w:lvlText w:val="%6."/>
      <w:lvlJc w:val="right"/>
      <w:pPr>
        <w:ind w:left="4320" w:hanging="180"/>
      </w:pPr>
    </w:lvl>
    <w:lvl w:ilvl="6" w:tplc="313A001E" w:tentative="1">
      <w:start w:val="1"/>
      <w:numFmt w:val="decimal"/>
      <w:lvlText w:val="%7."/>
      <w:lvlJc w:val="left"/>
      <w:pPr>
        <w:ind w:left="5040" w:hanging="360"/>
      </w:pPr>
    </w:lvl>
    <w:lvl w:ilvl="7" w:tplc="BF06CAFC" w:tentative="1">
      <w:start w:val="1"/>
      <w:numFmt w:val="lowerLetter"/>
      <w:lvlText w:val="%8."/>
      <w:lvlJc w:val="left"/>
      <w:pPr>
        <w:ind w:left="5760" w:hanging="360"/>
      </w:pPr>
    </w:lvl>
    <w:lvl w:ilvl="8" w:tplc="AEB6310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046C9F2">
      <w:start w:val="1"/>
      <w:numFmt w:val="lowerRoman"/>
      <w:lvlText w:val="(%1)"/>
      <w:lvlJc w:val="left"/>
      <w:pPr>
        <w:ind w:left="1080" w:hanging="720"/>
      </w:pPr>
      <w:rPr>
        <w:rFonts w:hint="default"/>
      </w:rPr>
    </w:lvl>
    <w:lvl w:ilvl="1" w:tplc="FAA63B6E" w:tentative="1">
      <w:start w:val="1"/>
      <w:numFmt w:val="lowerLetter"/>
      <w:lvlText w:val="%2."/>
      <w:lvlJc w:val="left"/>
      <w:pPr>
        <w:ind w:left="1440" w:hanging="360"/>
      </w:pPr>
    </w:lvl>
    <w:lvl w:ilvl="2" w:tplc="46FC8318" w:tentative="1">
      <w:start w:val="1"/>
      <w:numFmt w:val="lowerRoman"/>
      <w:lvlText w:val="%3."/>
      <w:lvlJc w:val="right"/>
      <w:pPr>
        <w:ind w:left="2160" w:hanging="180"/>
      </w:pPr>
    </w:lvl>
    <w:lvl w:ilvl="3" w:tplc="C6CCFA14" w:tentative="1">
      <w:start w:val="1"/>
      <w:numFmt w:val="decimal"/>
      <w:lvlText w:val="%4."/>
      <w:lvlJc w:val="left"/>
      <w:pPr>
        <w:ind w:left="2880" w:hanging="360"/>
      </w:pPr>
    </w:lvl>
    <w:lvl w:ilvl="4" w:tplc="6B9256FC" w:tentative="1">
      <w:start w:val="1"/>
      <w:numFmt w:val="lowerLetter"/>
      <w:lvlText w:val="%5."/>
      <w:lvlJc w:val="left"/>
      <w:pPr>
        <w:ind w:left="3600" w:hanging="360"/>
      </w:pPr>
    </w:lvl>
    <w:lvl w:ilvl="5" w:tplc="6346CC8C" w:tentative="1">
      <w:start w:val="1"/>
      <w:numFmt w:val="lowerRoman"/>
      <w:lvlText w:val="%6."/>
      <w:lvlJc w:val="right"/>
      <w:pPr>
        <w:ind w:left="4320" w:hanging="180"/>
      </w:pPr>
    </w:lvl>
    <w:lvl w:ilvl="6" w:tplc="D45696D8" w:tentative="1">
      <w:start w:val="1"/>
      <w:numFmt w:val="decimal"/>
      <w:lvlText w:val="%7."/>
      <w:lvlJc w:val="left"/>
      <w:pPr>
        <w:ind w:left="5040" w:hanging="360"/>
      </w:pPr>
    </w:lvl>
    <w:lvl w:ilvl="7" w:tplc="826612C4" w:tentative="1">
      <w:start w:val="1"/>
      <w:numFmt w:val="lowerLetter"/>
      <w:lvlText w:val="%8."/>
      <w:lvlJc w:val="left"/>
      <w:pPr>
        <w:ind w:left="5760" w:hanging="360"/>
      </w:pPr>
    </w:lvl>
    <w:lvl w:ilvl="8" w:tplc="25104B9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B968E50">
      <w:start w:val="1"/>
      <w:numFmt w:val="lowerRoman"/>
      <w:lvlText w:val="(%1)"/>
      <w:lvlJc w:val="left"/>
      <w:pPr>
        <w:ind w:left="1080" w:hanging="720"/>
      </w:pPr>
      <w:rPr>
        <w:rFonts w:hint="default"/>
      </w:rPr>
    </w:lvl>
    <w:lvl w:ilvl="1" w:tplc="05921152" w:tentative="1">
      <w:start w:val="1"/>
      <w:numFmt w:val="lowerLetter"/>
      <w:lvlText w:val="%2."/>
      <w:lvlJc w:val="left"/>
      <w:pPr>
        <w:ind w:left="1440" w:hanging="360"/>
      </w:pPr>
    </w:lvl>
    <w:lvl w:ilvl="2" w:tplc="B998AD80" w:tentative="1">
      <w:start w:val="1"/>
      <w:numFmt w:val="lowerRoman"/>
      <w:lvlText w:val="%3."/>
      <w:lvlJc w:val="right"/>
      <w:pPr>
        <w:ind w:left="2160" w:hanging="180"/>
      </w:pPr>
    </w:lvl>
    <w:lvl w:ilvl="3" w:tplc="91167A70" w:tentative="1">
      <w:start w:val="1"/>
      <w:numFmt w:val="decimal"/>
      <w:lvlText w:val="%4."/>
      <w:lvlJc w:val="left"/>
      <w:pPr>
        <w:ind w:left="2880" w:hanging="360"/>
      </w:pPr>
    </w:lvl>
    <w:lvl w:ilvl="4" w:tplc="98488F00" w:tentative="1">
      <w:start w:val="1"/>
      <w:numFmt w:val="lowerLetter"/>
      <w:lvlText w:val="%5."/>
      <w:lvlJc w:val="left"/>
      <w:pPr>
        <w:ind w:left="3600" w:hanging="360"/>
      </w:pPr>
    </w:lvl>
    <w:lvl w:ilvl="5" w:tplc="68A61E42" w:tentative="1">
      <w:start w:val="1"/>
      <w:numFmt w:val="lowerRoman"/>
      <w:lvlText w:val="%6."/>
      <w:lvlJc w:val="right"/>
      <w:pPr>
        <w:ind w:left="4320" w:hanging="180"/>
      </w:pPr>
    </w:lvl>
    <w:lvl w:ilvl="6" w:tplc="211C86A6" w:tentative="1">
      <w:start w:val="1"/>
      <w:numFmt w:val="decimal"/>
      <w:lvlText w:val="%7."/>
      <w:lvlJc w:val="left"/>
      <w:pPr>
        <w:ind w:left="5040" w:hanging="360"/>
      </w:pPr>
    </w:lvl>
    <w:lvl w:ilvl="7" w:tplc="F2BA4BEA" w:tentative="1">
      <w:start w:val="1"/>
      <w:numFmt w:val="lowerLetter"/>
      <w:lvlText w:val="%8."/>
      <w:lvlJc w:val="left"/>
      <w:pPr>
        <w:ind w:left="5760" w:hanging="360"/>
      </w:pPr>
    </w:lvl>
    <w:lvl w:ilvl="8" w:tplc="AA46E3B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2A283A2">
      <w:start w:val="1"/>
      <w:numFmt w:val="lowerRoman"/>
      <w:lvlText w:val="(%1)"/>
      <w:lvlJc w:val="left"/>
      <w:pPr>
        <w:ind w:left="1080" w:hanging="720"/>
      </w:pPr>
      <w:rPr>
        <w:rFonts w:hint="default"/>
      </w:rPr>
    </w:lvl>
    <w:lvl w:ilvl="1" w:tplc="3E34DBE4" w:tentative="1">
      <w:start w:val="1"/>
      <w:numFmt w:val="lowerLetter"/>
      <w:lvlText w:val="%2."/>
      <w:lvlJc w:val="left"/>
      <w:pPr>
        <w:ind w:left="1440" w:hanging="360"/>
      </w:pPr>
    </w:lvl>
    <w:lvl w:ilvl="2" w:tplc="5AF850A0" w:tentative="1">
      <w:start w:val="1"/>
      <w:numFmt w:val="lowerRoman"/>
      <w:lvlText w:val="%3."/>
      <w:lvlJc w:val="right"/>
      <w:pPr>
        <w:ind w:left="2160" w:hanging="180"/>
      </w:pPr>
    </w:lvl>
    <w:lvl w:ilvl="3" w:tplc="8ACE8428" w:tentative="1">
      <w:start w:val="1"/>
      <w:numFmt w:val="decimal"/>
      <w:lvlText w:val="%4."/>
      <w:lvlJc w:val="left"/>
      <w:pPr>
        <w:ind w:left="2880" w:hanging="360"/>
      </w:pPr>
    </w:lvl>
    <w:lvl w:ilvl="4" w:tplc="5A74974A" w:tentative="1">
      <w:start w:val="1"/>
      <w:numFmt w:val="lowerLetter"/>
      <w:lvlText w:val="%5."/>
      <w:lvlJc w:val="left"/>
      <w:pPr>
        <w:ind w:left="3600" w:hanging="360"/>
      </w:pPr>
    </w:lvl>
    <w:lvl w:ilvl="5" w:tplc="7B061662" w:tentative="1">
      <w:start w:val="1"/>
      <w:numFmt w:val="lowerRoman"/>
      <w:lvlText w:val="%6."/>
      <w:lvlJc w:val="right"/>
      <w:pPr>
        <w:ind w:left="4320" w:hanging="180"/>
      </w:pPr>
    </w:lvl>
    <w:lvl w:ilvl="6" w:tplc="2C228342" w:tentative="1">
      <w:start w:val="1"/>
      <w:numFmt w:val="decimal"/>
      <w:lvlText w:val="%7."/>
      <w:lvlJc w:val="left"/>
      <w:pPr>
        <w:ind w:left="5040" w:hanging="360"/>
      </w:pPr>
    </w:lvl>
    <w:lvl w:ilvl="7" w:tplc="FE5A7856" w:tentative="1">
      <w:start w:val="1"/>
      <w:numFmt w:val="lowerLetter"/>
      <w:lvlText w:val="%8."/>
      <w:lvlJc w:val="left"/>
      <w:pPr>
        <w:ind w:left="5760" w:hanging="360"/>
      </w:pPr>
    </w:lvl>
    <w:lvl w:ilvl="8" w:tplc="01D465D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11536240">
    <w:abstractNumId w:val="11"/>
  </w:num>
  <w:num w:numId="2" w16cid:durableId="1493988612">
    <w:abstractNumId w:val="4"/>
  </w:num>
  <w:num w:numId="3" w16cid:durableId="2071998882">
    <w:abstractNumId w:val="2"/>
  </w:num>
  <w:num w:numId="4" w16cid:durableId="1406296211">
    <w:abstractNumId w:val="7"/>
  </w:num>
  <w:num w:numId="5" w16cid:durableId="839810175">
    <w:abstractNumId w:val="6"/>
  </w:num>
  <w:num w:numId="6" w16cid:durableId="279609051">
    <w:abstractNumId w:val="1"/>
  </w:num>
  <w:num w:numId="7" w16cid:durableId="1502431988">
    <w:abstractNumId w:val="9"/>
  </w:num>
  <w:num w:numId="8" w16cid:durableId="1810128597">
    <w:abstractNumId w:val="5"/>
  </w:num>
  <w:num w:numId="9" w16cid:durableId="1907958163">
    <w:abstractNumId w:val="8"/>
  </w:num>
  <w:num w:numId="10" w16cid:durableId="580605084">
    <w:abstractNumId w:val="3"/>
  </w:num>
  <w:num w:numId="11" w16cid:durableId="191188111">
    <w:abstractNumId w:val="10"/>
  </w:num>
  <w:num w:numId="12" w16cid:durableId="1621642289">
    <w:abstractNumId w:val="0"/>
  </w:num>
  <w:num w:numId="13" w16cid:durableId="1035155882">
    <w:abstractNumId w:val="11"/>
  </w:num>
  <w:num w:numId="14" w16cid:durableId="2001694235">
    <w:abstractNumId w:val="11"/>
  </w:num>
  <w:num w:numId="15" w16cid:durableId="885993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D"/>
    <w:rsid w:val="00000715"/>
    <w:rsid w:val="0001119C"/>
    <w:rsid w:val="00013131"/>
    <w:rsid w:val="00024F83"/>
    <w:rsid w:val="0003014F"/>
    <w:rsid w:val="000303BE"/>
    <w:rsid w:val="00030C5F"/>
    <w:rsid w:val="000322D5"/>
    <w:rsid w:val="00035C5A"/>
    <w:rsid w:val="000375CA"/>
    <w:rsid w:val="000379F3"/>
    <w:rsid w:val="0004391C"/>
    <w:rsid w:val="00051251"/>
    <w:rsid w:val="00057F74"/>
    <w:rsid w:val="00060CCE"/>
    <w:rsid w:val="00086C9B"/>
    <w:rsid w:val="000946C0"/>
    <w:rsid w:val="000A2E8C"/>
    <w:rsid w:val="000A768E"/>
    <w:rsid w:val="000B233A"/>
    <w:rsid w:val="000C603E"/>
    <w:rsid w:val="000E3FC8"/>
    <w:rsid w:val="000E6A7B"/>
    <w:rsid w:val="000E7B33"/>
    <w:rsid w:val="000F0F0F"/>
    <w:rsid w:val="000F7384"/>
    <w:rsid w:val="000F7850"/>
    <w:rsid w:val="0010337D"/>
    <w:rsid w:val="001102D7"/>
    <w:rsid w:val="001109BC"/>
    <w:rsid w:val="0011109A"/>
    <w:rsid w:val="00111C06"/>
    <w:rsid w:val="00120339"/>
    <w:rsid w:val="00122501"/>
    <w:rsid w:val="00122747"/>
    <w:rsid w:val="00124C23"/>
    <w:rsid w:val="00126BB6"/>
    <w:rsid w:val="00131D2A"/>
    <w:rsid w:val="0014216F"/>
    <w:rsid w:val="00145A3B"/>
    <w:rsid w:val="001500C0"/>
    <w:rsid w:val="00150CE5"/>
    <w:rsid w:val="001511E6"/>
    <w:rsid w:val="00153F76"/>
    <w:rsid w:val="00156DA4"/>
    <w:rsid w:val="001644EA"/>
    <w:rsid w:val="001676E1"/>
    <w:rsid w:val="0017064E"/>
    <w:rsid w:val="00170712"/>
    <w:rsid w:val="00177B86"/>
    <w:rsid w:val="00180BF0"/>
    <w:rsid w:val="001909FF"/>
    <w:rsid w:val="00194397"/>
    <w:rsid w:val="001A3211"/>
    <w:rsid w:val="001B6D52"/>
    <w:rsid w:val="001E36E5"/>
    <w:rsid w:val="001E4ABB"/>
    <w:rsid w:val="001E4B14"/>
    <w:rsid w:val="001F2B15"/>
    <w:rsid w:val="001F4A47"/>
    <w:rsid w:val="00201798"/>
    <w:rsid w:val="002071D4"/>
    <w:rsid w:val="00207398"/>
    <w:rsid w:val="00210AE6"/>
    <w:rsid w:val="0021269D"/>
    <w:rsid w:val="00213BA8"/>
    <w:rsid w:val="0021590B"/>
    <w:rsid w:val="00217829"/>
    <w:rsid w:val="002226AF"/>
    <w:rsid w:val="0023262F"/>
    <w:rsid w:val="00232FAB"/>
    <w:rsid w:val="00233754"/>
    <w:rsid w:val="002404A2"/>
    <w:rsid w:val="002577E6"/>
    <w:rsid w:val="0026340C"/>
    <w:rsid w:val="00264F56"/>
    <w:rsid w:val="00281D34"/>
    <w:rsid w:val="00287B21"/>
    <w:rsid w:val="0029129B"/>
    <w:rsid w:val="00294DBF"/>
    <w:rsid w:val="002A6021"/>
    <w:rsid w:val="002B0A13"/>
    <w:rsid w:val="002B19F6"/>
    <w:rsid w:val="002B33C2"/>
    <w:rsid w:val="002B68D6"/>
    <w:rsid w:val="002E2E55"/>
    <w:rsid w:val="002E3A5D"/>
    <w:rsid w:val="002E645C"/>
    <w:rsid w:val="002F159F"/>
    <w:rsid w:val="003016E1"/>
    <w:rsid w:val="0030654C"/>
    <w:rsid w:val="00307723"/>
    <w:rsid w:val="00307757"/>
    <w:rsid w:val="00307CB0"/>
    <w:rsid w:val="003134F6"/>
    <w:rsid w:val="00325257"/>
    <w:rsid w:val="00325840"/>
    <w:rsid w:val="0032592C"/>
    <w:rsid w:val="00327285"/>
    <w:rsid w:val="0033000B"/>
    <w:rsid w:val="003322E1"/>
    <w:rsid w:val="00337C57"/>
    <w:rsid w:val="003400E0"/>
    <w:rsid w:val="00340A2C"/>
    <w:rsid w:val="00351726"/>
    <w:rsid w:val="003543BE"/>
    <w:rsid w:val="0035467F"/>
    <w:rsid w:val="00366B12"/>
    <w:rsid w:val="003759BE"/>
    <w:rsid w:val="00377CC2"/>
    <w:rsid w:val="00381C95"/>
    <w:rsid w:val="00391F7D"/>
    <w:rsid w:val="00392A83"/>
    <w:rsid w:val="00394B88"/>
    <w:rsid w:val="003A0B34"/>
    <w:rsid w:val="003A5EC4"/>
    <w:rsid w:val="003B2FF7"/>
    <w:rsid w:val="003B7C7A"/>
    <w:rsid w:val="003C10CC"/>
    <w:rsid w:val="003C336A"/>
    <w:rsid w:val="003E1FAA"/>
    <w:rsid w:val="003E6B0F"/>
    <w:rsid w:val="003F416D"/>
    <w:rsid w:val="00403F6F"/>
    <w:rsid w:val="0041365D"/>
    <w:rsid w:val="004202AB"/>
    <w:rsid w:val="0042043A"/>
    <w:rsid w:val="00420670"/>
    <w:rsid w:val="00422DF7"/>
    <w:rsid w:val="00427B8F"/>
    <w:rsid w:val="00431AC9"/>
    <w:rsid w:val="004438E3"/>
    <w:rsid w:val="00451988"/>
    <w:rsid w:val="004577CA"/>
    <w:rsid w:val="004578AB"/>
    <w:rsid w:val="0046144A"/>
    <w:rsid w:val="0046276F"/>
    <w:rsid w:val="004649FF"/>
    <w:rsid w:val="00486DFF"/>
    <w:rsid w:val="00487C29"/>
    <w:rsid w:val="00492747"/>
    <w:rsid w:val="004C4D03"/>
    <w:rsid w:val="004D1C08"/>
    <w:rsid w:val="004D24D3"/>
    <w:rsid w:val="004D52AB"/>
    <w:rsid w:val="004D64B0"/>
    <w:rsid w:val="004D6764"/>
    <w:rsid w:val="004E17DC"/>
    <w:rsid w:val="004F6FA9"/>
    <w:rsid w:val="00503D57"/>
    <w:rsid w:val="00505BA2"/>
    <w:rsid w:val="00510D3E"/>
    <w:rsid w:val="00515A6F"/>
    <w:rsid w:val="0051655F"/>
    <w:rsid w:val="00516FDA"/>
    <w:rsid w:val="00525018"/>
    <w:rsid w:val="00527020"/>
    <w:rsid w:val="00532961"/>
    <w:rsid w:val="0054063F"/>
    <w:rsid w:val="00543A0D"/>
    <w:rsid w:val="0055176D"/>
    <w:rsid w:val="00564061"/>
    <w:rsid w:val="005663F4"/>
    <w:rsid w:val="005707FD"/>
    <w:rsid w:val="005716C9"/>
    <w:rsid w:val="00582727"/>
    <w:rsid w:val="00590BC8"/>
    <w:rsid w:val="005A1A13"/>
    <w:rsid w:val="005B608A"/>
    <w:rsid w:val="005B75EA"/>
    <w:rsid w:val="005C20FE"/>
    <w:rsid w:val="005C6E97"/>
    <w:rsid w:val="005D25A8"/>
    <w:rsid w:val="005D6130"/>
    <w:rsid w:val="005D7359"/>
    <w:rsid w:val="005E4648"/>
    <w:rsid w:val="005E55CE"/>
    <w:rsid w:val="006060FD"/>
    <w:rsid w:val="00610E3A"/>
    <w:rsid w:val="00624B5B"/>
    <w:rsid w:val="006347AA"/>
    <w:rsid w:val="00640884"/>
    <w:rsid w:val="006465AF"/>
    <w:rsid w:val="00655B29"/>
    <w:rsid w:val="0066069E"/>
    <w:rsid w:val="00664EBB"/>
    <w:rsid w:val="006664C9"/>
    <w:rsid w:val="006679D2"/>
    <w:rsid w:val="00683F4E"/>
    <w:rsid w:val="00694D7D"/>
    <w:rsid w:val="0069571E"/>
    <w:rsid w:val="006A5AEA"/>
    <w:rsid w:val="006C2DAF"/>
    <w:rsid w:val="006D029E"/>
    <w:rsid w:val="006D16BE"/>
    <w:rsid w:val="006D2FA8"/>
    <w:rsid w:val="006D43A2"/>
    <w:rsid w:val="006E006D"/>
    <w:rsid w:val="006E5571"/>
    <w:rsid w:val="006F2D1E"/>
    <w:rsid w:val="00701757"/>
    <w:rsid w:val="00705777"/>
    <w:rsid w:val="00706174"/>
    <w:rsid w:val="007102A5"/>
    <w:rsid w:val="007170FE"/>
    <w:rsid w:val="00717449"/>
    <w:rsid w:val="00717EB8"/>
    <w:rsid w:val="00723A8E"/>
    <w:rsid w:val="00726FB2"/>
    <w:rsid w:val="0073699D"/>
    <w:rsid w:val="0073762F"/>
    <w:rsid w:val="007408C0"/>
    <w:rsid w:val="0074385C"/>
    <w:rsid w:val="00746E82"/>
    <w:rsid w:val="00753AC0"/>
    <w:rsid w:val="00766C6D"/>
    <w:rsid w:val="00791514"/>
    <w:rsid w:val="007A18F0"/>
    <w:rsid w:val="007A44C7"/>
    <w:rsid w:val="007B1DC9"/>
    <w:rsid w:val="007B1EAD"/>
    <w:rsid w:val="007B5B0B"/>
    <w:rsid w:val="007B6597"/>
    <w:rsid w:val="007C3735"/>
    <w:rsid w:val="007C5BE5"/>
    <w:rsid w:val="007C7965"/>
    <w:rsid w:val="007C7F16"/>
    <w:rsid w:val="007D3A34"/>
    <w:rsid w:val="007E1DBE"/>
    <w:rsid w:val="007F112D"/>
    <w:rsid w:val="007F62C0"/>
    <w:rsid w:val="008007F9"/>
    <w:rsid w:val="00820E86"/>
    <w:rsid w:val="008276D8"/>
    <w:rsid w:val="00835F8F"/>
    <w:rsid w:val="00842554"/>
    <w:rsid w:val="00850BB3"/>
    <w:rsid w:val="00854812"/>
    <w:rsid w:val="008549C1"/>
    <w:rsid w:val="00855857"/>
    <w:rsid w:val="00862795"/>
    <w:rsid w:val="00863AC7"/>
    <w:rsid w:val="00867B8E"/>
    <w:rsid w:val="00870B6F"/>
    <w:rsid w:val="008728A8"/>
    <w:rsid w:val="00886724"/>
    <w:rsid w:val="00886D89"/>
    <w:rsid w:val="00891482"/>
    <w:rsid w:val="00897330"/>
    <w:rsid w:val="008A1071"/>
    <w:rsid w:val="008A55FA"/>
    <w:rsid w:val="008B3CB8"/>
    <w:rsid w:val="008B3F4E"/>
    <w:rsid w:val="008B5621"/>
    <w:rsid w:val="008B5F0A"/>
    <w:rsid w:val="008B6AB5"/>
    <w:rsid w:val="008C07ED"/>
    <w:rsid w:val="008C1C61"/>
    <w:rsid w:val="008C56FE"/>
    <w:rsid w:val="008C59BE"/>
    <w:rsid w:val="008D0837"/>
    <w:rsid w:val="008D1863"/>
    <w:rsid w:val="008E14EF"/>
    <w:rsid w:val="008E4F34"/>
    <w:rsid w:val="008F3036"/>
    <w:rsid w:val="008F7532"/>
    <w:rsid w:val="00902116"/>
    <w:rsid w:val="009108A6"/>
    <w:rsid w:val="0091523E"/>
    <w:rsid w:val="009256F7"/>
    <w:rsid w:val="00926B8D"/>
    <w:rsid w:val="009340B2"/>
    <w:rsid w:val="009442BA"/>
    <w:rsid w:val="0095619C"/>
    <w:rsid w:val="00963528"/>
    <w:rsid w:val="00970C97"/>
    <w:rsid w:val="00970F3B"/>
    <w:rsid w:val="00974907"/>
    <w:rsid w:val="00975415"/>
    <w:rsid w:val="0098066B"/>
    <w:rsid w:val="00994D52"/>
    <w:rsid w:val="0099693F"/>
    <w:rsid w:val="009A029A"/>
    <w:rsid w:val="009A44A6"/>
    <w:rsid w:val="009B062A"/>
    <w:rsid w:val="009B5036"/>
    <w:rsid w:val="009B50DE"/>
    <w:rsid w:val="009C0BF4"/>
    <w:rsid w:val="009C4812"/>
    <w:rsid w:val="009C56C3"/>
    <w:rsid w:val="009C6E6C"/>
    <w:rsid w:val="009D37C7"/>
    <w:rsid w:val="009D4704"/>
    <w:rsid w:val="009E1EBC"/>
    <w:rsid w:val="009F3376"/>
    <w:rsid w:val="009F39FD"/>
    <w:rsid w:val="00A14F03"/>
    <w:rsid w:val="00A212E0"/>
    <w:rsid w:val="00A5730B"/>
    <w:rsid w:val="00A61C81"/>
    <w:rsid w:val="00A71458"/>
    <w:rsid w:val="00A910E6"/>
    <w:rsid w:val="00A93391"/>
    <w:rsid w:val="00AA07A8"/>
    <w:rsid w:val="00AA12F3"/>
    <w:rsid w:val="00AA23BB"/>
    <w:rsid w:val="00AA3AAA"/>
    <w:rsid w:val="00AA4352"/>
    <w:rsid w:val="00AA4AAF"/>
    <w:rsid w:val="00AA71E6"/>
    <w:rsid w:val="00AB2F53"/>
    <w:rsid w:val="00AC0D88"/>
    <w:rsid w:val="00AC3CD0"/>
    <w:rsid w:val="00AC3F52"/>
    <w:rsid w:val="00AC7007"/>
    <w:rsid w:val="00AD1DD5"/>
    <w:rsid w:val="00AD2DAE"/>
    <w:rsid w:val="00AD581E"/>
    <w:rsid w:val="00AD79CA"/>
    <w:rsid w:val="00AE2708"/>
    <w:rsid w:val="00AE55AD"/>
    <w:rsid w:val="00AE6124"/>
    <w:rsid w:val="00AF4E0A"/>
    <w:rsid w:val="00B00F18"/>
    <w:rsid w:val="00B05FE1"/>
    <w:rsid w:val="00B12779"/>
    <w:rsid w:val="00B134EA"/>
    <w:rsid w:val="00B16A5E"/>
    <w:rsid w:val="00B21878"/>
    <w:rsid w:val="00B23D12"/>
    <w:rsid w:val="00B30C6D"/>
    <w:rsid w:val="00B4053E"/>
    <w:rsid w:val="00B43FF9"/>
    <w:rsid w:val="00B56BCF"/>
    <w:rsid w:val="00B60404"/>
    <w:rsid w:val="00B6472E"/>
    <w:rsid w:val="00B67E24"/>
    <w:rsid w:val="00B71A97"/>
    <w:rsid w:val="00B73816"/>
    <w:rsid w:val="00B944C9"/>
    <w:rsid w:val="00BA3084"/>
    <w:rsid w:val="00BA392C"/>
    <w:rsid w:val="00BA3937"/>
    <w:rsid w:val="00BB457C"/>
    <w:rsid w:val="00BC1C47"/>
    <w:rsid w:val="00BC3C99"/>
    <w:rsid w:val="00BC7CFC"/>
    <w:rsid w:val="00BD5297"/>
    <w:rsid w:val="00BD73E2"/>
    <w:rsid w:val="00BE11C9"/>
    <w:rsid w:val="00BE53C4"/>
    <w:rsid w:val="00BE6F04"/>
    <w:rsid w:val="00BE7814"/>
    <w:rsid w:val="00BF2565"/>
    <w:rsid w:val="00C02179"/>
    <w:rsid w:val="00C07450"/>
    <w:rsid w:val="00C07D1E"/>
    <w:rsid w:val="00C07FAB"/>
    <w:rsid w:val="00C07FE8"/>
    <w:rsid w:val="00C14D00"/>
    <w:rsid w:val="00C224B4"/>
    <w:rsid w:val="00C22C79"/>
    <w:rsid w:val="00C25E9E"/>
    <w:rsid w:val="00C37917"/>
    <w:rsid w:val="00C400A7"/>
    <w:rsid w:val="00C42A93"/>
    <w:rsid w:val="00C50904"/>
    <w:rsid w:val="00C50F9A"/>
    <w:rsid w:val="00C51D3B"/>
    <w:rsid w:val="00C5565B"/>
    <w:rsid w:val="00C60DDA"/>
    <w:rsid w:val="00C61826"/>
    <w:rsid w:val="00C63239"/>
    <w:rsid w:val="00C71065"/>
    <w:rsid w:val="00C737C9"/>
    <w:rsid w:val="00C81DC5"/>
    <w:rsid w:val="00C900CB"/>
    <w:rsid w:val="00C92A4F"/>
    <w:rsid w:val="00CA4C42"/>
    <w:rsid w:val="00CB0CD1"/>
    <w:rsid w:val="00CB15EF"/>
    <w:rsid w:val="00CC196B"/>
    <w:rsid w:val="00CC2002"/>
    <w:rsid w:val="00CC3B4C"/>
    <w:rsid w:val="00CC4C50"/>
    <w:rsid w:val="00CD1F70"/>
    <w:rsid w:val="00CD2030"/>
    <w:rsid w:val="00CD353A"/>
    <w:rsid w:val="00CE23FF"/>
    <w:rsid w:val="00CE4F55"/>
    <w:rsid w:val="00CE524C"/>
    <w:rsid w:val="00CF6702"/>
    <w:rsid w:val="00CF75FC"/>
    <w:rsid w:val="00D0702E"/>
    <w:rsid w:val="00D10629"/>
    <w:rsid w:val="00D17FDD"/>
    <w:rsid w:val="00D21034"/>
    <w:rsid w:val="00D223EA"/>
    <w:rsid w:val="00D30634"/>
    <w:rsid w:val="00D36A71"/>
    <w:rsid w:val="00D523F4"/>
    <w:rsid w:val="00D54BF9"/>
    <w:rsid w:val="00D6005C"/>
    <w:rsid w:val="00D6192C"/>
    <w:rsid w:val="00D67E4E"/>
    <w:rsid w:val="00D750F0"/>
    <w:rsid w:val="00D76B41"/>
    <w:rsid w:val="00D82BE2"/>
    <w:rsid w:val="00D9446D"/>
    <w:rsid w:val="00D94698"/>
    <w:rsid w:val="00DA264A"/>
    <w:rsid w:val="00DA5AA8"/>
    <w:rsid w:val="00DA63C0"/>
    <w:rsid w:val="00DA6ED8"/>
    <w:rsid w:val="00DB3D27"/>
    <w:rsid w:val="00DC013B"/>
    <w:rsid w:val="00DC67B3"/>
    <w:rsid w:val="00DD0E27"/>
    <w:rsid w:val="00DD20B1"/>
    <w:rsid w:val="00DD2BA4"/>
    <w:rsid w:val="00DD2BB3"/>
    <w:rsid w:val="00DE6D61"/>
    <w:rsid w:val="00DF394A"/>
    <w:rsid w:val="00E0452D"/>
    <w:rsid w:val="00E06E7A"/>
    <w:rsid w:val="00E06F77"/>
    <w:rsid w:val="00E07574"/>
    <w:rsid w:val="00E16150"/>
    <w:rsid w:val="00E20805"/>
    <w:rsid w:val="00E3157D"/>
    <w:rsid w:val="00E342B9"/>
    <w:rsid w:val="00E37D71"/>
    <w:rsid w:val="00E40F36"/>
    <w:rsid w:val="00E45EC6"/>
    <w:rsid w:val="00E546D3"/>
    <w:rsid w:val="00E60586"/>
    <w:rsid w:val="00E63A06"/>
    <w:rsid w:val="00E6451D"/>
    <w:rsid w:val="00E65C85"/>
    <w:rsid w:val="00E722CE"/>
    <w:rsid w:val="00E72BA9"/>
    <w:rsid w:val="00E806BE"/>
    <w:rsid w:val="00E823EB"/>
    <w:rsid w:val="00E9439B"/>
    <w:rsid w:val="00EA52E0"/>
    <w:rsid w:val="00EA5B6D"/>
    <w:rsid w:val="00EA5CC8"/>
    <w:rsid w:val="00EB2347"/>
    <w:rsid w:val="00EB435D"/>
    <w:rsid w:val="00EB4DA5"/>
    <w:rsid w:val="00EB553D"/>
    <w:rsid w:val="00EC0BD0"/>
    <w:rsid w:val="00EC4080"/>
    <w:rsid w:val="00EC53E9"/>
    <w:rsid w:val="00EC6165"/>
    <w:rsid w:val="00ED015F"/>
    <w:rsid w:val="00ED2888"/>
    <w:rsid w:val="00EE1540"/>
    <w:rsid w:val="00EE220F"/>
    <w:rsid w:val="00EF2362"/>
    <w:rsid w:val="00EF4BEA"/>
    <w:rsid w:val="00EF7C83"/>
    <w:rsid w:val="00F00E4D"/>
    <w:rsid w:val="00F05B5E"/>
    <w:rsid w:val="00F06098"/>
    <w:rsid w:val="00F139B5"/>
    <w:rsid w:val="00F16C69"/>
    <w:rsid w:val="00F179B0"/>
    <w:rsid w:val="00F20A95"/>
    <w:rsid w:val="00F23855"/>
    <w:rsid w:val="00F255A3"/>
    <w:rsid w:val="00F27855"/>
    <w:rsid w:val="00F301B6"/>
    <w:rsid w:val="00F31EF5"/>
    <w:rsid w:val="00F331CF"/>
    <w:rsid w:val="00F34DA8"/>
    <w:rsid w:val="00F42778"/>
    <w:rsid w:val="00F42DE6"/>
    <w:rsid w:val="00F63CCB"/>
    <w:rsid w:val="00F72906"/>
    <w:rsid w:val="00F7715A"/>
    <w:rsid w:val="00F806F7"/>
    <w:rsid w:val="00F82C09"/>
    <w:rsid w:val="00F8309C"/>
    <w:rsid w:val="00F8612C"/>
    <w:rsid w:val="00F90221"/>
    <w:rsid w:val="00FA2736"/>
    <w:rsid w:val="00FA2BF0"/>
    <w:rsid w:val="00FB102D"/>
    <w:rsid w:val="00FB71C1"/>
    <w:rsid w:val="00FC4275"/>
    <w:rsid w:val="00FD0E7B"/>
    <w:rsid w:val="00FD0F09"/>
    <w:rsid w:val="00FD3732"/>
    <w:rsid w:val="00FD3B76"/>
    <w:rsid w:val="00FD424E"/>
    <w:rsid w:val="00FD5FE0"/>
    <w:rsid w:val="00FE030E"/>
    <w:rsid w:val="00FF0180"/>
    <w:rsid w:val="00FF01CD"/>
    <w:rsid w:val="00FF10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497C"/>
  <w15:docId w15:val="{D14ECFBB-A2F0-4420-B6E8-C40DB44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styleId="Hyperlink">
    <w:name w:val="Hyperlink"/>
    <w:basedOn w:val="DefaultParagraphFont"/>
    <w:uiPriority w:val="99"/>
    <w:unhideWhenUsed/>
    <w:rsid w:val="00EB435D"/>
    <w:rPr>
      <w:color w:val="0563C1" w:themeColor="hyperlink"/>
      <w:u w:val="single"/>
    </w:rPr>
  </w:style>
  <w:style w:type="character" w:styleId="UnresolvedMention">
    <w:name w:val="Unresolved Mention"/>
    <w:basedOn w:val="DefaultParagraphFont"/>
    <w:uiPriority w:val="99"/>
    <w:rsid w:val="00EB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46BEF" w:rsidRDefault="00946BEF">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46BEF" w:rsidRDefault="00946BEF"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46BEF" w:rsidRDefault="00946BEF"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46BEF" w:rsidRDefault="00946BEF"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46BEF" w:rsidRDefault="00946BE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46BEF" w:rsidRDefault="00946BE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46BEF" w:rsidRDefault="00946BEF"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46BEF" w:rsidRDefault="00946BEF"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46BEF" w:rsidRDefault="00946BEF"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46BEF" w:rsidRDefault="00946BE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46BEF" w:rsidRDefault="00946BE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6BEF"/>
    <w:rsid w:val="000709C9"/>
    <w:rsid w:val="0010337D"/>
    <w:rsid w:val="00153F76"/>
    <w:rsid w:val="006347AA"/>
    <w:rsid w:val="006B3EF6"/>
    <w:rsid w:val="006C7D68"/>
    <w:rsid w:val="00717EB8"/>
    <w:rsid w:val="00870B6F"/>
    <w:rsid w:val="008C59BE"/>
    <w:rsid w:val="00946BEF"/>
    <w:rsid w:val="00AB2F53"/>
    <w:rsid w:val="00B32967"/>
    <w:rsid w:val="00C51DE1"/>
    <w:rsid w:val="00CA409E"/>
    <w:rsid w:val="00CE4F55"/>
    <w:rsid w:val="00D6192C"/>
    <w:rsid w:val="00D740B2"/>
    <w:rsid w:val="00EC4080"/>
    <w:rsid w:val="00F301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09C9"/>
    <w:rPr>
      <w:color w:val="808080"/>
    </w:rPr>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2025-10-20T23:53:00Z</dcterms:created>
  <dcterms:modified xsi:type="dcterms:W3CDTF">2025-10-20T23:53:00Z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