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E8E20"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5FBF56A9"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A6C86F5"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0823E9E" w14:textId="77777777" w:rsidR="007F01AA" w:rsidRPr="00D1051B" w:rsidRDefault="007F01AA">
      <w:pPr>
        <w:widowControl w:val="0"/>
        <w:tabs>
          <w:tab w:val="left" w:pos="2520"/>
        </w:tabs>
        <w:autoSpaceDE w:val="0"/>
        <w:autoSpaceDN w:val="0"/>
        <w:adjustRightInd w:val="0"/>
        <w:spacing w:after="0" w:line="226" w:lineRule="exact"/>
        <w:ind w:left="262" w:right="-20"/>
        <w:rPr>
          <w:rFonts w:ascii="Arial" w:hAnsi="Arial" w:cs="Arial"/>
          <w:sz w:val="21"/>
          <w:szCs w:val="21"/>
        </w:rPr>
      </w:pPr>
      <w:r w:rsidRPr="00D1051B">
        <w:rPr>
          <w:rFonts w:ascii="Arial" w:hAnsi="Arial" w:cs="Arial"/>
          <w:b/>
          <w:bCs/>
          <w:position w:val="-1"/>
          <w:sz w:val="21"/>
          <w:szCs w:val="21"/>
        </w:rPr>
        <w:t>Position:</w:t>
      </w:r>
      <w:r w:rsidRPr="00D1051B">
        <w:rPr>
          <w:rFonts w:ascii="Arial" w:hAnsi="Arial" w:cs="Arial"/>
          <w:b/>
          <w:bCs/>
          <w:position w:val="-1"/>
          <w:sz w:val="21"/>
          <w:szCs w:val="21"/>
        </w:rPr>
        <w:tab/>
      </w:r>
      <w:r w:rsidR="00D1051B" w:rsidRPr="00D1051B">
        <w:rPr>
          <w:rFonts w:ascii="Arial" w:hAnsi="Arial" w:cs="Arial"/>
          <w:b/>
          <w:bCs/>
          <w:position w:val="-1"/>
          <w:sz w:val="21"/>
          <w:szCs w:val="21"/>
        </w:rPr>
        <w:t>Senior Policy Officer</w:t>
      </w:r>
      <w:r w:rsidR="00B51032" w:rsidRPr="00D1051B">
        <w:rPr>
          <w:rFonts w:ascii="Arial" w:hAnsi="Arial" w:cs="Arial"/>
          <w:b/>
          <w:bCs/>
          <w:position w:val="-1"/>
          <w:sz w:val="21"/>
          <w:szCs w:val="21"/>
        </w:rPr>
        <w:t xml:space="preserve">, </w:t>
      </w:r>
      <w:r w:rsidR="002A51F1" w:rsidRPr="00D1051B">
        <w:rPr>
          <w:rFonts w:ascii="Arial" w:hAnsi="Arial" w:cs="Arial"/>
          <w:b/>
          <w:bCs/>
          <w:position w:val="-1"/>
          <w:sz w:val="21"/>
          <w:szCs w:val="21"/>
        </w:rPr>
        <w:t>APS 6</w:t>
      </w:r>
      <w:r w:rsidR="00F22EE1" w:rsidRPr="00D1051B">
        <w:rPr>
          <w:rFonts w:ascii="Arial" w:hAnsi="Arial" w:cs="Arial"/>
          <w:b/>
          <w:bCs/>
          <w:position w:val="-1"/>
          <w:sz w:val="21"/>
          <w:szCs w:val="21"/>
        </w:rPr>
        <w:t xml:space="preserve"> </w:t>
      </w:r>
      <w:r w:rsidR="00D1051B" w:rsidRPr="00D1051B">
        <w:rPr>
          <w:rFonts w:ascii="Arial" w:hAnsi="Arial" w:cs="Arial"/>
          <w:b/>
          <w:bCs/>
          <w:position w:val="-1"/>
          <w:sz w:val="21"/>
          <w:szCs w:val="21"/>
        </w:rPr>
        <w:t>X 5</w:t>
      </w:r>
    </w:p>
    <w:p w14:paraId="5FA91687" w14:textId="77777777" w:rsidR="007F01AA" w:rsidRPr="00D1051B" w:rsidRDefault="007F01AA">
      <w:pPr>
        <w:widowControl w:val="0"/>
        <w:autoSpaceDE w:val="0"/>
        <w:autoSpaceDN w:val="0"/>
        <w:adjustRightInd w:val="0"/>
        <w:spacing w:before="5" w:after="0" w:line="140" w:lineRule="exact"/>
        <w:rPr>
          <w:rFonts w:ascii="Arial" w:hAnsi="Arial" w:cs="Arial"/>
          <w:sz w:val="21"/>
          <w:szCs w:val="21"/>
        </w:rPr>
      </w:pPr>
    </w:p>
    <w:p w14:paraId="74D21ECB" w14:textId="77777777" w:rsidR="002A0192" w:rsidRPr="00D1051B" w:rsidRDefault="002A0192" w:rsidP="002A0192">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bookmarkStart w:id="0" w:name="_Hlk104972811"/>
      <w:r w:rsidRPr="00D1051B">
        <w:rPr>
          <w:rFonts w:ascii="Arial" w:hAnsi="Arial" w:cs="Arial"/>
          <w:b/>
          <w:bCs/>
          <w:position w:val="-1"/>
          <w:sz w:val="21"/>
          <w:szCs w:val="21"/>
        </w:rPr>
        <w:t>Location:</w:t>
      </w:r>
      <w:r w:rsidRPr="00D1051B">
        <w:rPr>
          <w:rFonts w:ascii="Arial" w:hAnsi="Arial" w:cs="Arial"/>
          <w:b/>
          <w:bCs/>
          <w:position w:val="-1"/>
          <w:sz w:val="21"/>
          <w:szCs w:val="21"/>
        </w:rPr>
        <w:tab/>
      </w:r>
      <w:r w:rsidR="00D1051B" w:rsidRPr="00D1051B">
        <w:rPr>
          <w:rFonts w:ascii="Arial" w:hAnsi="Arial" w:cs="Arial"/>
          <w:bCs/>
          <w:position w:val="-1"/>
          <w:sz w:val="21"/>
          <w:szCs w:val="21"/>
        </w:rPr>
        <w:t>Parramatta/Sydney NSW, Canberra ACT, Melbourne VIC, Adelaide SA or Brisbane QLD</w:t>
      </w:r>
    </w:p>
    <w:p w14:paraId="3BF44536" w14:textId="77777777" w:rsidR="002A0192" w:rsidRPr="00D1051B" w:rsidRDefault="002A0192" w:rsidP="002A0192">
      <w:pPr>
        <w:widowControl w:val="0"/>
        <w:autoSpaceDE w:val="0"/>
        <w:autoSpaceDN w:val="0"/>
        <w:adjustRightInd w:val="0"/>
        <w:spacing w:before="36" w:after="0" w:line="360" w:lineRule="auto"/>
        <w:ind w:left="2552" w:hanging="2268"/>
        <w:rPr>
          <w:rFonts w:ascii="Arial" w:hAnsi="Arial" w:cs="Arial"/>
          <w:bCs/>
          <w:position w:val="-1"/>
          <w:sz w:val="21"/>
          <w:szCs w:val="21"/>
        </w:rPr>
      </w:pPr>
      <w:r w:rsidRPr="00D1051B">
        <w:rPr>
          <w:rFonts w:ascii="Arial" w:hAnsi="Arial" w:cs="Arial"/>
          <w:b/>
          <w:bCs/>
          <w:position w:val="-1"/>
          <w:sz w:val="21"/>
          <w:szCs w:val="21"/>
        </w:rPr>
        <w:t>Reporting to:</w:t>
      </w:r>
      <w:r w:rsidRPr="00D1051B">
        <w:rPr>
          <w:rFonts w:ascii="Arial" w:hAnsi="Arial" w:cs="Arial"/>
          <w:b/>
          <w:bCs/>
          <w:position w:val="-1"/>
          <w:sz w:val="21"/>
          <w:szCs w:val="21"/>
        </w:rPr>
        <w:tab/>
      </w:r>
      <w:r w:rsidR="00D1051B" w:rsidRPr="00D1051B">
        <w:rPr>
          <w:rFonts w:ascii="Arial" w:hAnsi="Arial" w:cs="Arial"/>
          <w:bCs/>
          <w:position w:val="-1"/>
          <w:sz w:val="21"/>
          <w:szCs w:val="21"/>
        </w:rPr>
        <w:t>Assistant Director</w:t>
      </w:r>
    </w:p>
    <w:p w14:paraId="250FFF03" w14:textId="77777777" w:rsidR="002A0192" w:rsidRPr="00D1051B" w:rsidRDefault="002A0192" w:rsidP="002A0192">
      <w:pPr>
        <w:widowControl w:val="0"/>
        <w:autoSpaceDE w:val="0"/>
        <w:autoSpaceDN w:val="0"/>
        <w:adjustRightInd w:val="0"/>
        <w:spacing w:before="36" w:after="0"/>
        <w:ind w:left="2552" w:hanging="2268"/>
        <w:jc w:val="both"/>
        <w:rPr>
          <w:rFonts w:ascii="Arial" w:hAnsi="Arial" w:cs="Arial"/>
          <w:sz w:val="21"/>
          <w:szCs w:val="21"/>
        </w:rPr>
      </w:pPr>
      <w:r w:rsidRPr="00D1051B">
        <w:rPr>
          <w:rFonts w:ascii="Arial" w:hAnsi="Arial" w:cs="Arial"/>
          <w:b/>
          <w:bCs/>
          <w:position w:val="-1"/>
          <w:sz w:val="21"/>
          <w:szCs w:val="21"/>
        </w:rPr>
        <w:t xml:space="preserve">Purpose </w:t>
      </w:r>
      <w:r w:rsidRPr="00D1051B">
        <w:rPr>
          <w:rFonts w:ascii="Arial" w:hAnsi="Arial" w:cs="Arial"/>
          <w:b/>
          <w:bCs/>
          <w:spacing w:val="-1"/>
          <w:position w:val="-1"/>
          <w:sz w:val="21"/>
          <w:szCs w:val="21"/>
        </w:rPr>
        <w:t>o</w:t>
      </w:r>
      <w:r w:rsidRPr="00D1051B">
        <w:rPr>
          <w:rFonts w:ascii="Arial" w:hAnsi="Arial" w:cs="Arial"/>
          <w:b/>
          <w:bCs/>
          <w:position w:val="-1"/>
          <w:sz w:val="21"/>
          <w:szCs w:val="21"/>
        </w:rPr>
        <w:t>f position:</w:t>
      </w:r>
      <w:r w:rsidRPr="00D1051B">
        <w:rPr>
          <w:rFonts w:ascii="Arial" w:hAnsi="Arial" w:cs="Arial"/>
          <w:b/>
          <w:bCs/>
          <w:position w:val="-1"/>
          <w:sz w:val="21"/>
          <w:szCs w:val="21"/>
        </w:rPr>
        <w:tab/>
      </w:r>
    </w:p>
    <w:p w14:paraId="71B6DA1F" w14:textId="77777777" w:rsidR="00D1051B" w:rsidRPr="00D1051B" w:rsidRDefault="00D1051B" w:rsidP="004A02E3">
      <w:pPr>
        <w:spacing w:before="120" w:after="0"/>
        <w:ind w:left="284"/>
        <w:rPr>
          <w:rFonts w:ascii="Arial" w:hAnsi="Arial" w:cs="Arial"/>
          <w:sz w:val="21"/>
          <w:szCs w:val="21"/>
        </w:rPr>
      </w:pPr>
      <w:bookmarkStart w:id="1" w:name="_Hlk62221117"/>
      <w:r w:rsidRPr="00D1051B">
        <w:rPr>
          <w:rFonts w:ascii="Arial" w:hAnsi="Arial" w:cs="Arial"/>
          <w:sz w:val="21"/>
          <w:szCs w:val="21"/>
        </w:rPr>
        <w:t>To provide strategic and operational policy advice and support with a focus on ensuring best practice, quality assurance and continuous improvement is implemented into decision making processes and that lessons learnt are translated into regulatory policy development</w:t>
      </w:r>
      <w:bookmarkEnd w:id="1"/>
      <w:r w:rsidRPr="00D1051B">
        <w:rPr>
          <w:rFonts w:ascii="Arial" w:hAnsi="Arial" w:cs="Arial"/>
          <w:sz w:val="21"/>
          <w:szCs w:val="21"/>
        </w:rPr>
        <w:t>.</w:t>
      </w:r>
    </w:p>
    <w:p w14:paraId="0EDAD4C5" w14:textId="77777777" w:rsidR="00D1051B" w:rsidRPr="00D1051B" w:rsidRDefault="00D1051B" w:rsidP="004A02E3">
      <w:pPr>
        <w:spacing w:before="120" w:after="0"/>
        <w:ind w:left="284"/>
        <w:rPr>
          <w:rFonts w:ascii="Arial" w:hAnsi="Arial" w:cs="Arial"/>
          <w:bCs/>
          <w:sz w:val="21"/>
          <w:szCs w:val="21"/>
        </w:rPr>
      </w:pPr>
      <w:r w:rsidRPr="00D1051B">
        <w:rPr>
          <w:rFonts w:ascii="Arial" w:hAnsi="Arial" w:cs="Arial"/>
          <w:sz w:val="21"/>
          <w:szCs w:val="21"/>
        </w:rPr>
        <w:t>As a section of the Regulatory Policy and Intelligence Group, Operational Policy and Support (OP&amp;S) contribute to the Commission’s strategic purpose to protect and enhance the safety, health, well-being and quality of life of people receiving aged care by developing and providing advice on whole of Commission and function specific policy, guidance and tools that drives how we work and explains how to apply broad policy within all operational environments. </w:t>
      </w:r>
    </w:p>
    <w:p w14:paraId="7C2146A1" w14:textId="77777777" w:rsidR="002A0192" w:rsidRPr="00D1051B" w:rsidRDefault="002A0192" w:rsidP="002A0192">
      <w:pPr>
        <w:widowControl w:val="0"/>
        <w:autoSpaceDE w:val="0"/>
        <w:autoSpaceDN w:val="0"/>
        <w:adjustRightInd w:val="0"/>
        <w:spacing w:before="36" w:after="0"/>
        <w:ind w:left="2552" w:hanging="2268"/>
        <w:jc w:val="both"/>
        <w:rPr>
          <w:rFonts w:ascii="Arial" w:hAnsi="Arial" w:cs="Arial"/>
          <w:bCs/>
          <w:position w:val="-1"/>
          <w:sz w:val="21"/>
          <w:szCs w:val="21"/>
        </w:rPr>
      </w:pPr>
    </w:p>
    <w:p w14:paraId="239F901E" w14:textId="77777777" w:rsidR="002A0192" w:rsidRPr="00D1051B" w:rsidRDefault="002A0192" w:rsidP="002A0192">
      <w:pPr>
        <w:widowControl w:val="0"/>
        <w:tabs>
          <w:tab w:val="left" w:pos="2520"/>
        </w:tabs>
        <w:autoSpaceDE w:val="0"/>
        <w:autoSpaceDN w:val="0"/>
        <w:adjustRightInd w:val="0"/>
        <w:spacing w:before="35" w:after="0"/>
        <w:ind w:left="262" w:right="-20"/>
        <w:rPr>
          <w:rFonts w:ascii="Arial" w:hAnsi="Arial" w:cs="Arial"/>
          <w:b/>
          <w:sz w:val="21"/>
          <w:szCs w:val="21"/>
        </w:rPr>
      </w:pPr>
      <w:r w:rsidRPr="00D1051B">
        <w:rPr>
          <w:rFonts w:ascii="Arial" w:hAnsi="Arial" w:cs="Arial"/>
          <w:b/>
          <w:sz w:val="21"/>
          <w:szCs w:val="21"/>
        </w:rPr>
        <w:t>Key Accountabilities:</w:t>
      </w:r>
    </w:p>
    <w:p w14:paraId="3B688BAA"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Provide high-level policy support to operational areas and regulatory functions of the Commission through:</w:t>
      </w:r>
    </w:p>
    <w:p w14:paraId="34C2DE83" w14:textId="77777777" w:rsidR="00D1051B" w:rsidRPr="00D1051B" w:rsidRDefault="00D1051B" w:rsidP="00D1051B">
      <w:pPr>
        <w:numPr>
          <w:ilvl w:val="1"/>
          <w:numId w:val="6"/>
        </w:numPr>
        <w:spacing w:before="60" w:after="0"/>
        <w:rPr>
          <w:rFonts w:ascii="Arial" w:hAnsi="Arial" w:cs="Arial"/>
          <w:sz w:val="21"/>
          <w:szCs w:val="21"/>
        </w:rPr>
      </w:pPr>
      <w:r w:rsidRPr="00D1051B">
        <w:rPr>
          <w:rFonts w:ascii="Arial" w:hAnsi="Arial" w:cs="Arial"/>
          <w:sz w:val="21"/>
          <w:szCs w:val="21"/>
        </w:rPr>
        <w:t xml:space="preserve">supporting the implementation of improvements to regulatory functions across the Commission </w:t>
      </w:r>
    </w:p>
    <w:p w14:paraId="32DF14B1" w14:textId="77777777" w:rsidR="00D1051B" w:rsidRPr="00D1051B" w:rsidRDefault="00D1051B" w:rsidP="00D1051B">
      <w:pPr>
        <w:numPr>
          <w:ilvl w:val="1"/>
          <w:numId w:val="6"/>
        </w:numPr>
        <w:spacing w:before="60" w:after="0"/>
        <w:rPr>
          <w:rFonts w:ascii="Arial" w:hAnsi="Arial" w:cs="Arial"/>
          <w:sz w:val="21"/>
          <w:szCs w:val="21"/>
        </w:rPr>
      </w:pPr>
      <w:r w:rsidRPr="00D1051B">
        <w:rPr>
          <w:rFonts w:ascii="Arial" w:hAnsi="Arial" w:cs="Arial"/>
          <w:sz w:val="21"/>
          <w:szCs w:val="21"/>
        </w:rPr>
        <w:t>developing policy and operational documents for consideration by other team members</w:t>
      </w:r>
    </w:p>
    <w:p w14:paraId="3329A09F" w14:textId="77777777" w:rsidR="00D1051B" w:rsidRPr="00D1051B" w:rsidRDefault="00D1051B" w:rsidP="00D1051B">
      <w:pPr>
        <w:numPr>
          <w:ilvl w:val="1"/>
          <w:numId w:val="6"/>
        </w:numPr>
        <w:spacing w:before="60" w:after="0"/>
        <w:rPr>
          <w:rFonts w:ascii="Arial" w:hAnsi="Arial" w:cs="Arial"/>
          <w:sz w:val="21"/>
          <w:szCs w:val="21"/>
        </w:rPr>
      </w:pPr>
      <w:r w:rsidRPr="00D1051B">
        <w:rPr>
          <w:rFonts w:ascii="Arial" w:hAnsi="Arial" w:cs="Arial"/>
          <w:sz w:val="21"/>
          <w:szCs w:val="21"/>
        </w:rPr>
        <w:t>preparing and reviewing guidance material on policy and procedural changes</w:t>
      </w:r>
    </w:p>
    <w:p w14:paraId="5F03B0D4" w14:textId="77777777" w:rsidR="00D1051B" w:rsidRPr="00D1051B" w:rsidRDefault="00D1051B" w:rsidP="00D1051B">
      <w:pPr>
        <w:numPr>
          <w:ilvl w:val="1"/>
          <w:numId w:val="6"/>
        </w:numPr>
        <w:spacing w:before="60" w:after="0"/>
        <w:rPr>
          <w:rFonts w:ascii="Arial" w:hAnsi="Arial" w:cs="Arial"/>
          <w:sz w:val="21"/>
          <w:szCs w:val="21"/>
        </w:rPr>
      </w:pPr>
      <w:r w:rsidRPr="00D1051B">
        <w:rPr>
          <w:rFonts w:ascii="Arial" w:hAnsi="Arial" w:cs="Arial"/>
          <w:sz w:val="21"/>
          <w:szCs w:val="21"/>
        </w:rPr>
        <w:t>researching and drafting briefing documents for a range of audiences about policy issues</w:t>
      </w:r>
    </w:p>
    <w:p w14:paraId="2BA39048" w14:textId="77777777" w:rsidR="00D1051B" w:rsidRPr="00D1051B" w:rsidRDefault="00D1051B" w:rsidP="00D1051B">
      <w:pPr>
        <w:numPr>
          <w:ilvl w:val="1"/>
          <w:numId w:val="6"/>
        </w:numPr>
        <w:spacing w:before="60" w:after="0"/>
        <w:rPr>
          <w:rFonts w:ascii="Arial" w:hAnsi="Arial" w:cs="Arial"/>
          <w:sz w:val="21"/>
          <w:szCs w:val="21"/>
        </w:rPr>
      </w:pPr>
      <w:r w:rsidRPr="00D1051B">
        <w:rPr>
          <w:rFonts w:ascii="Arial" w:hAnsi="Arial" w:cs="Arial"/>
          <w:sz w:val="21"/>
          <w:szCs w:val="21"/>
        </w:rPr>
        <w:t>providing policy advice on relevant legislation, standards and industry information.</w:t>
      </w:r>
    </w:p>
    <w:p w14:paraId="3CE2D6C6"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 xml:space="preserve">Work collaboratively with internal and external stakeholders to build and maintain positive working relationships and respond to all enquiries and requests in a positive and timely manner. </w:t>
      </w:r>
    </w:p>
    <w:p w14:paraId="655641BE"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 xml:space="preserve">Mentor other staff and share information </w:t>
      </w:r>
      <w:proofErr w:type="gramStart"/>
      <w:r w:rsidRPr="00D1051B">
        <w:rPr>
          <w:rFonts w:ascii="Arial" w:hAnsi="Arial" w:cs="Arial"/>
          <w:sz w:val="21"/>
          <w:szCs w:val="21"/>
        </w:rPr>
        <w:t>for the purpose of</w:t>
      </w:r>
      <w:proofErr w:type="gramEnd"/>
      <w:r w:rsidRPr="00D1051B">
        <w:rPr>
          <w:rFonts w:ascii="Arial" w:hAnsi="Arial" w:cs="Arial"/>
          <w:sz w:val="21"/>
          <w:szCs w:val="21"/>
        </w:rPr>
        <w:t xml:space="preserve"> ensuring knowledge transfer and a common understanding of Commission legislation, Aged Care Quality Standards, Regulatory Strategy, Commission policy frameworks and organisational goals.</w:t>
      </w:r>
    </w:p>
    <w:p w14:paraId="392511BB"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 xml:space="preserve">Adhere to the APS Values and Code of Conduct. </w:t>
      </w:r>
    </w:p>
    <w:p w14:paraId="5E260880" w14:textId="77777777" w:rsidR="002A0192"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Represent the Commission with credibility and professionalism.</w:t>
      </w:r>
    </w:p>
    <w:p w14:paraId="742100F8"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312F2E91" w14:textId="77777777" w:rsidR="002A0192" w:rsidRPr="00D1051B" w:rsidRDefault="002A0192" w:rsidP="002A0192">
      <w:pPr>
        <w:widowControl w:val="0"/>
        <w:autoSpaceDE w:val="0"/>
        <w:autoSpaceDN w:val="0"/>
        <w:adjustRightInd w:val="0"/>
        <w:spacing w:before="3" w:after="0" w:line="230" w:lineRule="exact"/>
        <w:ind w:left="284" w:right="394"/>
        <w:rPr>
          <w:rFonts w:ascii="Arial" w:hAnsi="Arial" w:cs="Arial"/>
          <w:b/>
          <w:sz w:val="21"/>
          <w:szCs w:val="21"/>
        </w:rPr>
      </w:pPr>
      <w:r w:rsidRPr="00D1051B">
        <w:rPr>
          <w:rFonts w:ascii="Arial" w:hAnsi="Arial" w:cs="Arial"/>
          <w:b/>
          <w:sz w:val="21"/>
          <w:szCs w:val="21"/>
        </w:rPr>
        <w:t>Essential Requirements:</w:t>
      </w:r>
    </w:p>
    <w:p w14:paraId="7A1A4FE8"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 xml:space="preserve">High-level proficiency in systems such as Microsoft and Adobe e.g. Excel, Word, PowerPoint, </w:t>
      </w:r>
      <w:proofErr w:type="spellStart"/>
      <w:r w:rsidRPr="00D1051B">
        <w:rPr>
          <w:rFonts w:ascii="Arial" w:hAnsi="Arial" w:cs="Arial"/>
          <w:sz w:val="21"/>
          <w:szCs w:val="21"/>
        </w:rPr>
        <w:t>Sharepoint</w:t>
      </w:r>
      <w:proofErr w:type="spellEnd"/>
      <w:r w:rsidRPr="00D1051B">
        <w:rPr>
          <w:rFonts w:ascii="Arial" w:hAnsi="Arial" w:cs="Arial"/>
          <w:sz w:val="21"/>
          <w:szCs w:val="21"/>
        </w:rPr>
        <w:t>, Teams or similar</w:t>
      </w:r>
    </w:p>
    <w:p w14:paraId="5E787250"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Display sound judgement, analytical skills and the ability to understand legislation and support the development of sound policy and guidance</w:t>
      </w:r>
    </w:p>
    <w:p w14:paraId="4DC64ACB"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High-level analytical and problem-solving skills</w:t>
      </w:r>
    </w:p>
    <w:p w14:paraId="4B301E85"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Capacity to manage internal and external stakeholders as well as external suppliers</w:t>
      </w:r>
    </w:p>
    <w:p w14:paraId="100FA6D1"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 xml:space="preserve">Highly developed verbal and written communication skills and a demonstrated ability to communicate information coherently and concisely to a diverse audience </w:t>
      </w:r>
    </w:p>
    <w:p w14:paraId="437F52E1"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lastRenderedPageBreak/>
        <w:t>Effective organisational and time management skills to plan and deliver identified priorities</w:t>
      </w:r>
    </w:p>
    <w:p w14:paraId="069B4900" w14:textId="77777777" w:rsidR="00D1051B" w:rsidRPr="00D1051B" w:rsidRDefault="00D1051B" w:rsidP="00D1051B">
      <w:pPr>
        <w:numPr>
          <w:ilvl w:val="0"/>
          <w:numId w:val="6"/>
        </w:numPr>
        <w:spacing w:before="60" w:after="0"/>
        <w:rPr>
          <w:rFonts w:ascii="Arial" w:hAnsi="Arial" w:cs="Arial"/>
          <w:sz w:val="21"/>
          <w:szCs w:val="21"/>
        </w:rPr>
      </w:pPr>
      <w:r w:rsidRPr="00D1051B">
        <w:rPr>
          <w:rFonts w:ascii="Arial" w:hAnsi="Arial" w:cs="Arial"/>
          <w:sz w:val="21"/>
          <w:szCs w:val="21"/>
        </w:rPr>
        <w:t>Ability to work effectively without supervision and to guide team members</w:t>
      </w:r>
    </w:p>
    <w:p w14:paraId="0E4C2E83" w14:textId="77777777" w:rsidR="00D1051B" w:rsidRPr="00D1051B" w:rsidRDefault="00D1051B" w:rsidP="00D1051B">
      <w:pPr>
        <w:spacing w:before="60" w:after="0"/>
        <w:ind w:left="360"/>
        <w:rPr>
          <w:rFonts w:ascii="Arial" w:hAnsi="Arial" w:cs="Arial"/>
          <w:b/>
          <w:sz w:val="21"/>
          <w:szCs w:val="21"/>
        </w:rPr>
      </w:pPr>
      <w:r w:rsidRPr="00D1051B">
        <w:rPr>
          <w:rFonts w:ascii="Arial" w:hAnsi="Arial" w:cs="Arial"/>
          <w:b/>
          <w:sz w:val="21"/>
          <w:szCs w:val="21"/>
        </w:rPr>
        <w:t>Desirable Qualifications/Experience:</w:t>
      </w:r>
    </w:p>
    <w:p w14:paraId="1BA12332" w14:textId="77777777" w:rsidR="00D1051B" w:rsidRPr="00D1051B" w:rsidRDefault="00D1051B" w:rsidP="00D1051B">
      <w:pPr>
        <w:numPr>
          <w:ilvl w:val="0"/>
          <w:numId w:val="7"/>
        </w:numPr>
        <w:spacing w:before="60" w:after="0"/>
        <w:rPr>
          <w:rFonts w:ascii="Arial" w:hAnsi="Arial" w:cs="Arial"/>
          <w:sz w:val="21"/>
          <w:szCs w:val="21"/>
        </w:rPr>
      </w:pPr>
      <w:r w:rsidRPr="00D1051B">
        <w:rPr>
          <w:rFonts w:ascii="Arial" w:hAnsi="Arial" w:cs="Arial"/>
          <w:sz w:val="21"/>
          <w:szCs w:val="21"/>
        </w:rPr>
        <w:t xml:space="preserve">Thorough understanding of the Australian aged care system </w:t>
      </w:r>
    </w:p>
    <w:p w14:paraId="0FCFF335" w14:textId="77777777" w:rsidR="002A0192" w:rsidRPr="00D1051B" w:rsidRDefault="00D1051B" w:rsidP="00D1051B">
      <w:pPr>
        <w:numPr>
          <w:ilvl w:val="0"/>
          <w:numId w:val="7"/>
        </w:numPr>
        <w:spacing w:before="60" w:after="0"/>
        <w:rPr>
          <w:rFonts w:ascii="Arial" w:hAnsi="Arial" w:cs="Arial"/>
          <w:sz w:val="21"/>
          <w:szCs w:val="21"/>
        </w:rPr>
      </w:pPr>
      <w:r w:rsidRPr="00D1051B">
        <w:rPr>
          <w:rFonts w:ascii="Arial" w:hAnsi="Arial" w:cs="Arial"/>
          <w:sz w:val="21"/>
          <w:szCs w:val="21"/>
        </w:rPr>
        <w:t>Experience developing regulatory policy</w:t>
      </w:r>
      <w:r w:rsidR="002A0192" w:rsidRPr="00D1051B">
        <w:rPr>
          <w:rFonts w:ascii="Arial" w:hAnsi="Arial" w:cs="Arial"/>
          <w:sz w:val="21"/>
          <w:szCs w:val="21"/>
        </w:rPr>
        <w:tab/>
      </w:r>
      <w:r w:rsidR="002A0192" w:rsidRPr="00D1051B">
        <w:rPr>
          <w:rFonts w:ascii="Arial" w:hAnsi="Arial" w:cs="Arial"/>
          <w:sz w:val="21"/>
          <w:szCs w:val="21"/>
        </w:rPr>
        <w:tab/>
      </w:r>
    </w:p>
    <w:p w14:paraId="37B1FB04"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41F79C39"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551216">
        <w:rPr>
          <w:rFonts w:ascii="Arial" w:hAnsi="Arial" w:cs="Arial"/>
          <w:b/>
          <w:sz w:val="21"/>
          <w:szCs w:val="21"/>
        </w:rPr>
        <w:t>Risk Accountabilities:</w:t>
      </w:r>
    </w:p>
    <w:p w14:paraId="7EE3B20C" w14:textId="77777777" w:rsidR="00551216" w:rsidRPr="00D1051B" w:rsidRDefault="00551216" w:rsidP="00551216">
      <w:pPr>
        <w:widowControl w:val="0"/>
        <w:tabs>
          <w:tab w:val="left" w:pos="2520"/>
        </w:tabs>
        <w:autoSpaceDE w:val="0"/>
        <w:autoSpaceDN w:val="0"/>
        <w:adjustRightInd w:val="0"/>
        <w:spacing w:before="35" w:after="0"/>
        <w:ind w:left="284" w:right="-23"/>
        <w:rPr>
          <w:rFonts w:ascii="Arial" w:hAnsi="Arial" w:cs="Arial"/>
          <w:b/>
          <w:sz w:val="21"/>
          <w:szCs w:val="21"/>
        </w:rPr>
      </w:pPr>
      <w:r w:rsidRPr="00D1051B">
        <w:rPr>
          <w:rFonts w:ascii="Arial" w:hAnsi="Arial" w:cs="Arial"/>
          <w:bCs/>
          <w:sz w:val="21"/>
          <w:szCs w:val="21"/>
        </w:rPr>
        <w:t>Nil</w:t>
      </w:r>
    </w:p>
    <w:p w14:paraId="53311364"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sz w:val="21"/>
          <w:szCs w:val="21"/>
        </w:rPr>
      </w:pPr>
      <w:r w:rsidRPr="00D1051B">
        <w:rPr>
          <w:rFonts w:ascii="Arial" w:hAnsi="Arial" w:cs="Arial"/>
          <w:b/>
          <w:sz w:val="21"/>
          <w:szCs w:val="21"/>
        </w:rPr>
        <w:tab/>
      </w:r>
      <w:r w:rsidRPr="00D1051B">
        <w:rPr>
          <w:rFonts w:ascii="Arial" w:hAnsi="Arial" w:cs="Arial"/>
          <w:b/>
          <w:sz w:val="21"/>
          <w:szCs w:val="21"/>
        </w:rPr>
        <w:tab/>
      </w:r>
      <w:r w:rsidRPr="00D1051B">
        <w:rPr>
          <w:rFonts w:ascii="Arial" w:hAnsi="Arial" w:cs="Arial"/>
          <w:b/>
          <w:sz w:val="21"/>
          <w:szCs w:val="21"/>
        </w:rPr>
        <w:tab/>
      </w:r>
    </w:p>
    <w:p w14:paraId="1CC1D79F"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D1051B">
        <w:rPr>
          <w:rFonts w:ascii="Arial" w:hAnsi="Arial" w:cs="Arial"/>
          <w:b/>
          <w:sz w:val="21"/>
          <w:szCs w:val="21"/>
        </w:rPr>
        <w:t>Financial Accounta</w:t>
      </w:r>
      <w:bookmarkStart w:id="2" w:name="_GoBack"/>
      <w:bookmarkEnd w:id="2"/>
      <w:r w:rsidRPr="00D1051B">
        <w:rPr>
          <w:rFonts w:ascii="Arial" w:hAnsi="Arial" w:cs="Arial"/>
          <w:b/>
          <w:sz w:val="21"/>
          <w:szCs w:val="21"/>
        </w:rPr>
        <w:t>bilities:</w:t>
      </w:r>
      <w:r w:rsidRPr="00D1051B">
        <w:rPr>
          <w:rFonts w:ascii="Arial" w:hAnsi="Arial" w:cs="Arial"/>
          <w:b/>
          <w:sz w:val="21"/>
          <w:szCs w:val="21"/>
        </w:rPr>
        <w:tab/>
      </w:r>
    </w:p>
    <w:p w14:paraId="53799EA4" w14:textId="77777777" w:rsidR="002A0192" w:rsidRPr="00D1051B" w:rsidRDefault="00D1051B" w:rsidP="00D1051B">
      <w:pPr>
        <w:widowControl w:val="0"/>
        <w:tabs>
          <w:tab w:val="left" w:pos="2520"/>
        </w:tabs>
        <w:autoSpaceDE w:val="0"/>
        <w:autoSpaceDN w:val="0"/>
        <w:adjustRightInd w:val="0"/>
        <w:spacing w:before="35" w:after="0"/>
        <w:ind w:left="284" w:right="-23"/>
        <w:rPr>
          <w:rFonts w:ascii="Arial" w:hAnsi="Arial" w:cs="Arial"/>
          <w:b/>
          <w:sz w:val="21"/>
          <w:szCs w:val="21"/>
        </w:rPr>
      </w:pPr>
      <w:r w:rsidRPr="00D1051B">
        <w:rPr>
          <w:rFonts w:ascii="Arial" w:hAnsi="Arial" w:cs="Arial"/>
          <w:bCs/>
          <w:sz w:val="21"/>
          <w:szCs w:val="21"/>
        </w:rPr>
        <w:t>Nil</w:t>
      </w:r>
    </w:p>
    <w:p w14:paraId="7BC7D609"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3C6B1D04"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r w:rsidRPr="00D1051B">
        <w:rPr>
          <w:rFonts w:ascii="Arial" w:hAnsi="Arial" w:cs="Arial"/>
          <w:b/>
          <w:sz w:val="21"/>
          <w:szCs w:val="21"/>
        </w:rPr>
        <w:t>People Accountabilities:</w:t>
      </w:r>
      <w:r w:rsidRPr="00D1051B">
        <w:rPr>
          <w:rFonts w:ascii="Arial" w:hAnsi="Arial" w:cs="Arial"/>
          <w:b/>
          <w:sz w:val="21"/>
          <w:szCs w:val="21"/>
        </w:rPr>
        <w:tab/>
      </w:r>
    </w:p>
    <w:p w14:paraId="74450521" w14:textId="77777777" w:rsidR="00D1051B" w:rsidRPr="00D1051B" w:rsidRDefault="00D1051B" w:rsidP="00D1051B">
      <w:pPr>
        <w:widowControl w:val="0"/>
        <w:tabs>
          <w:tab w:val="left" w:pos="2520"/>
        </w:tabs>
        <w:autoSpaceDE w:val="0"/>
        <w:autoSpaceDN w:val="0"/>
        <w:adjustRightInd w:val="0"/>
        <w:spacing w:before="35" w:after="0"/>
        <w:ind w:left="262" w:right="-20"/>
        <w:rPr>
          <w:rFonts w:ascii="Arial" w:hAnsi="Arial" w:cs="Arial"/>
          <w:b/>
          <w:sz w:val="21"/>
          <w:szCs w:val="21"/>
        </w:rPr>
      </w:pPr>
      <w:r w:rsidRPr="00D1051B">
        <w:rPr>
          <w:rFonts w:ascii="Arial" w:hAnsi="Arial" w:cs="Arial"/>
          <w:bCs/>
          <w:sz w:val="21"/>
          <w:szCs w:val="21"/>
        </w:rPr>
        <w:t>Supervision of Policy Officers</w:t>
      </w:r>
    </w:p>
    <w:p w14:paraId="16E2CBA9" w14:textId="77777777" w:rsidR="002A0192" w:rsidRPr="00D1051B" w:rsidRDefault="002A0192" w:rsidP="002A0192">
      <w:pPr>
        <w:widowControl w:val="0"/>
        <w:tabs>
          <w:tab w:val="left" w:pos="2520"/>
        </w:tabs>
        <w:autoSpaceDE w:val="0"/>
        <w:autoSpaceDN w:val="0"/>
        <w:adjustRightInd w:val="0"/>
        <w:spacing w:before="35" w:after="0"/>
        <w:ind w:right="-20"/>
        <w:rPr>
          <w:rFonts w:ascii="Arial" w:hAnsi="Arial" w:cs="Arial"/>
          <w:b/>
          <w:sz w:val="21"/>
          <w:szCs w:val="21"/>
        </w:rPr>
      </w:pPr>
    </w:p>
    <w:p w14:paraId="15ABD1DD" w14:textId="77777777" w:rsidR="002A0192" w:rsidRPr="00D1051B" w:rsidRDefault="002A0192" w:rsidP="002A0192">
      <w:pPr>
        <w:widowControl w:val="0"/>
        <w:tabs>
          <w:tab w:val="left" w:pos="2520"/>
        </w:tabs>
        <w:autoSpaceDE w:val="0"/>
        <w:autoSpaceDN w:val="0"/>
        <w:adjustRightInd w:val="0"/>
        <w:spacing w:before="35" w:after="0" w:line="360" w:lineRule="auto"/>
        <w:ind w:left="262" w:right="-20"/>
        <w:rPr>
          <w:rFonts w:ascii="Arial" w:hAnsi="Arial" w:cs="Arial"/>
          <w:b/>
          <w:sz w:val="21"/>
          <w:szCs w:val="21"/>
        </w:rPr>
      </w:pPr>
      <w:r w:rsidRPr="00D1051B">
        <w:rPr>
          <w:rFonts w:ascii="Arial" w:hAnsi="Arial" w:cs="Arial"/>
          <w:b/>
          <w:sz w:val="21"/>
          <w:szCs w:val="21"/>
        </w:rPr>
        <w:t xml:space="preserve"> Key Relationships:</w:t>
      </w:r>
    </w:p>
    <w:p w14:paraId="7B9EB8FD" w14:textId="77777777" w:rsidR="00D1051B" w:rsidRPr="00D1051B" w:rsidRDefault="002A0192" w:rsidP="002A0192">
      <w:pPr>
        <w:widowControl w:val="0"/>
        <w:autoSpaceDE w:val="0"/>
        <w:autoSpaceDN w:val="0"/>
        <w:adjustRightInd w:val="0"/>
        <w:spacing w:before="34" w:after="0" w:line="240" w:lineRule="auto"/>
        <w:ind w:left="1274" w:right="-20" w:hanging="978"/>
        <w:rPr>
          <w:rFonts w:ascii="Arial" w:hAnsi="Arial" w:cs="Arial"/>
          <w:b/>
          <w:bCs/>
          <w:sz w:val="21"/>
          <w:szCs w:val="21"/>
        </w:rPr>
      </w:pPr>
      <w:r w:rsidRPr="00D1051B">
        <w:rPr>
          <w:rFonts w:ascii="Arial" w:hAnsi="Arial" w:cs="Arial"/>
          <w:b/>
          <w:bCs/>
          <w:sz w:val="21"/>
          <w:szCs w:val="21"/>
        </w:rPr>
        <w:t xml:space="preserve">    Interna</w:t>
      </w:r>
      <w:r w:rsidRPr="00D1051B">
        <w:rPr>
          <w:rFonts w:ascii="Arial" w:hAnsi="Arial" w:cs="Arial"/>
          <w:b/>
          <w:bCs/>
          <w:spacing w:val="-2"/>
          <w:sz w:val="21"/>
          <w:szCs w:val="21"/>
        </w:rPr>
        <w:t>l</w:t>
      </w:r>
      <w:r w:rsidRPr="00D1051B">
        <w:rPr>
          <w:rFonts w:ascii="Arial" w:hAnsi="Arial" w:cs="Arial"/>
          <w:b/>
          <w:bCs/>
          <w:sz w:val="21"/>
          <w:szCs w:val="21"/>
        </w:rPr>
        <w:t>:</w:t>
      </w:r>
      <w:r w:rsidRPr="00D1051B">
        <w:rPr>
          <w:rFonts w:ascii="Arial" w:hAnsi="Arial" w:cs="Arial"/>
          <w:b/>
          <w:bCs/>
          <w:sz w:val="21"/>
          <w:szCs w:val="21"/>
        </w:rPr>
        <w:tab/>
      </w:r>
    </w:p>
    <w:p w14:paraId="132BBA79"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 xml:space="preserve">Assistant Directors Operational Policy and Support </w:t>
      </w:r>
    </w:p>
    <w:p w14:paraId="0F9D717A"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 xml:space="preserve">Directors Operational Policy and Support </w:t>
      </w:r>
    </w:p>
    <w:p w14:paraId="26170DAB"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Executive Director Regulatory Policy and Intelligence</w:t>
      </w:r>
    </w:p>
    <w:p w14:paraId="5D742360"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Regulatory Policy and Intelligence group colleagues</w:t>
      </w:r>
    </w:p>
    <w:p w14:paraId="4B7DF3F0"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 xml:space="preserve">Commissioner </w:t>
      </w:r>
    </w:p>
    <w:p w14:paraId="3A0424C4"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 xml:space="preserve">Regional offices </w:t>
      </w:r>
    </w:p>
    <w:p w14:paraId="4C03403B" w14:textId="77777777" w:rsidR="00D1051B" w:rsidRPr="00D1051B" w:rsidRDefault="00D1051B" w:rsidP="00D1051B">
      <w:pPr>
        <w:widowControl w:val="0"/>
        <w:numPr>
          <w:ilvl w:val="0"/>
          <w:numId w:val="8"/>
        </w:numPr>
        <w:autoSpaceDE w:val="0"/>
        <w:autoSpaceDN w:val="0"/>
        <w:adjustRightInd w:val="0"/>
        <w:spacing w:before="60" w:after="0"/>
        <w:ind w:left="1077" w:hanging="357"/>
        <w:rPr>
          <w:rFonts w:ascii="Arial" w:hAnsi="Arial" w:cs="Arial"/>
          <w:bCs/>
          <w:position w:val="-1"/>
          <w:sz w:val="21"/>
          <w:szCs w:val="21"/>
        </w:rPr>
      </w:pPr>
      <w:r w:rsidRPr="00D1051B">
        <w:rPr>
          <w:rFonts w:ascii="Arial" w:hAnsi="Arial" w:cs="Arial"/>
          <w:bCs/>
          <w:position w:val="-1"/>
          <w:sz w:val="21"/>
          <w:szCs w:val="21"/>
        </w:rPr>
        <w:t>Other Commission branches</w:t>
      </w:r>
    </w:p>
    <w:p w14:paraId="33C3E6C9" w14:textId="77777777" w:rsidR="002A0192" w:rsidRPr="00D1051B" w:rsidRDefault="002A0192" w:rsidP="002A0192">
      <w:pPr>
        <w:widowControl w:val="0"/>
        <w:autoSpaceDE w:val="0"/>
        <w:autoSpaceDN w:val="0"/>
        <w:adjustRightInd w:val="0"/>
        <w:spacing w:before="34" w:after="0" w:line="240" w:lineRule="auto"/>
        <w:ind w:left="1274" w:right="-20" w:hanging="978"/>
        <w:rPr>
          <w:rFonts w:ascii="Arial" w:hAnsi="Arial" w:cs="Arial"/>
          <w:sz w:val="21"/>
          <w:szCs w:val="21"/>
        </w:rPr>
      </w:pPr>
      <w:r w:rsidRPr="00D1051B">
        <w:rPr>
          <w:rFonts w:ascii="Arial" w:hAnsi="Arial" w:cs="Arial"/>
          <w:b/>
          <w:bCs/>
          <w:sz w:val="21"/>
          <w:szCs w:val="21"/>
        </w:rPr>
        <w:tab/>
      </w:r>
      <w:r w:rsidRPr="00D1051B">
        <w:rPr>
          <w:rFonts w:ascii="Arial" w:hAnsi="Arial" w:cs="Arial"/>
          <w:b/>
          <w:bCs/>
          <w:sz w:val="21"/>
          <w:szCs w:val="21"/>
        </w:rPr>
        <w:tab/>
      </w:r>
      <w:r w:rsidRPr="00D1051B">
        <w:rPr>
          <w:rFonts w:ascii="Arial" w:hAnsi="Arial" w:cs="Arial"/>
          <w:b/>
          <w:bCs/>
          <w:sz w:val="21"/>
          <w:szCs w:val="21"/>
        </w:rPr>
        <w:tab/>
      </w:r>
      <w:r w:rsidRPr="00D1051B">
        <w:rPr>
          <w:rFonts w:ascii="Arial" w:hAnsi="Arial" w:cs="Arial"/>
          <w:b/>
          <w:bCs/>
          <w:sz w:val="21"/>
          <w:szCs w:val="21"/>
        </w:rPr>
        <w:tab/>
      </w:r>
    </w:p>
    <w:p w14:paraId="7D796E34" w14:textId="77777777" w:rsidR="002A0192" w:rsidRPr="00D1051B" w:rsidRDefault="002A0192" w:rsidP="002A0192">
      <w:pPr>
        <w:widowControl w:val="0"/>
        <w:tabs>
          <w:tab w:val="left" w:pos="2520"/>
        </w:tabs>
        <w:autoSpaceDE w:val="0"/>
        <w:autoSpaceDN w:val="0"/>
        <w:adjustRightInd w:val="0"/>
        <w:spacing w:before="35" w:after="0"/>
        <w:ind w:left="284" w:right="-20"/>
        <w:rPr>
          <w:rFonts w:ascii="Arial" w:hAnsi="Arial" w:cs="Arial"/>
          <w:b/>
          <w:bCs/>
          <w:sz w:val="21"/>
          <w:szCs w:val="21"/>
        </w:rPr>
      </w:pPr>
      <w:r w:rsidRPr="00D1051B">
        <w:rPr>
          <w:rFonts w:ascii="Arial" w:hAnsi="Arial" w:cs="Arial"/>
          <w:b/>
          <w:bCs/>
          <w:sz w:val="21"/>
          <w:szCs w:val="21"/>
        </w:rPr>
        <w:t xml:space="preserve">     Exter</w:t>
      </w:r>
      <w:r w:rsidRPr="00D1051B">
        <w:rPr>
          <w:rFonts w:ascii="Arial" w:hAnsi="Arial" w:cs="Arial"/>
          <w:b/>
          <w:bCs/>
          <w:spacing w:val="-1"/>
          <w:sz w:val="21"/>
          <w:szCs w:val="21"/>
        </w:rPr>
        <w:t>n</w:t>
      </w:r>
      <w:r w:rsidRPr="00D1051B">
        <w:rPr>
          <w:rFonts w:ascii="Arial" w:hAnsi="Arial" w:cs="Arial"/>
          <w:b/>
          <w:bCs/>
          <w:sz w:val="21"/>
          <w:szCs w:val="21"/>
        </w:rPr>
        <w:t>al:</w:t>
      </w:r>
    </w:p>
    <w:p w14:paraId="3685C225" w14:textId="77777777" w:rsidR="00D1051B" w:rsidRPr="00D1051B" w:rsidRDefault="00D1051B" w:rsidP="00D1051B">
      <w:pPr>
        <w:widowControl w:val="0"/>
        <w:numPr>
          <w:ilvl w:val="0"/>
          <w:numId w:val="9"/>
        </w:numPr>
        <w:autoSpaceDE w:val="0"/>
        <w:autoSpaceDN w:val="0"/>
        <w:adjustRightInd w:val="0"/>
        <w:spacing w:before="60" w:after="0"/>
        <w:rPr>
          <w:rFonts w:ascii="Arial" w:hAnsi="Arial" w:cs="Arial"/>
          <w:bCs/>
          <w:position w:val="-1"/>
          <w:sz w:val="21"/>
          <w:szCs w:val="21"/>
        </w:rPr>
      </w:pPr>
      <w:r w:rsidRPr="00D1051B">
        <w:rPr>
          <w:rFonts w:ascii="Arial" w:hAnsi="Arial" w:cs="Arial"/>
          <w:bCs/>
          <w:position w:val="-1"/>
          <w:sz w:val="21"/>
          <w:szCs w:val="21"/>
        </w:rPr>
        <w:t xml:space="preserve">Department of Health and other Government agencies </w:t>
      </w:r>
    </w:p>
    <w:p w14:paraId="4475C5A8" w14:textId="77777777" w:rsidR="00D1051B" w:rsidRPr="00D1051B" w:rsidRDefault="00D1051B" w:rsidP="00D1051B">
      <w:pPr>
        <w:widowControl w:val="0"/>
        <w:numPr>
          <w:ilvl w:val="0"/>
          <w:numId w:val="9"/>
        </w:numPr>
        <w:autoSpaceDE w:val="0"/>
        <w:autoSpaceDN w:val="0"/>
        <w:adjustRightInd w:val="0"/>
        <w:spacing w:before="60" w:after="0"/>
        <w:rPr>
          <w:rFonts w:ascii="Arial" w:hAnsi="Arial" w:cs="Arial"/>
          <w:bCs/>
          <w:position w:val="-1"/>
          <w:sz w:val="21"/>
          <w:szCs w:val="21"/>
        </w:rPr>
      </w:pPr>
      <w:r w:rsidRPr="00D1051B">
        <w:rPr>
          <w:rFonts w:ascii="Arial" w:hAnsi="Arial" w:cs="Arial"/>
          <w:bCs/>
          <w:position w:val="-1"/>
          <w:sz w:val="21"/>
          <w:szCs w:val="21"/>
        </w:rPr>
        <w:t xml:space="preserve">External Stakeholders relevant to policy work, including aged care sector and service provider representatives </w:t>
      </w:r>
    </w:p>
    <w:bookmarkEnd w:id="0"/>
    <w:p w14:paraId="752C8B0E" w14:textId="77777777" w:rsidR="00D831AF" w:rsidRDefault="00D831AF" w:rsidP="002A0192">
      <w:pPr>
        <w:widowControl w:val="0"/>
        <w:autoSpaceDE w:val="0"/>
        <w:autoSpaceDN w:val="0"/>
        <w:adjustRightInd w:val="0"/>
        <w:spacing w:after="0" w:line="240" w:lineRule="auto"/>
        <w:ind w:left="284"/>
        <w:rPr>
          <w:rFonts w:ascii="Arial" w:hAnsi="Arial" w:cs="Arial"/>
          <w:b/>
          <w:sz w:val="21"/>
          <w:szCs w:val="21"/>
        </w:rPr>
      </w:pPr>
    </w:p>
    <w:p w14:paraId="48DF8DCC"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434FB2BC"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6388B827"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0F0D928D"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41C8B065" w14:textId="77777777" w:rsidTr="00BD2807">
        <w:tc>
          <w:tcPr>
            <w:tcW w:w="2127" w:type="dxa"/>
            <w:shd w:val="clear" w:color="auto" w:fill="95B3D7"/>
          </w:tcPr>
          <w:p w14:paraId="16BBF1A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433289FB"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04E434C2"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641094A2" w14:textId="77777777" w:rsidTr="00BD2807">
        <w:tc>
          <w:tcPr>
            <w:tcW w:w="2127" w:type="dxa"/>
            <w:tcBorders>
              <w:left w:val="dotted" w:sz="4" w:space="0" w:color="auto"/>
              <w:bottom w:val="dotted" w:sz="4" w:space="0" w:color="auto"/>
              <w:right w:val="dotted" w:sz="4" w:space="0" w:color="auto"/>
            </w:tcBorders>
          </w:tcPr>
          <w:p w14:paraId="4B23FC31"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3E8EB40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039E1ECF"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6DAF995C" w14:textId="77777777" w:rsidTr="00BD2807">
        <w:tc>
          <w:tcPr>
            <w:tcW w:w="2127" w:type="dxa"/>
            <w:tcBorders>
              <w:top w:val="dotted" w:sz="4" w:space="0" w:color="auto"/>
              <w:left w:val="dotted" w:sz="4" w:space="0" w:color="auto"/>
              <w:bottom w:val="dotted" w:sz="4" w:space="0" w:color="auto"/>
              <w:right w:val="dotted" w:sz="4" w:space="0" w:color="auto"/>
            </w:tcBorders>
          </w:tcPr>
          <w:p w14:paraId="6B22F5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73E6E5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711C81E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the work environment and initiates and develops team goals, strategies </w:t>
            </w:r>
            <w:r>
              <w:rPr>
                <w:rFonts w:ascii="Arial" w:hAnsi="Arial" w:cs="Arial"/>
                <w:color w:val="333333"/>
                <w:sz w:val="18"/>
                <w:szCs w:val="18"/>
              </w:rPr>
              <w:lastRenderedPageBreak/>
              <w:t>and work plans. Identifies broader factors, trends and influences that may impact on the team's work objectives. Considers the ramifications of issues and longer-term impact of own work and work area.</w:t>
            </w:r>
          </w:p>
        </w:tc>
      </w:tr>
      <w:tr w:rsidR="002A4CC7" w:rsidRPr="00CC7358" w14:paraId="7C2A8B84" w14:textId="77777777" w:rsidTr="00BD2807">
        <w:tc>
          <w:tcPr>
            <w:tcW w:w="2127" w:type="dxa"/>
            <w:tcBorders>
              <w:top w:val="dotted" w:sz="4" w:space="0" w:color="auto"/>
              <w:left w:val="dotted" w:sz="4" w:space="0" w:color="auto"/>
              <w:bottom w:val="dotted" w:sz="4" w:space="0" w:color="auto"/>
              <w:right w:val="dotted" w:sz="4" w:space="0" w:color="auto"/>
            </w:tcBorders>
          </w:tcPr>
          <w:p w14:paraId="049B4BB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4B5927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54C09BE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3488D837" w14:textId="77777777" w:rsidTr="00BD2807">
        <w:tc>
          <w:tcPr>
            <w:tcW w:w="2127" w:type="dxa"/>
            <w:tcBorders>
              <w:top w:val="dotted" w:sz="4" w:space="0" w:color="auto"/>
              <w:left w:val="dotted" w:sz="4" w:space="0" w:color="auto"/>
              <w:bottom w:val="single" w:sz="18" w:space="0" w:color="auto"/>
              <w:right w:val="dotted" w:sz="4" w:space="0" w:color="auto"/>
            </w:tcBorders>
          </w:tcPr>
          <w:p w14:paraId="07373E8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D670A1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24FA61D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51A567CE" w14:textId="77777777" w:rsidTr="00BD2807">
        <w:tc>
          <w:tcPr>
            <w:tcW w:w="2127" w:type="dxa"/>
            <w:tcBorders>
              <w:top w:val="single" w:sz="18" w:space="0" w:color="auto"/>
              <w:left w:val="dotted" w:sz="4" w:space="0" w:color="auto"/>
              <w:bottom w:val="dotted" w:sz="4" w:space="0" w:color="auto"/>
              <w:right w:val="dotted" w:sz="4" w:space="0" w:color="auto"/>
            </w:tcBorders>
          </w:tcPr>
          <w:p w14:paraId="00DB7EA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7F96FA9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5E17C9C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1010A712" w14:textId="77777777" w:rsidTr="00BD2807">
        <w:tc>
          <w:tcPr>
            <w:tcW w:w="2127" w:type="dxa"/>
            <w:tcBorders>
              <w:top w:val="dotted" w:sz="4" w:space="0" w:color="auto"/>
              <w:left w:val="dotted" w:sz="4" w:space="0" w:color="auto"/>
              <w:bottom w:val="dotted" w:sz="4" w:space="0" w:color="auto"/>
              <w:right w:val="dotted" w:sz="4" w:space="0" w:color="auto"/>
            </w:tcBorders>
          </w:tcPr>
          <w:p w14:paraId="518C3BB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BDC2C0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18910F9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739951E9" w14:textId="77777777" w:rsidTr="00BD2807">
        <w:tc>
          <w:tcPr>
            <w:tcW w:w="2127" w:type="dxa"/>
            <w:tcBorders>
              <w:top w:val="dotted" w:sz="4" w:space="0" w:color="auto"/>
              <w:left w:val="dotted" w:sz="4" w:space="0" w:color="auto"/>
              <w:bottom w:val="dotted" w:sz="4" w:space="0" w:color="auto"/>
              <w:right w:val="dotted" w:sz="4" w:space="0" w:color="auto"/>
            </w:tcBorders>
          </w:tcPr>
          <w:p w14:paraId="69E6176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B1BED2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396505B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4F8943A2" w14:textId="77777777" w:rsidTr="00BD2807">
        <w:tc>
          <w:tcPr>
            <w:tcW w:w="2127" w:type="dxa"/>
            <w:tcBorders>
              <w:top w:val="dotted" w:sz="4" w:space="0" w:color="auto"/>
              <w:left w:val="dotted" w:sz="4" w:space="0" w:color="auto"/>
              <w:bottom w:val="single" w:sz="18" w:space="0" w:color="auto"/>
              <w:right w:val="dotted" w:sz="4" w:space="0" w:color="auto"/>
            </w:tcBorders>
          </w:tcPr>
          <w:p w14:paraId="5BE85154"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7A84DCC1"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5615BEC4"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1B44395A"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358E480"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442BBD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2F2C3F6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2D6679B5" w14:textId="77777777" w:rsidTr="00BD2807">
        <w:tc>
          <w:tcPr>
            <w:tcW w:w="2127" w:type="dxa"/>
            <w:tcBorders>
              <w:top w:val="single" w:sz="18" w:space="0" w:color="auto"/>
              <w:left w:val="dotted" w:sz="4" w:space="0" w:color="auto"/>
              <w:bottom w:val="dotted" w:sz="4" w:space="0" w:color="auto"/>
              <w:right w:val="dotted" w:sz="4" w:space="0" w:color="auto"/>
            </w:tcBorders>
          </w:tcPr>
          <w:p w14:paraId="5FF4894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4344149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25D6682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2A4CC7" w:rsidRPr="00CC7358" w14:paraId="42D15ADB" w14:textId="77777777" w:rsidTr="00BD2807">
        <w:tc>
          <w:tcPr>
            <w:tcW w:w="2127" w:type="dxa"/>
            <w:tcBorders>
              <w:top w:val="dotted" w:sz="4" w:space="0" w:color="auto"/>
              <w:left w:val="dotted" w:sz="4" w:space="0" w:color="auto"/>
              <w:bottom w:val="dotted" w:sz="4" w:space="0" w:color="auto"/>
              <w:right w:val="dotted" w:sz="4" w:space="0" w:color="auto"/>
            </w:tcBorders>
          </w:tcPr>
          <w:p w14:paraId="4F57F0E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BC22AE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62F3ECD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39B07870" w14:textId="77777777" w:rsidTr="00BD2807">
        <w:tc>
          <w:tcPr>
            <w:tcW w:w="2127" w:type="dxa"/>
            <w:tcBorders>
              <w:top w:val="dotted" w:sz="4" w:space="0" w:color="auto"/>
              <w:left w:val="dotted" w:sz="4" w:space="0" w:color="auto"/>
              <w:bottom w:val="dotted" w:sz="4" w:space="0" w:color="auto"/>
              <w:right w:val="dotted" w:sz="4" w:space="0" w:color="auto"/>
            </w:tcBorders>
          </w:tcPr>
          <w:p w14:paraId="7497553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CAD91D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59C019F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Recognises the positive benefits that can be gained from diversity. Encourages the </w:t>
            </w:r>
            <w:r>
              <w:rPr>
                <w:rFonts w:ascii="Arial" w:hAnsi="Arial" w:cs="Arial"/>
                <w:color w:val="333333"/>
                <w:sz w:val="18"/>
                <w:szCs w:val="18"/>
              </w:rPr>
              <w:lastRenderedPageBreak/>
              <w:t>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0287CA96" w14:textId="77777777" w:rsidTr="00BD2807">
        <w:tc>
          <w:tcPr>
            <w:tcW w:w="2127" w:type="dxa"/>
            <w:tcBorders>
              <w:top w:val="dotted" w:sz="4" w:space="0" w:color="auto"/>
              <w:left w:val="dotted" w:sz="4" w:space="0" w:color="auto"/>
              <w:bottom w:val="single" w:sz="18" w:space="0" w:color="auto"/>
              <w:right w:val="dotted" w:sz="4" w:space="0" w:color="auto"/>
            </w:tcBorders>
          </w:tcPr>
          <w:p w14:paraId="42092F83"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57091B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7A935DF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7A41CF05"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2E737C7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1F7B906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625F3A0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7A1BF4F3" w14:textId="77777777" w:rsidTr="00BD2807">
        <w:tc>
          <w:tcPr>
            <w:tcW w:w="2127" w:type="dxa"/>
            <w:tcBorders>
              <w:top w:val="dotted" w:sz="4" w:space="0" w:color="auto"/>
              <w:left w:val="dotted" w:sz="4" w:space="0" w:color="auto"/>
              <w:bottom w:val="dotted" w:sz="4" w:space="0" w:color="auto"/>
              <w:right w:val="dotted" w:sz="4" w:space="0" w:color="auto"/>
            </w:tcBorders>
          </w:tcPr>
          <w:p w14:paraId="49AFE0A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B4A985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77C2755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1FDB12CC" w14:textId="77777777" w:rsidTr="00BD2807">
        <w:tc>
          <w:tcPr>
            <w:tcW w:w="2127" w:type="dxa"/>
            <w:tcBorders>
              <w:top w:val="dotted" w:sz="4" w:space="0" w:color="auto"/>
              <w:left w:val="dotted" w:sz="4" w:space="0" w:color="auto"/>
              <w:bottom w:val="dotted" w:sz="4" w:space="0" w:color="auto"/>
              <w:right w:val="dotted" w:sz="4" w:space="0" w:color="auto"/>
            </w:tcBorders>
          </w:tcPr>
          <w:p w14:paraId="1D90FB9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E10F70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4BE15DD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1274DA08" w14:textId="77777777" w:rsidTr="00BD2807">
        <w:tc>
          <w:tcPr>
            <w:tcW w:w="2127" w:type="dxa"/>
            <w:tcBorders>
              <w:top w:val="dotted" w:sz="4" w:space="0" w:color="auto"/>
              <w:left w:val="dotted" w:sz="4" w:space="0" w:color="auto"/>
              <w:bottom w:val="dotted" w:sz="4" w:space="0" w:color="auto"/>
              <w:right w:val="dotted" w:sz="4" w:space="0" w:color="auto"/>
            </w:tcBorders>
          </w:tcPr>
          <w:p w14:paraId="326CED5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7D9ABD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14A17E3E"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493BA92F"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27DD1FA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9140CB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41392B3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2D89F0FD" w14:textId="77777777" w:rsidTr="00BD2807">
        <w:tc>
          <w:tcPr>
            <w:tcW w:w="2127" w:type="dxa"/>
            <w:tcBorders>
              <w:top w:val="single" w:sz="18" w:space="0" w:color="auto"/>
              <w:left w:val="dotted" w:sz="4" w:space="0" w:color="auto"/>
              <w:bottom w:val="dotted" w:sz="4" w:space="0" w:color="auto"/>
              <w:right w:val="dotted" w:sz="4" w:space="0" w:color="auto"/>
            </w:tcBorders>
          </w:tcPr>
          <w:p w14:paraId="10D63F8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064ED9A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1A00D8C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09D08F4B" w14:textId="77777777" w:rsidTr="00BD2807">
        <w:tc>
          <w:tcPr>
            <w:tcW w:w="2127" w:type="dxa"/>
            <w:tcBorders>
              <w:top w:val="dotted" w:sz="4" w:space="0" w:color="auto"/>
              <w:left w:val="dotted" w:sz="4" w:space="0" w:color="auto"/>
              <w:bottom w:val="dotted" w:sz="4" w:space="0" w:color="auto"/>
              <w:right w:val="dotted" w:sz="4" w:space="0" w:color="auto"/>
            </w:tcBorders>
          </w:tcPr>
          <w:p w14:paraId="1FEEDC73"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98BE6A5"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771C0AA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2903A946"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2115EAC4"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0DC35B8"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7B05CF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0C81BC92"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7C34" w14:textId="77777777" w:rsidR="00FA5DDF" w:rsidRDefault="00FA5DDF">
      <w:pPr>
        <w:spacing w:after="0" w:line="240" w:lineRule="auto"/>
      </w:pPr>
      <w:r>
        <w:separator/>
      </w:r>
    </w:p>
  </w:endnote>
  <w:endnote w:type="continuationSeparator" w:id="0">
    <w:p w14:paraId="3B477DFB" w14:textId="77777777" w:rsidR="00FA5DDF" w:rsidRDefault="00FA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DD56" w14:textId="0B5F15FB" w:rsidR="00F9133F" w:rsidRDefault="00CC47A4">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62082804" wp14:editId="38033FBA">
              <wp:simplePos x="0" y="0"/>
              <wp:positionH relativeFrom="page">
                <wp:posOffset>701040</wp:posOffset>
              </wp:positionH>
              <wp:positionV relativeFrom="page">
                <wp:posOffset>9594850</wp:posOffset>
              </wp:positionV>
              <wp:extent cx="6370320" cy="12700"/>
              <wp:effectExtent l="0" t="0" r="0" b="0"/>
              <wp:wrapNone/>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709B18"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4X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6DF41D4F" wp14:editId="28E52CB2">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EB73"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41D4F"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0849EB73"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9155A35" wp14:editId="321B66A8">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4CF9"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55A35"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52154CF9"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9A99" w14:textId="77777777" w:rsidR="00FA5DDF" w:rsidRDefault="00FA5DDF">
      <w:pPr>
        <w:spacing w:after="0" w:line="240" w:lineRule="auto"/>
      </w:pPr>
      <w:r>
        <w:separator/>
      </w:r>
    </w:p>
  </w:footnote>
  <w:footnote w:type="continuationSeparator" w:id="0">
    <w:p w14:paraId="07489C65" w14:textId="77777777" w:rsidR="00FA5DDF" w:rsidRDefault="00FA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6C46" w14:textId="1FA53FC1" w:rsidR="00F9133F" w:rsidRDefault="00CC47A4">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02C887A3" wp14:editId="123F40CA">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20AFD"/>
    <w:multiLevelType w:val="hybridMultilevel"/>
    <w:tmpl w:val="5CA484BA"/>
    <w:lvl w:ilvl="0" w:tplc="EAC4F26A">
      <w:numFmt w:val="bullet"/>
      <w:lvlText w:val="•"/>
      <w:lvlJc w:val="left"/>
      <w:pPr>
        <w:ind w:left="1080" w:hanging="720"/>
      </w:pPr>
      <w:rPr>
        <w:rFonts w:ascii="Calibri" w:eastAsiaTheme="minorEastAsia" w:hAnsi="Calibri"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74D5E"/>
    <w:multiLevelType w:val="hybridMultilevel"/>
    <w:tmpl w:val="A6B85B0C"/>
    <w:lvl w:ilvl="0" w:tplc="EAC4F26A">
      <w:numFmt w:val="bullet"/>
      <w:lvlText w:val="•"/>
      <w:lvlJc w:val="left"/>
      <w:pPr>
        <w:ind w:left="1080" w:hanging="720"/>
      </w:pPr>
      <w:rPr>
        <w:rFonts w:ascii="Calibri" w:eastAsiaTheme="minorEastAsia"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76724E3D"/>
    <w:multiLevelType w:val="hybridMultilevel"/>
    <w:tmpl w:val="215887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7F372AD"/>
    <w:multiLevelType w:val="hybridMultilevel"/>
    <w:tmpl w:val="57F4B9B0"/>
    <w:lvl w:ilvl="0" w:tplc="B8C86930">
      <w:start w:val="1"/>
      <w:numFmt w:val="bullet"/>
      <w:lvlText w:val=""/>
      <w:lvlJc w:val="left"/>
      <w:pPr>
        <w:ind w:left="1060" w:hanging="340"/>
      </w:pPr>
      <w:rPr>
        <w:rFonts w:ascii="Symbol" w:hAnsi="Symbol" w:hint="default"/>
      </w:rPr>
    </w:lvl>
    <w:lvl w:ilvl="1" w:tplc="0C090003" w:tentative="1">
      <w:start w:val="1"/>
      <w:numFmt w:val="bullet"/>
      <w:lvlText w:val="o"/>
      <w:lvlJc w:val="left"/>
      <w:pPr>
        <w:ind w:left="2596" w:hanging="360"/>
      </w:pPr>
      <w:rPr>
        <w:rFonts w:ascii="Courier New" w:hAnsi="Courier New" w:hint="default"/>
      </w:rPr>
    </w:lvl>
    <w:lvl w:ilvl="2" w:tplc="0C090005" w:tentative="1">
      <w:start w:val="1"/>
      <w:numFmt w:val="bullet"/>
      <w:lvlText w:val=""/>
      <w:lvlJc w:val="left"/>
      <w:pPr>
        <w:ind w:left="3316" w:hanging="360"/>
      </w:pPr>
      <w:rPr>
        <w:rFonts w:ascii="Wingdings" w:hAnsi="Wingdings" w:hint="default"/>
      </w:rPr>
    </w:lvl>
    <w:lvl w:ilvl="3" w:tplc="0C090001" w:tentative="1">
      <w:start w:val="1"/>
      <w:numFmt w:val="bullet"/>
      <w:lvlText w:val=""/>
      <w:lvlJc w:val="left"/>
      <w:pPr>
        <w:ind w:left="4036" w:hanging="360"/>
      </w:pPr>
      <w:rPr>
        <w:rFonts w:ascii="Symbol" w:hAnsi="Symbol" w:hint="default"/>
      </w:rPr>
    </w:lvl>
    <w:lvl w:ilvl="4" w:tplc="0C090003" w:tentative="1">
      <w:start w:val="1"/>
      <w:numFmt w:val="bullet"/>
      <w:lvlText w:val="o"/>
      <w:lvlJc w:val="left"/>
      <w:pPr>
        <w:ind w:left="4756" w:hanging="360"/>
      </w:pPr>
      <w:rPr>
        <w:rFonts w:ascii="Courier New" w:hAnsi="Courier New" w:hint="default"/>
      </w:rPr>
    </w:lvl>
    <w:lvl w:ilvl="5" w:tplc="0C090005" w:tentative="1">
      <w:start w:val="1"/>
      <w:numFmt w:val="bullet"/>
      <w:lvlText w:val=""/>
      <w:lvlJc w:val="left"/>
      <w:pPr>
        <w:ind w:left="5476" w:hanging="360"/>
      </w:pPr>
      <w:rPr>
        <w:rFonts w:ascii="Wingdings" w:hAnsi="Wingdings" w:hint="default"/>
      </w:rPr>
    </w:lvl>
    <w:lvl w:ilvl="6" w:tplc="0C090001" w:tentative="1">
      <w:start w:val="1"/>
      <w:numFmt w:val="bullet"/>
      <w:lvlText w:val=""/>
      <w:lvlJc w:val="left"/>
      <w:pPr>
        <w:ind w:left="6196" w:hanging="360"/>
      </w:pPr>
      <w:rPr>
        <w:rFonts w:ascii="Symbol" w:hAnsi="Symbol" w:hint="default"/>
      </w:rPr>
    </w:lvl>
    <w:lvl w:ilvl="7" w:tplc="0C090003" w:tentative="1">
      <w:start w:val="1"/>
      <w:numFmt w:val="bullet"/>
      <w:lvlText w:val="o"/>
      <w:lvlJc w:val="left"/>
      <w:pPr>
        <w:ind w:left="6916" w:hanging="360"/>
      </w:pPr>
      <w:rPr>
        <w:rFonts w:ascii="Courier New" w:hAnsi="Courier New" w:hint="default"/>
      </w:rPr>
    </w:lvl>
    <w:lvl w:ilvl="8" w:tplc="0C090005" w:tentative="1">
      <w:start w:val="1"/>
      <w:numFmt w:val="bullet"/>
      <w:lvlText w:val=""/>
      <w:lvlJc w:val="left"/>
      <w:pPr>
        <w:ind w:left="7636" w:hanging="360"/>
      </w:pPr>
      <w:rPr>
        <w:rFonts w:ascii="Wingdings" w:hAnsi="Wingdings" w:hint="default"/>
      </w:rPr>
    </w:lvl>
  </w:abstractNum>
  <w:abstractNum w:abstractNumId="6"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9A04DE"/>
    <w:multiLevelType w:val="hybridMultilevel"/>
    <w:tmpl w:val="BDA63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8"/>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72D8B"/>
    <w:rsid w:val="000C0191"/>
    <w:rsid w:val="00112CD0"/>
    <w:rsid w:val="00125BFE"/>
    <w:rsid w:val="00152ED2"/>
    <w:rsid w:val="001B4DD7"/>
    <w:rsid w:val="001E13FD"/>
    <w:rsid w:val="00200955"/>
    <w:rsid w:val="002232D1"/>
    <w:rsid w:val="002727B8"/>
    <w:rsid w:val="00282254"/>
    <w:rsid w:val="002919BB"/>
    <w:rsid w:val="002A0192"/>
    <w:rsid w:val="002A4CC7"/>
    <w:rsid w:val="002A51F1"/>
    <w:rsid w:val="002F47E6"/>
    <w:rsid w:val="0032619E"/>
    <w:rsid w:val="0033666F"/>
    <w:rsid w:val="00336FAB"/>
    <w:rsid w:val="00350571"/>
    <w:rsid w:val="00351B41"/>
    <w:rsid w:val="00373840"/>
    <w:rsid w:val="003836EC"/>
    <w:rsid w:val="003D41D1"/>
    <w:rsid w:val="00443A06"/>
    <w:rsid w:val="004622BF"/>
    <w:rsid w:val="004A02E3"/>
    <w:rsid w:val="004D0ADA"/>
    <w:rsid w:val="0052340E"/>
    <w:rsid w:val="00531138"/>
    <w:rsid w:val="00542266"/>
    <w:rsid w:val="00551216"/>
    <w:rsid w:val="005638CF"/>
    <w:rsid w:val="005A047F"/>
    <w:rsid w:val="00611782"/>
    <w:rsid w:val="00631CA5"/>
    <w:rsid w:val="00656D27"/>
    <w:rsid w:val="006A7CBC"/>
    <w:rsid w:val="006B4817"/>
    <w:rsid w:val="006F01C8"/>
    <w:rsid w:val="00740F52"/>
    <w:rsid w:val="007706BB"/>
    <w:rsid w:val="007B0498"/>
    <w:rsid w:val="007D1AD8"/>
    <w:rsid w:val="007F01AA"/>
    <w:rsid w:val="00810F2E"/>
    <w:rsid w:val="0081710C"/>
    <w:rsid w:val="00871FD1"/>
    <w:rsid w:val="00876FE3"/>
    <w:rsid w:val="0089160C"/>
    <w:rsid w:val="00893E0B"/>
    <w:rsid w:val="008C6CB1"/>
    <w:rsid w:val="0097369F"/>
    <w:rsid w:val="009E0D02"/>
    <w:rsid w:val="00A23E3F"/>
    <w:rsid w:val="00A27785"/>
    <w:rsid w:val="00A311CE"/>
    <w:rsid w:val="00A3497B"/>
    <w:rsid w:val="00A643B1"/>
    <w:rsid w:val="00A81E9E"/>
    <w:rsid w:val="00AB50AB"/>
    <w:rsid w:val="00AC2C22"/>
    <w:rsid w:val="00AE135C"/>
    <w:rsid w:val="00B05193"/>
    <w:rsid w:val="00B14EA8"/>
    <w:rsid w:val="00B51032"/>
    <w:rsid w:val="00BD2807"/>
    <w:rsid w:val="00BE2DD0"/>
    <w:rsid w:val="00BE4188"/>
    <w:rsid w:val="00C6450A"/>
    <w:rsid w:val="00CC47A4"/>
    <w:rsid w:val="00CC7358"/>
    <w:rsid w:val="00D1051B"/>
    <w:rsid w:val="00D15C7D"/>
    <w:rsid w:val="00D471AE"/>
    <w:rsid w:val="00D53BD2"/>
    <w:rsid w:val="00D831AF"/>
    <w:rsid w:val="00DC200B"/>
    <w:rsid w:val="00E05BC2"/>
    <w:rsid w:val="00E11CA4"/>
    <w:rsid w:val="00E34261"/>
    <w:rsid w:val="00E67F69"/>
    <w:rsid w:val="00E94587"/>
    <w:rsid w:val="00EC632C"/>
    <w:rsid w:val="00ED75C5"/>
    <w:rsid w:val="00F22EE1"/>
    <w:rsid w:val="00F242BC"/>
    <w:rsid w:val="00F77BDC"/>
    <w:rsid w:val="00F9133F"/>
    <w:rsid w:val="00FA31D3"/>
    <w:rsid w:val="00FA5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3545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styleId="NoSpacing">
    <w:name w:val="No Spacing"/>
    <w:uiPriority w:val="1"/>
    <w:qFormat/>
    <w:rsid w:val="00D10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3041">
      <w:marLeft w:val="0"/>
      <w:marRight w:val="0"/>
      <w:marTop w:val="0"/>
      <w:marBottom w:val="0"/>
      <w:divBdr>
        <w:top w:val="none" w:sz="0" w:space="0" w:color="auto"/>
        <w:left w:val="none" w:sz="0" w:space="0" w:color="auto"/>
        <w:bottom w:val="none" w:sz="0" w:space="0" w:color="auto"/>
        <w:right w:val="none" w:sz="0" w:space="0" w:color="auto"/>
      </w:divBdr>
    </w:div>
    <w:div w:id="797643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APS6 – Senior Policy Officer, Regulatory Policy and Intelligence</dc:title>
  <dc:subject/>
  <dc:creator/>
  <cp:keywords/>
  <dc:description/>
  <cp:lastModifiedBy/>
  <cp:revision>1</cp:revision>
  <dcterms:created xsi:type="dcterms:W3CDTF">2022-10-14T06:09:00Z</dcterms:created>
  <dcterms:modified xsi:type="dcterms:W3CDTF">2022-10-14T06:09:00Z</dcterms:modified>
</cp:coreProperties>
</file>