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4D41A" w14:textId="77777777" w:rsidR="0074470A" w:rsidRDefault="0074470A" w:rsidP="003809EE">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389998F3" w14:textId="77777777" w:rsidR="0074470A" w:rsidRDefault="0074470A" w:rsidP="003809EE">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778D8242" w14:textId="77777777" w:rsidR="007F01AA" w:rsidRPr="00C8292F" w:rsidRDefault="007F01AA" w:rsidP="003809EE">
      <w:pPr>
        <w:widowControl w:val="0"/>
        <w:tabs>
          <w:tab w:val="left" w:pos="2520"/>
        </w:tabs>
        <w:autoSpaceDE w:val="0"/>
        <w:autoSpaceDN w:val="0"/>
        <w:adjustRightInd w:val="0"/>
        <w:spacing w:after="0" w:line="226" w:lineRule="exact"/>
        <w:ind w:left="2520" w:right="-20" w:hanging="2258"/>
        <w:rPr>
          <w:rFonts w:ascii="Arial" w:hAnsi="Arial" w:cs="Arial"/>
          <w:sz w:val="21"/>
          <w:szCs w:val="21"/>
        </w:rPr>
      </w:pPr>
      <w:r w:rsidRPr="00C8292F">
        <w:rPr>
          <w:rFonts w:ascii="Arial" w:hAnsi="Arial" w:cs="Arial"/>
          <w:b/>
          <w:bCs/>
          <w:position w:val="-1"/>
          <w:sz w:val="21"/>
          <w:szCs w:val="21"/>
        </w:rPr>
        <w:t>Position:</w:t>
      </w:r>
      <w:r w:rsidRPr="00C8292F">
        <w:rPr>
          <w:rFonts w:ascii="Arial" w:hAnsi="Arial" w:cs="Arial"/>
          <w:b/>
          <w:bCs/>
          <w:position w:val="-1"/>
          <w:sz w:val="21"/>
          <w:szCs w:val="21"/>
        </w:rPr>
        <w:tab/>
      </w:r>
      <w:bookmarkStart w:id="0" w:name="_Hlk109316409"/>
      <w:r w:rsidR="00AF3BC4">
        <w:rPr>
          <w:rFonts w:ascii="Arial" w:hAnsi="Arial" w:cs="Arial"/>
          <w:b/>
          <w:bCs/>
          <w:position w:val="-1"/>
          <w:sz w:val="21"/>
          <w:szCs w:val="21"/>
        </w:rPr>
        <w:t>Costings, Revenue &amp; Modelling Manager</w:t>
      </w:r>
      <w:r w:rsidR="00097C50">
        <w:rPr>
          <w:rFonts w:ascii="Arial" w:hAnsi="Arial" w:cs="Arial"/>
          <w:b/>
          <w:bCs/>
          <w:position w:val="-1"/>
          <w:sz w:val="21"/>
          <w:szCs w:val="21"/>
        </w:rPr>
        <w:t>, EL1</w:t>
      </w:r>
    </w:p>
    <w:bookmarkEnd w:id="0"/>
    <w:p w14:paraId="0ACB11F8" w14:textId="77777777" w:rsidR="007F01AA" w:rsidRPr="00C8292F" w:rsidRDefault="007F01AA">
      <w:pPr>
        <w:widowControl w:val="0"/>
        <w:autoSpaceDE w:val="0"/>
        <w:autoSpaceDN w:val="0"/>
        <w:adjustRightInd w:val="0"/>
        <w:spacing w:before="5" w:after="0" w:line="140" w:lineRule="exact"/>
        <w:rPr>
          <w:rFonts w:ascii="Arial" w:hAnsi="Arial" w:cs="Arial"/>
          <w:sz w:val="21"/>
          <w:szCs w:val="21"/>
        </w:rPr>
      </w:pPr>
    </w:p>
    <w:p w14:paraId="2B7D1177" w14:textId="77777777" w:rsidR="007F0B3D" w:rsidRPr="002F47E6" w:rsidRDefault="007F0B3D" w:rsidP="007F0B3D">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r w:rsidRPr="002F47E6">
        <w:rPr>
          <w:rFonts w:ascii="Arial" w:hAnsi="Arial" w:cs="Arial"/>
          <w:b/>
          <w:bCs/>
          <w:position w:val="-1"/>
          <w:sz w:val="21"/>
          <w:szCs w:val="21"/>
        </w:rPr>
        <w:t>Location:</w:t>
      </w:r>
      <w:r w:rsidR="00AF3BC4">
        <w:rPr>
          <w:rFonts w:ascii="Arial" w:hAnsi="Arial" w:cs="Arial"/>
          <w:b/>
          <w:bCs/>
          <w:position w:val="-1"/>
          <w:sz w:val="21"/>
          <w:szCs w:val="21"/>
        </w:rPr>
        <w:tab/>
      </w:r>
      <w:r w:rsidR="00AF3BC4" w:rsidRPr="00263A48">
        <w:rPr>
          <w:rFonts w:ascii="Arial" w:hAnsi="Arial" w:cs="Arial"/>
          <w:b/>
          <w:bCs/>
          <w:position w:val="-1"/>
        </w:rPr>
        <w:t>Any ACQSC Office</w:t>
      </w:r>
    </w:p>
    <w:p w14:paraId="7813C8CF" w14:textId="77777777" w:rsidR="007F0B3D" w:rsidRPr="004D0ADA" w:rsidRDefault="007F0B3D" w:rsidP="007F0B3D">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2F47E6">
        <w:rPr>
          <w:rFonts w:ascii="Arial" w:hAnsi="Arial" w:cs="Arial"/>
          <w:b/>
          <w:bCs/>
          <w:position w:val="-1"/>
          <w:sz w:val="21"/>
          <w:szCs w:val="21"/>
        </w:rPr>
        <w:t>Reporting to:</w:t>
      </w:r>
      <w:r w:rsidRPr="004D0ADA">
        <w:rPr>
          <w:rFonts w:ascii="Arial" w:hAnsi="Arial" w:cs="Arial"/>
          <w:b/>
          <w:bCs/>
          <w:position w:val="-1"/>
          <w:sz w:val="20"/>
          <w:szCs w:val="20"/>
        </w:rPr>
        <w:tab/>
      </w:r>
      <w:r w:rsidR="00AF3BC4">
        <w:rPr>
          <w:rFonts w:ascii="Arial" w:hAnsi="Arial" w:cs="Arial"/>
          <w:bCs/>
          <w:position w:val="-1"/>
        </w:rPr>
        <w:t>Chief Financial Officer</w:t>
      </w:r>
    </w:p>
    <w:p w14:paraId="2A0BB173" w14:textId="77777777" w:rsidR="00AF3BC4" w:rsidRPr="00263A48" w:rsidRDefault="007F0B3D" w:rsidP="00AF3BC4">
      <w:pPr>
        <w:widowControl w:val="0"/>
        <w:autoSpaceDE w:val="0"/>
        <w:autoSpaceDN w:val="0"/>
        <w:adjustRightInd w:val="0"/>
        <w:spacing w:before="36" w:after="0"/>
        <w:ind w:left="2552" w:hanging="2268"/>
        <w:rPr>
          <w:rFonts w:ascii="Arial" w:hAnsi="Arial" w:cs="Arial"/>
        </w:rPr>
      </w:pPr>
      <w:r w:rsidRPr="004D0ADA">
        <w:rPr>
          <w:rFonts w:ascii="Arial" w:hAnsi="Arial" w:cs="Arial"/>
          <w:b/>
          <w:bCs/>
          <w:position w:val="-1"/>
          <w:sz w:val="21"/>
          <w:szCs w:val="21"/>
        </w:rPr>
        <w:t xml:space="preserve">Purpose </w:t>
      </w:r>
      <w:r w:rsidRPr="004D0ADA">
        <w:rPr>
          <w:rFonts w:ascii="Arial" w:hAnsi="Arial" w:cs="Arial"/>
          <w:b/>
          <w:bCs/>
          <w:spacing w:val="-1"/>
          <w:position w:val="-1"/>
          <w:sz w:val="21"/>
          <w:szCs w:val="21"/>
        </w:rPr>
        <w:t>o</w:t>
      </w:r>
      <w:r w:rsidRPr="004D0ADA">
        <w:rPr>
          <w:rFonts w:ascii="Arial" w:hAnsi="Arial" w:cs="Arial"/>
          <w:b/>
          <w:bCs/>
          <w:position w:val="-1"/>
          <w:sz w:val="21"/>
          <w:szCs w:val="21"/>
        </w:rPr>
        <w:t>f position:</w:t>
      </w:r>
      <w:r w:rsidR="00AF3BC4" w:rsidRPr="00263A48">
        <w:rPr>
          <w:rFonts w:ascii="Arial" w:hAnsi="Arial" w:cs="Arial"/>
          <w:b/>
          <w:bCs/>
          <w:position w:val="-1"/>
        </w:rPr>
        <w:tab/>
      </w:r>
      <w:r w:rsidR="00AF3BC4" w:rsidRPr="001F1AB5">
        <w:rPr>
          <w:rFonts w:ascii="Arial" w:hAnsi="Arial" w:cs="Arial"/>
          <w:bCs/>
          <w:position w:val="-1"/>
        </w:rPr>
        <w:t>T</w:t>
      </w:r>
      <w:r w:rsidR="00AF3BC4">
        <w:rPr>
          <w:rFonts w:ascii="Arial" w:hAnsi="Arial" w:cs="Arial"/>
          <w:bCs/>
          <w:position w:val="-1"/>
        </w:rPr>
        <w:t xml:space="preserve">his is a new position to </w:t>
      </w:r>
      <w:r w:rsidR="00900C61">
        <w:rPr>
          <w:rFonts w:ascii="Arial" w:hAnsi="Arial" w:cs="Arial"/>
          <w:bCs/>
          <w:position w:val="-1"/>
        </w:rPr>
        <w:t xml:space="preserve">take </w:t>
      </w:r>
      <w:r w:rsidR="00835A1B">
        <w:rPr>
          <w:rFonts w:ascii="Arial" w:hAnsi="Arial" w:cs="Arial"/>
          <w:bCs/>
          <w:position w:val="-1"/>
        </w:rPr>
        <w:t xml:space="preserve">leadership </w:t>
      </w:r>
      <w:r w:rsidR="00900C61">
        <w:rPr>
          <w:rFonts w:ascii="Arial" w:hAnsi="Arial" w:cs="Arial"/>
          <w:bCs/>
          <w:position w:val="-1"/>
        </w:rPr>
        <w:t xml:space="preserve">of the Commission’s revenue arrangements and develop any </w:t>
      </w:r>
      <w:r w:rsidR="00401843">
        <w:rPr>
          <w:rFonts w:ascii="Arial" w:hAnsi="Arial" w:cs="Arial"/>
          <w:bCs/>
          <w:position w:val="-1"/>
        </w:rPr>
        <w:t xml:space="preserve">financial </w:t>
      </w:r>
      <w:r w:rsidR="00900C61">
        <w:rPr>
          <w:rFonts w:ascii="Arial" w:hAnsi="Arial" w:cs="Arial"/>
          <w:bCs/>
          <w:position w:val="-1"/>
        </w:rPr>
        <w:t xml:space="preserve">policies and procedures that </w:t>
      </w:r>
      <w:r w:rsidR="00705069">
        <w:rPr>
          <w:rFonts w:ascii="Arial" w:hAnsi="Arial" w:cs="Arial"/>
          <w:bCs/>
          <w:position w:val="-1"/>
        </w:rPr>
        <w:t>contribute to appropriate</w:t>
      </w:r>
      <w:r w:rsidR="00900C61">
        <w:rPr>
          <w:rFonts w:ascii="Arial" w:hAnsi="Arial" w:cs="Arial"/>
          <w:bCs/>
          <w:position w:val="-1"/>
        </w:rPr>
        <w:t xml:space="preserve"> management </w:t>
      </w:r>
      <w:r w:rsidR="00705069">
        <w:rPr>
          <w:rFonts w:ascii="Arial" w:hAnsi="Arial" w:cs="Arial"/>
          <w:bCs/>
          <w:position w:val="-1"/>
        </w:rPr>
        <w:t xml:space="preserve">(including resource management models) </w:t>
      </w:r>
      <w:r w:rsidR="00900C61">
        <w:rPr>
          <w:rFonts w:ascii="Arial" w:hAnsi="Arial" w:cs="Arial"/>
          <w:bCs/>
          <w:position w:val="-1"/>
        </w:rPr>
        <w:t xml:space="preserve">of the Commission’s activities that have revenue implications. The position will specifically be required to </w:t>
      </w:r>
      <w:r w:rsidR="00705069">
        <w:rPr>
          <w:rFonts w:ascii="Arial" w:hAnsi="Arial" w:cs="Arial"/>
          <w:bCs/>
          <w:position w:val="-1"/>
        </w:rPr>
        <w:t>collate and review</w:t>
      </w:r>
      <w:r w:rsidR="00AF3BC4">
        <w:rPr>
          <w:rFonts w:ascii="Arial" w:hAnsi="Arial" w:cs="Arial"/>
          <w:bCs/>
          <w:position w:val="-1"/>
        </w:rPr>
        <w:t xml:space="preserve"> financial information that is produced by areas in the Commission who provide input into new policy proposals and who develop Cost Recovery Implementation Statements.</w:t>
      </w:r>
      <w:r w:rsidR="00AF3BC4" w:rsidRPr="00AF3BC4">
        <w:rPr>
          <w:rFonts w:ascii="Arial" w:hAnsi="Arial" w:cs="Arial"/>
          <w:bCs/>
          <w:position w:val="-1"/>
        </w:rPr>
        <w:t xml:space="preserve"> </w:t>
      </w:r>
      <w:r w:rsidR="00AF3BC4">
        <w:rPr>
          <w:rFonts w:ascii="Arial" w:hAnsi="Arial" w:cs="Arial"/>
          <w:bCs/>
          <w:position w:val="-1"/>
        </w:rPr>
        <w:t>The role will involve overseeing the</w:t>
      </w:r>
      <w:bookmarkStart w:id="1" w:name="_GoBack"/>
      <w:bookmarkEnd w:id="1"/>
      <w:r w:rsidR="00AF3BC4">
        <w:rPr>
          <w:rFonts w:ascii="Arial" w:hAnsi="Arial" w:cs="Arial"/>
          <w:bCs/>
          <w:position w:val="-1"/>
        </w:rPr>
        <w:t xml:space="preserve"> development and improvements to various Commission-held financial </w:t>
      </w:r>
      <w:r w:rsidR="00705069">
        <w:rPr>
          <w:rFonts w:ascii="Arial" w:hAnsi="Arial" w:cs="Arial"/>
          <w:bCs/>
          <w:position w:val="-1"/>
        </w:rPr>
        <w:t xml:space="preserve">&amp; resource </w:t>
      </w:r>
      <w:r w:rsidR="00AF3BC4">
        <w:rPr>
          <w:rFonts w:ascii="Arial" w:hAnsi="Arial" w:cs="Arial"/>
          <w:bCs/>
          <w:position w:val="-1"/>
        </w:rPr>
        <w:t>models that underpin funding agreements and charging arrangements.</w:t>
      </w:r>
    </w:p>
    <w:p w14:paraId="1DA3532F" w14:textId="77777777" w:rsidR="007F0B3D" w:rsidRPr="004D0ADA" w:rsidRDefault="007F0B3D" w:rsidP="007F0B3D">
      <w:pPr>
        <w:widowControl w:val="0"/>
        <w:autoSpaceDE w:val="0"/>
        <w:autoSpaceDN w:val="0"/>
        <w:adjustRightInd w:val="0"/>
        <w:spacing w:before="36" w:after="0"/>
        <w:ind w:left="2552" w:hanging="2268"/>
        <w:jc w:val="both"/>
        <w:rPr>
          <w:rFonts w:ascii="Arial" w:hAnsi="Arial" w:cs="Arial"/>
          <w:bCs/>
          <w:position w:val="-1"/>
          <w:sz w:val="21"/>
          <w:szCs w:val="21"/>
        </w:rPr>
      </w:pPr>
    </w:p>
    <w:p w14:paraId="1DBAF3B7" w14:textId="77777777" w:rsidR="007F0B3D" w:rsidRPr="004D0ADA" w:rsidRDefault="007F0B3D" w:rsidP="007F0B3D">
      <w:pPr>
        <w:widowControl w:val="0"/>
        <w:tabs>
          <w:tab w:val="left" w:pos="2520"/>
        </w:tabs>
        <w:autoSpaceDE w:val="0"/>
        <w:autoSpaceDN w:val="0"/>
        <w:adjustRightInd w:val="0"/>
        <w:spacing w:before="35" w:after="0"/>
        <w:ind w:left="262" w:right="-20"/>
        <w:rPr>
          <w:rFonts w:ascii="Arial" w:hAnsi="Arial" w:cs="Arial"/>
          <w:b/>
          <w:sz w:val="21"/>
          <w:szCs w:val="21"/>
        </w:rPr>
      </w:pPr>
      <w:r w:rsidRPr="004D0ADA">
        <w:rPr>
          <w:rFonts w:ascii="Arial" w:hAnsi="Arial" w:cs="Arial"/>
          <w:b/>
          <w:sz w:val="21"/>
          <w:szCs w:val="21"/>
        </w:rPr>
        <w:t>Key Accountabilities</w:t>
      </w:r>
      <w:r w:rsidR="002F47E6">
        <w:rPr>
          <w:rFonts w:ascii="Arial" w:hAnsi="Arial" w:cs="Arial"/>
          <w:b/>
          <w:sz w:val="21"/>
          <w:szCs w:val="21"/>
        </w:rPr>
        <w:t>:</w:t>
      </w:r>
    </w:p>
    <w:p w14:paraId="28246B74" w14:textId="77777777" w:rsidR="00AF3BC4" w:rsidRPr="00263A48" w:rsidRDefault="00AF3BC4" w:rsidP="00AF3BC4">
      <w:pPr>
        <w:widowControl w:val="0"/>
        <w:tabs>
          <w:tab w:val="left" w:pos="2520"/>
        </w:tabs>
        <w:autoSpaceDE w:val="0"/>
        <w:autoSpaceDN w:val="0"/>
        <w:adjustRightInd w:val="0"/>
        <w:spacing w:before="35" w:after="0"/>
        <w:ind w:left="262" w:right="-20"/>
        <w:rPr>
          <w:rFonts w:ascii="Arial" w:hAnsi="Arial" w:cs="Arial"/>
          <w:b/>
        </w:rPr>
      </w:pPr>
      <w:r w:rsidRPr="00263A48">
        <w:rPr>
          <w:rFonts w:ascii="Arial" w:hAnsi="Arial" w:cs="Arial"/>
        </w:rPr>
        <w:t>The successful applicant will work as a business partner</w:t>
      </w:r>
      <w:r>
        <w:rPr>
          <w:rFonts w:ascii="Arial" w:hAnsi="Arial" w:cs="Arial"/>
        </w:rPr>
        <w:t xml:space="preserve"> by:</w:t>
      </w:r>
    </w:p>
    <w:p w14:paraId="183B0EEB" w14:textId="77777777" w:rsidR="00AF3BC4" w:rsidRDefault="001F1AB5"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 xml:space="preserve">Taking a lead role in </w:t>
      </w:r>
      <w:r w:rsidR="00900C61">
        <w:rPr>
          <w:rFonts w:ascii="Arial" w:hAnsi="Arial" w:cs="Arial"/>
        </w:rPr>
        <w:t>working collegiately with Commission colleagues to</w:t>
      </w:r>
      <w:r w:rsidR="00AF3BC4" w:rsidRPr="0006530F">
        <w:rPr>
          <w:rFonts w:ascii="Arial" w:hAnsi="Arial" w:cs="Arial"/>
        </w:rPr>
        <w:t xml:space="preserve"> develo</w:t>
      </w:r>
      <w:r w:rsidR="00900C61">
        <w:rPr>
          <w:rFonts w:ascii="Arial" w:hAnsi="Arial" w:cs="Arial"/>
        </w:rPr>
        <w:t xml:space="preserve">p </w:t>
      </w:r>
      <w:r w:rsidR="00AF3BC4" w:rsidRPr="0006530F">
        <w:rPr>
          <w:rFonts w:ascii="Arial" w:hAnsi="Arial" w:cs="Arial"/>
        </w:rPr>
        <w:t>and improve</w:t>
      </w:r>
      <w:r w:rsidR="00900C61">
        <w:rPr>
          <w:rFonts w:ascii="Arial" w:hAnsi="Arial" w:cs="Arial"/>
        </w:rPr>
        <w:t xml:space="preserve"> </w:t>
      </w:r>
      <w:r w:rsidR="00AF3BC4" w:rsidRPr="0006530F">
        <w:rPr>
          <w:rFonts w:ascii="Arial" w:hAnsi="Arial" w:cs="Arial"/>
        </w:rPr>
        <w:t>Commission-held resourcing and funding models</w:t>
      </w:r>
      <w:r>
        <w:rPr>
          <w:rFonts w:ascii="Arial" w:hAnsi="Arial" w:cs="Arial"/>
        </w:rPr>
        <w:t>, including how they impact internal and external reporting</w:t>
      </w:r>
      <w:r w:rsidR="00900C61">
        <w:rPr>
          <w:rFonts w:ascii="Arial" w:hAnsi="Arial" w:cs="Arial"/>
        </w:rPr>
        <w:t>, and contribute to</w:t>
      </w:r>
      <w:r>
        <w:rPr>
          <w:rFonts w:ascii="Arial" w:hAnsi="Arial" w:cs="Arial"/>
        </w:rPr>
        <w:t xml:space="preserve"> </w:t>
      </w:r>
      <w:r w:rsidR="00900C61">
        <w:rPr>
          <w:rFonts w:ascii="Arial" w:hAnsi="Arial" w:cs="Arial"/>
        </w:rPr>
        <w:t xml:space="preserve">organisational </w:t>
      </w:r>
      <w:r>
        <w:rPr>
          <w:rFonts w:ascii="Arial" w:hAnsi="Arial" w:cs="Arial"/>
        </w:rPr>
        <w:t>decision making.</w:t>
      </w:r>
    </w:p>
    <w:p w14:paraId="2CB815AE" w14:textId="77777777" w:rsidR="001F1AB5" w:rsidRDefault="001F1AB5"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Leading utilisation of resourcing and funding models to build robust and defensible internal budgets, including playing a joint lead role with the Assistant Director, Decision Support, during the conduct of Commission internal budget processes.</w:t>
      </w:r>
    </w:p>
    <w:p w14:paraId="2D24728E" w14:textId="77777777" w:rsidR="001F1AB5" w:rsidRDefault="001F1AB5"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Leading development of reporting capability for actual costs based on key activities and volumes of those activities performed in operational business areas.</w:t>
      </w:r>
    </w:p>
    <w:p w14:paraId="6A4B69DB" w14:textId="77777777" w:rsidR="001F1AB5" w:rsidRPr="0006530F" w:rsidRDefault="001F1AB5"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 xml:space="preserve">Contributing to the preparation of New Policy Proposals by improving the quality of understanding of cost assumptions and how they are presented and negotiated with the Department of Health (and others in the Health and Aged Care Portfolio) and the Department of Finance. </w:t>
      </w:r>
    </w:p>
    <w:p w14:paraId="6A28E035" w14:textId="77777777" w:rsidR="00900C61" w:rsidRDefault="00AF3BC4"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sidRPr="0006530F">
        <w:rPr>
          <w:rFonts w:ascii="Arial" w:hAnsi="Arial" w:cs="Arial"/>
        </w:rPr>
        <w:t>Contributing to the conduct of Cost Recovery Implementation Statements for the Commission.</w:t>
      </w:r>
    </w:p>
    <w:p w14:paraId="3D2E2F70" w14:textId="77777777" w:rsidR="001F1AB5" w:rsidRPr="0006530F" w:rsidRDefault="001F1AB5" w:rsidP="00AF3BC4">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 xml:space="preserve">Leading development of external reporting on </w:t>
      </w:r>
      <w:r w:rsidR="00900C61">
        <w:rPr>
          <w:rFonts w:ascii="Arial" w:hAnsi="Arial" w:cs="Arial"/>
        </w:rPr>
        <w:t xml:space="preserve">Commission </w:t>
      </w:r>
      <w:r>
        <w:rPr>
          <w:rFonts w:ascii="Arial" w:hAnsi="Arial" w:cs="Arial"/>
        </w:rPr>
        <w:t>revenue</w:t>
      </w:r>
      <w:r w:rsidR="00900C61">
        <w:rPr>
          <w:rFonts w:ascii="Arial" w:hAnsi="Arial" w:cs="Arial"/>
        </w:rPr>
        <w:t xml:space="preserve"> </w:t>
      </w:r>
      <w:r>
        <w:rPr>
          <w:rFonts w:ascii="Arial" w:hAnsi="Arial" w:cs="Arial"/>
        </w:rPr>
        <w:t>in the P</w:t>
      </w:r>
      <w:r w:rsidR="00900C61">
        <w:rPr>
          <w:rFonts w:ascii="Arial" w:hAnsi="Arial" w:cs="Arial"/>
        </w:rPr>
        <w:t>ortfolio Budget Statements</w:t>
      </w:r>
      <w:r>
        <w:rPr>
          <w:rFonts w:ascii="Arial" w:hAnsi="Arial" w:cs="Arial"/>
        </w:rPr>
        <w:t>, Annual Report, Annual Financial Statements and others as required by Government.</w:t>
      </w:r>
      <w:r w:rsidR="00900C61">
        <w:rPr>
          <w:rFonts w:ascii="Arial" w:hAnsi="Arial" w:cs="Arial"/>
        </w:rPr>
        <w:t xml:space="preserve"> This will include maintaining a role in sign-off of monthly reporting processes and appropriation reconciliations that will remain the responsibility of the Financial Accounting team.</w:t>
      </w:r>
    </w:p>
    <w:p w14:paraId="2FDEC1E4" w14:textId="77777777" w:rsidR="00900C61" w:rsidRDefault="00900C61" w:rsidP="003836EC">
      <w:pPr>
        <w:widowControl w:val="0"/>
        <w:autoSpaceDE w:val="0"/>
        <w:autoSpaceDN w:val="0"/>
        <w:adjustRightInd w:val="0"/>
        <w:spacing w:before="3" w:after="0" w:line="230" w:lineRule="exact"/>
        <w:ind w:left="284" w:right="394"/>
        <w:rPr>
          <w:rFonts w:ascii="Arial" w:hAnsi="Arial" w:cs="Arial"/>
          <w:b/>
          <w:sz w:val="21"/>
          <w:szCs w:val="21"/>
        </w:rPr>
      </w:pPr>
    </w:p>
    <w:p w14:paraId="0FC11861" w14:textId="77777777" w:rsidR="003836EC" w:rsidRDefault="003836EC" w:rsidP="003836EC">
      <w:pPr>
        <w:widowControl w:val="0"/>
        <w:autoSpaceDE w:val="0"/>
        <w:autoSpaceDN w:val="0"/>
        <w:adjustRightInd w:val="0"/>
        <w:spacing w:before="3" w:after="0" w:line="230" w:lineRule="exact"/>
        <w:ind w:left="284" w:right="394"/>
        <w:rPr>
          <w:rFonts w:ascii="Arial" w:hAnsi="Arial" w:cs="Arial"/>
          <w:b/>
          <w:sz w:val="21"/>
          <w:szCs w:val="21"/>
        </w:rPr>
      </w:pPr>
      <w:r>
        <w:rPr>
          <w:rFonts w:ascii="Arial" w:hAnsi="Arial" w:cs="Arial"/>
          <w:b/>
          <w:sz w:val="21"/>
          <w:szCs w:val="21"/>
        </w:rPr>
        <w:t>Essential Requirements:</w:t>
      </w:r>
    </w:p>
    <w:p w14:paraId="7DD0FED3" w14:textId="77777777" w:rsidR="00900C61" w:rsidRPr="00871A7B" w:rsidRDefault="00900C61" w:rsidP="00900C61">
      <w:pPr>
        <w:widowControl w:val="0"/>
        <w:tabs>
          <w:tab w:val="left" w:pos="2520"/>
        </w:tabs>
        <w:autoSpaceDE w:val="0"/>
        <w:autoSpaceDN w:val="0"/>
        <w:adjustRightInd w:val="0"/>
        <w:spacing w:before="35" w:after="0"/>
        <w:ind w:left="284" w:right="-20"/>
        <w:rPr>
          <w:rFonts w:ascii="Arial" w:hAnsi="Arial" w:cs="Arial"/>
        </w:rPr>
      </w:pPr>
      <w:r>
        <w:rPr>
          <w:rFonts w:ascii="Arial" w:hAnsi="Arial" w:cs="Arial"/>
        </w:rPr>
        <w:t>The successful applicant will deliver the role by:</w:t>
      </w:r>
    </w:p>
    <w:p w14:paraId="55CCF0B1" w14:textId="77777777" w:rsidR="00900C61" w:rsidRDefault="00900C61" w:rsidP="00900C61">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t>Building relationships with stakeholders through understanding context</w:t>
      </w:r>
      <w:r>
        <w:rPr>
          <w:rFonts w:ascii="Arial" w:hAnsi="Arial" w:cs="Arial"/>
        </w:rPr>
        <w:t>, challenges and business drivers for Commission projects and providing advice and recommendations to help navigate these in a financially responsible manner.</w:t>
      </w:r>
    </w:p>
    <w:p w14:paraId="323AA2DF" w14:textId="77777777" w:rsidR="00900C61" w:rsidRPr="00871A7B" w:rsidRDefault="00900C61" w:rsidP="00900C61">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t>Developing professional, evidence-based advice</w:t>
      </w:r>
      <w:r>
        <w:rPr>
          <w:rFonts w:ascii="Arial" w:hAnsi="Arial" w:cs="Arial"/>
        </w:rPr>
        <w:t>, including working with colleagues to generate best-available advice,</w:t>
      </w:r>
      <w:r w:rsidRPr="00871A7B">
        <w:rPr>
          <w:rFonts w:ascii="Arial" w:hAnsi="Arial" w:cs="Arial"/>
        </w:rPr>
        <w:t xml:space="preserve"> and communicating this clearly to a range of stakeholders at different seniority levels</w:t>
      </w:r>
      <w:r>
        <w:rPr>
          <w:rFonts w:ascii="Arial" w:hAnsi="Arial" w:cs="Arial"/>
        </w:rPr>
        <w:t xml:space="preserve">. </w:t>
      </w:r>
    </w:p>
    <w:p w14:paraId="0E87266C" w14:textId="77777777" w:rsidR="00900C61" w:rsidRDefault="00900C61" w:rsidP="00900C61">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Taking a customer-centric approach to the provision of financially responsible advice, including communicating requirements to comply with the PGPA Act and other relevant finance law.</w:t>
      </w:r>
    </w:p>
    <w:p w14:paraId="71D9B5CD" w14:textId="77777777" w:rsidR="00900C61" w:rsidRDefault="00900C61" w:rsidP="00900C61">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sidRPr="00871A7B">
        <w:rPr>
          <w:rFonts w:ascii="Arial" w:hAnsi="Arial" w:cs="Arial"/>
        </w:rPr>
        <w:lastRenderedPageBreak/>
        <w:t>Demonstrate persistence and resilience when dealing with complex issues</w:t>
      </w:r>
      <w:r>
        <w:rPr>
          <w:rFonts w:ascii="Arial" w:hAnsi="Arial" w:cs="Arial"/>
        </w:rPr>
        <w:t>, including introducing and formalising repeatable New Policy Proposal, Cost Recovery Implementation Statement and internal budget practices by the Commission.</w:t>
      </w:r>
    </w:p>
    <w:p w14:paraId="48207EFF" w14:textId="77777777" w:rsidR="007F0B3D" w:rsidRPr="00044040" w:rsidRDefault="00900C61" w:rsidP="00044040">
      <w:pPr>
        <w:numPr>
          <w:ilvl w:val="0"/>
          <w:numId w:val="26"/>
        </w:numPr>
        <w:overflowPunct w:val="0"/>
        <w:autoSpaceDE w:val="0"/>
        <w:autoSpaceDN w:val="0"/>
        <w:adjustRightInd w:val="0"/>
        <w:spacing w:after="120" w:line="240" w:lineRule="auto"/>
        <w:ind w:left="709" w:hanging="425"/>
        <w:textAlignment w:val="baseline"/>
        <w:rPr>
          <w:rFonts w:ascii="Arial" w:hAnsi="Arial" w:cs="Arial"/>
        </w:rPr>
      </w:pPr>
      <w:r>
        <w:rPr>
          <w:rFonts w:ascii="Arial" w:hAnsi="Arial" w:cs="Arial"/>
        </w:rPr>
        <w:t>Be proficient in the use of Microsoft Office suite, particularly Microsoft Excel for the purpose of financial modelling, and TechnologyOne, the Commission’s Enterprise Resource Planning system.</w:t>
      </w:r>
    </w:p>
    <w:p w14:paraId="21B4CA7D" w14:textId="77777777" w:rsidR="007F0B3D" w:rsidRDefault="007F0B3D" w:rsidP="007F0B3D">
      <w:pPr>
        <w:widowControl w:val="0"/>
        <w:tabs>
          <w:tab w:val="left" w:pos="2520"/>
        </w:tabs>
        <w:autoSpaceDE w:val="0"/>
        <w:autoSpaceDN w:val="0"/>
        <w:adjustRightInd w:val="0"/>
        <w:spacing w:before="35" w:after="0"/>
        <w:ind w:left="284" w:right="-20"/>
        <w:rPr>
          <w:rFonts w:ascii="Arial" w:hAnsi="Arial" w:cs="Arial"/>
          <w:b/>
          <w:sz w:val="20"/>
          <w:szCs w:val="20"/>
        </w:rPr>
      </w:pPr>
    </w:p>
    <w:p w14:paraId="2FC8ECB0" w14:textId="77777777" w:rsidR="006A0B76" w:rsidRDefault="00044040" w:rsidP="00044040">
      <w:pPr>
        <w:widowControl w:val="0"/>
        <w:tabs>
          <w:tab w:val="left" w:pos="2520"/>
        </w:tabs>
        <w:autoSpaceDE w:val="0"/>
        <w:autoSpaceDN w:val="0"/>
        <w:adjustRightInd w:val="0"/>
        <w:spacing w:before="35" w:after="0"/>
        <w:ind w:left="2879" w:right="-20" w:hanging="2595"/>
        <w:rPr>
          <w:rFonts w:ascii="Arial" w:hAnsi="Arial" w:cs="Arial"/>
          <w:b/>
        </w:rPr>
      </w:pPr>
      <w:r>
        <w:rPr>
          <w:rFonts w:ascii="Arial" w:hAnsi="Arial" w:cs="Arial"/>
          <w:b/>
        </w:rPr>
        <w:t>Required qualifications:</w:t>
      </w:r>
      <w:r>
        <w:rPr>
          <w:rFonts w:ascii="Arial" w:hAnsi="Arial" w:cs="Arial"/>
          <w:b/>
        </w:rPr>
        <w:tab/>
      </w:r>
      <w:r w:rsidR="006A0B76" w:rsidRPr="006A0B76">
        <w:rPr>
          <w:rFonts w:ascii="Arial" w:hAnsi="Arial" w:cs="Arial"/>
        </w:rPr>
        <w:t>A robust</w:t>
      </w:r>
      <w:r w:rsidR="006A0B76">
        <w:rPr>
          <w:rFonts w:ascii="Arial" w:hAnsi="Arial" w:cs="Arial"/>
        </w:rPr>
        <w:t xml:space="preserve"> and sophisticated understanding, of how to use Microsoft Excel for financial modelling, is required.</w:t>
      </w:r>
    </w:p>
    <w:p w14:paraId="4A2CD628" w14:textId="77777777" w:rsidR="00044040" w:rsidRDefault="006A0B76" w:rsidP="00044040">
      <w:pPr>
        <w:widowControl w:val="0"/>
        <w:tabs>
          <w:tab w:val="left" w:pos="2520"/>
        </w:tabs>
        <w:autoSpaceDE w:val="0"/>
        <w:autoSpaceDN w:val="0"/>
        <w:adjustRightInd w:val="0"/>
        <w:spacing w:before="35" w:after="0"/>
        <w:ind w:left="2879" w:right="-20" w:hanging="2595"/>
        <w:rPr>
          <w:rFonts w:ascii="Arial" w:hAnsi="Arial" w:cs="Arial"/>
          <w:b/>
        </w:rPr>
      </w:pPr>
      <w:r>
        <w:rPr>
          <w:rFonts w:ascii="Arial" w:hAnsi="Arial" w:cs="Arial"/>
        </w:rPr>
        <w:tab/>
      </w:r>
      <w:r>
        <w:rPr>
          <w:rFonts w:ascii="Arial" w:hAnsi="Arial" w:cs="Arial"/>
        </w:rPr>
        <w:tab/>
      </w:r>
      <w:r w:rsidR="00044040">
        <w:rPr>
          <w:rFonts w:ascii="Arial" w:hAnsi="Arial" w:cs="Arial"/>
        </w:rPr>
        <w:t>A relevant tertiary qualification and attainment of a professional accounting qualification (eg. CA/CPA) are both highly desirable</w:t>
      </w:r>
      <w:r>
        <w:rPr>
          <w:rFonts w:ascii="Arial" w:hAnsi="Arial" w:cs="Arial"/>
          <w:b/>
        </w:rPr>
        <w:t>.</w:t>
      </w:r>
    </w:p>
    <w:p w14:paraId="35209B8B" w14:textId="77777777" w:rsidR="00044040" w:rsidRDefault="006A0B76" w:rsidP="006A0B76">
      <w:pPr>
        <w:widowControl w:val="0"/>
        <w:tabs>
          <w:tab w:val="left" w:pos="2520"/>
        </w:tabs>
        <w:autoSpaceDE w:val="0"/>
        <w:autoSpaceDN w:val="0"/>
        <w:adjustRightInd w:val="0"/>
        <w:spacing w:before="35" w:after="0"/>
        <w:ind w:right="-20"/>
        <w:rPr>
          <w:rFonts w:ascii="Arial" w:hAnsi="Arial" w:cs="Arial"/>
          <w:b/>
        </w:rPr>
      </w:pPr>
      <w:r>
        <w:rPr>
          <w:rFonts w:ascii="Arial" w:hAnsi="Arial" w:cs="Arial"/>
          <w:b/>
        </w:rPr>
        <w:t xml:space="preserve"> </w:t>
      </w:r>
    </w:p>
    <w:p w14:paraId="3EFBE343" w14:textId="77777777" w:rsidR="00044040" w:rsidRPr="00263A48" w:rsidRDefault="00044040" w:rsidP="00044040">
      <w:pPr>
        <w:widowControl w:val="0"/>
        <w:tabs>
          <w:tab w:val="left" w:pos="2520"/>
        </w:tabs>
        <w:autoSpaceDE w:val="0"/>
        <w:autoSpaceDN w:val="0"/>
        <w:adjustRightInd w:val="0"/>
        <w:spacing w:before="35" w:after="0"/>
        <w:ind w:left="2879" w:right="-20" w:hanging="2595"/>
        <w:rPr>
          <w:rFonts w:ascii="Arial" w:hAnsi="Arial" w:cs="Arial"/>
          <w:b/>
        </w:rPr>
      </w:pPr>
      <w:r w:rsidRPr="00263A48">
        <w:rPr>
          <w:rFonts w:ascii="Arial" w:hAnsi="Arial" w:cs="Arial"/>
          <w:b/>
        </w:rPr>
        <w:t>Risk Accountabilities:</w:t>
      </w:r>
      <w:r w:rsidRPr="00263A48">
        <w:rPr>
          <w:rFonts w:ascii="Arial" w:hAnsi="Arial" w:cs="Arial"/>
          <w:b/>
        </w:rPr>
        <w:tab/>
      </w:r>
      <w:r w:rsidRPr="00263A48">
        <w:rPr>
          <w:rFonts w:ascii="Arial" w:hAnsi="Arial" w:cs="Arial"/>
          <w:b/>
        </w:rPr>
        <w:tab/>
      </w:r>
      <w:r w:rsidRPr="00263A48">
        <w:rPr>
          <w:rFonts w:ascii="Arial" w:hAnsi="Arial" w:cs="Arial"/>
        </w:rPr>
        <w:t>Contributing to improved financial risk management</w:t>
      </w:r>
      <w:r w:rsidR="006A0B76">
        <w:rPr>
          <w:rFonts w:ascii="Arial" w:hAnsi="Arial" w:cs="Arial"/>
        </w:rPr>
        <w:t xml:space="preserve"> across the Commission, both in setting internal budgets and in advocating for funding in the context of the </w:t>
      </w:r>
      <w:r w:rsidR="006A0B76" w:rsidRPr="006A0B76">
        <w:rPr>
          <w:rFonts w:ascii="Arial" w:hAnsi="Arial" w:cs="Arial"/>
          <w:i/>
        </w:rPr>
        <w:t>Charter of Budget Honesty Act 1998</w:t>
      </w:r>
      <w:r w:rsidR="006A0B76">
        <w:rPr>
          <w:rFonts w:ascii="Arial" w:hAnsi="Arial" w:cs="Arial"/>
        </w:rPr>
        <w:t xml:space="preserve"> (Cth).</w:t>
      </w:r>
    </w:p>
    <w:p w14:paraId="604A4AEB" w14:textId="77777777" w:rsidR="003836EC" w:rsidRDefault="003836EC" w:rsidP="003836EC">
      <w:pPr>
        <w:widowControl w:val="0"/>
        <w:tabs>
          <w:tab w:val="left" w:pos="2520"/>
        </w:tabs>
        <w:autoSpaceDE w:val="0"/>
        <w:autoSpaceDN w:val="0"/>
        <w:adjustRightInd w:val="0"/>
        <w:spacing w:before="35" w:after="0"/>
        <w:ind w:left="284" w:right="-20"/>
        <w:rPr>
          <w:rFonts w:ascii="Arial" w:hAnsi="Arial" w:cs="Arial"/>
          <w:sz w:val="20"/>
          <w:szCs w:val="20"/>
        </w:rPr>
      </w:pPr>
      <w:r w:rsidRPr="00876FE3">
        <w:rPr>
          <w:rFonts w:ascii="Arial" w:hAnsi="Arial" w:cs="Arial"/>
          <w:b/>
          <w:sz w:val="20"/>
          <w:szCs w:val="20"/>
        </w:rPr>
        <w:tab/>
      </w:r>
      <w:r w:rsidRPr="00876FE3">
        <w:rPr>
          <w:rFonts w:ascii="Arial" w:hAnsi="Arial" w:cs="Arial"/>
          <w:b/>
          <w:sz w:val="20"/>
          <w:szCs w:val="20"/>
        </w:rPr>
        <w:tab/>
      </w:r>
      <w:r w:rsidRPr="00876FE3">
        <w:rPr>
          <w:rFonts w:ascii="Arial" w:hAnsi="Arial" w:cs="Arial"/>
          <w:b/>
          <w:sz w:val="20"/>
          <w:szCs w:val="20"/>
        </w:rPr>
        <w:tab/>
      </w:r>
    </w:p>
    <w:p w14:paraId="1D290173" w14:textId="77777777" w:rsidR="003836EC" w:rsidRDefault="003836EC" w:rsidP="003836EC">
      <w:pPr>
        <w:widowControl w:val="0"/>
        <w:tabs>
          <w:tab w:val="left" w:pos="2520"/>
        </w:tabs>
        <w:autoSpaceDE w:val="0"/>
        <w:autoSpaceDN w:val="0"/>
        <w:adjustRightInd w:val="0"/>
        <w:spacing w:before="35" w:after="0"/>
        <w:ind w:left="284" w:right="-20"/>
        <w:rPr>
          <w:rFonts w:ascii="Arial" w:hAnsi="Arial" w:cs="Arial"/>
          <w:b/>
          <w:sz w:val="21"/>
          <w:szCs w:val="21"/>
        </w:rPr>
      </w:pPr>
      <w:r w:rsidRPr="002F47E6">
        <w:rPr>
          <w:rFonts w:ascii="Arial" w:hAnsi="Arial" w:cs="Arial"/>
          <w:b/>
          <w:sz w:val="21"/>
          <w:szCs w:val="21"/>
        </w:rPr>
        <w:t>Financial Accountabilities:</w:t>
      </w:r>
      <w:r w:rsidR="006A0B76">
        <w:rPr>
          <w:rFonts w:ascii="Arial" w:hAnsi="Arial" w:cs="Arial"/>
          <w:sz w:val="21"/>
          <w:szCs w:val="21"/>
        </w:rPr>
        <w:t xml:space="preserve"> </w:t>
      </w:r>
      <w:r w:rsidR="002475BC">
        <w:rPr>
          <w:rFonts w:ascii="Arial" w:hAnsi="Arial" w:cs="Arial"/>
          <w:sz w:val="21"/>
          <w:szCs w:val="21"/>
        </w:rPr>
        <w:tab/>
      </w:r>
      <w:r w:rsidR="006A0B76">
        <w:rPr>
          <w:rFonts w:ascii="Arial" w:hAnsi="Arial" w:cs="Arial"/>
          <w:sz w:val="21"/>
          <w:szCs w:val="21"/>
        </w:rPr>
        <w:t>Presently nil.</w:t>
      </w:r>
      <w:r w:rsidRPr="002F47E6">
        <w:rPr>
          <w:rFonts w:ascii="Arial" w:hAnsi="Arial" w:cs="Arial"/>
          <w:b/>
          <w:sz w:val="21"/>
          <w:szCs w:val="21"/>
        </w:rPr>
        <w:tab/>
      </w:r>
    </w:p>
    <w:p w14:paraId="492957B8" w14:textId="77777777" w:rsidR="007F0B3D" w:rsidRDefault="007F0B3D" w:rsidP="007F0B3D">
      <w:pPr>
        <w:widowControl w:val="0"/>
        <w:tabs>
          <w:tab w:val="left" w:pos="2520"/>
        </w:tabs>
        <w:autoSpaceDE w:val="0"/>
        <w:autoSpaceDN w:val="0"/>
        <w:adjustRightInd w:val="0"/>
        <w:spacing w:before="35" w:after="0"/>
        <w:ind w:left="284" w:right="-20"/>
        <w:rPr>
          <w:rFonts w:ascii="Arial" w:hAnsi="Arial" w:cs="Arial"/>
          <w:b/>
          <w:sz w:val="20"/>
          <w:szCs w:val="20"/>
        </w:rPr>
      </w:pPr>
    </w:p>
    <w:p w14:paraId="5216F77F" w14:textId="77777777" w:rsidR="006A0B76" w:rsidRDefault="003836EC" w:rsidP="006A0B76">
      <w:pPr>
        <w:widowControl w:val="0"/>
        <w:tabs>
          <w:tab w:val="left" w:pos="2520"/>
        </w:tabs>
        <w:autoSpaceDE w:val="0"/>
        <w:autoSpaceDN w:val="0"/>
        <w:adjustRightInd w:val="0"/>
        <w:spacing w:before="35" w:after="0"/>
        <w:ind w:left="284" w:right="-20"/>
        <w:rPr>
          <w:rFonts w:ascii="Arial" w:hAnsi="Arial" w:cs="Arial"/>
          <w:b/>
          <w:sz w:val="21"/>
          <w:szCs w:val="21"/>
        </w:rPr>
      </w:pPr>
      <w:r w:rsidRPr="002F47E6">
        <w:rPr>
          <w:rFonts w:ascii="Arial" w:hAnsi="Arial" w:cs="Arial"/>
          <w:b/>
          <w:sz w:val="21"/>
          <w:szCs w:val="21"/>
        </w:rPr>
        <w:t>People Accountabilities:</w:t>
      </w:r>
      <w:r>
        <w:rPr>
          <w:rFonts w:ascii="Arial" w:hAnsi="Arial" w:cs="Arial"/>
          <w:b/>
          <w:sz w:val="20"/>
          <w:szCs w:val="20"/>
        </w:rPr>
        <w:tab/>
      </w:r>
      <w:r w:rsidR="002475BC">
        <w:rPr>
          <w:rFonts w:ascii="Arial" w:hAnsi="Arial" w:cs="Arial"/>
          <w:b/>
          <w:sz w:val="20"/>
          <w:szCs w:val="20"/>
        </w:rPr>
        <w:tab/>
      </w:r>
      <w:r w:rsidR="006A0B76">
        <w:rPr>
          <w:rFonts w:ascii="Arial" w:hAnsi="Arial" w:cs="Arial"/>
          <w:sz w:val="21"/>
          <w:szCs w:val="21"/>
        </w:rPr>
        <w:t>Presently nil.</w:t>
      </w:r>
      <w:r w:rsidR="006A0B76" w:rsidRPr="002F47E6">
        <w:rPr>
          <w:rFonts w:ascii="Arial" w:hAnsi="Arial" w:cs="Arial"/>
          <w:b/>
          <w:sz w:val="21"/>
          <w:szCs w:val="21"/>
        </w:rPr>
        <w:tab/>
      </w:r>
    </w:p>
    <w:p w14:paraId="5621B22E" w14:textId="77777777" w:rsidR="003836EC" w:rsidRDefault="003836EC" w:rsidP="003836EC">
      <w:pPr>
        <w:widowControl w:val="0"/>
        <w:tabs>
          <w:tab w:val="left" w:pos="2520"/>
        </w:tabs>
        <w:autoSpaceDE w:val="0"/>
        <w:autoSpaceDN w:val="0"/>
        <w:adjustRightInd w:val="0"/>
        <w:spacing w:before="35" w:after="0"/>
        <w:ind w:left="284" w:right="-20"/>
        <w:rPr>
          <w:rFonts w:ascii="Arial" w:hAnsi="Arial" w:cs="Arial"/>
          <w:b/>
          <w:sz w:val="20"/>
          <w:szCs w:val="20"/>
        </w:rPr>
      </w:pPr>
    </w:p>
    <w:p w14:paraId="65BD6FE4" w14:textId="77777777" w:rsidR="003836EC" w:rsidRDefault="003836EC" w:rsidP="003836EC">
      <w:pPr>
        <w:widowControl w:val="0"/>
        <w:tabs>
          <w:tab w:val="left" w:pos="2520"/>
        </w:tabs>
        <w:autoSpaceDE w:val="0"/>
        <w:autoSpaceDN w:val="0"/>
        <w:adjustRightInd w:val="0"/>
        <w:spacing w:before="35" w:after="0"/>
        <w:ind w:right="-20"/>
        <w:rPr>
          <w:rFonts w:ascii="Arial" w:hAnsi="Arial" w:cs="Arial"/>
          <w:b/>
          <w:sz w:val="20"/>
          <w:szCs w:val="20"/>
        </w:rPr>
      </w:pPr>
    </w:p>
    <w:p w14:paraId="2F7A6E39" w14:textId="77777777" w:rsidR="003836EC" w:rsidRDefault="003836EC" w:rsidP="003836EC">
      <w:pPr>
        <w:widowControl w:val="0"/>
        <w:tabs>
          <w:tab w:val="left" w:pos="2520"/>
        </w:tabs>
        <w:autoSpaceDE w:val="0"/>
        <w:autoSpaceDN w:val="0"/>
        <w:adjustRightInd w:val="0"/>
        <w:spacing w:before="35" w:after="0" w:line="360" w:lineRule="auto"/>
        <w:ind w:left="262" w:right="-20"/>
        <w:rPr>
          <w:rFonts w:ascii="Arial" w:hAnsi="Arial" w:cs="Arial"/>
          <w:b/>
          <w:sz w:val="18"/>
          <w:szCs w:val="18"/>
        </w:rPr>
      </w:pPr>
      <w:r>
        <w:rPr>
          <w:rFonts w:ascii="Arial" w:hAnsi="Arial" w:cs="Arial"/>
          <w:b/>
          <w:sz w:val="18"/>
          <w:szCs w:val="18"/>
        </w:rPr>
        <w:t xml:space="preserve"> </w:t>
      </w:r>
      <w:r w:rsidRPr="003836EC">
        <w:rPr>
          <w:rFonts w:ascii="Arial" w:hAnsi="Arial" w:cs="Arial"/>
          <w:b/>
          <w:sz w:val="20"/>
          <w:szCs w:val="20"/>
        </w:rPr>
        <w:t>Key Relationships</w:t>
      </w:r>
      <w:r>
        <w:rPr>
          <w:rFonts w:ascii="Arial" w:hAnsi="Arial" w:cs="Arial"/>
          <w:b/>
          <w:sz w:val="20"/>
          <w:szCs w:val="20"/>
        </w:rPr>
        <w:t>:</w:t>
      </w:r>
    </w:p>
    <w:p w14:paraId="06E345DF" w14:textId="77777777" w:rsidR="006A0B76" w:rsidRPr="006A0B76" w:rsidRDefault="003836EC" w:rsidP="006A0B76">
      <w:pPr>
        <w:widowControl w:val="0"/>
        <w:autoSpaceDE w:val="0"/>
        <w:autoSpaceDN w:val="0"/>
        <w:adjustRightInd w:val="0"/>
        <w:spacing w:before="34" w:after="0" w:line="240" w:lineRule="auto"/>
        <w:ind w:left="2160" w:right="-20" w:hanging="1440"/>
        <w:rPr>
          <w:rFonts w:ascii="Arial" w:hAnsi="Arial" w:cs="Arial"/>
          <w:bCs/>
          <w:sz w:val="18"/>
          <w:szCs w:val="18"/>
        </w:rPr>
      </w:pPr>
      <w:r w:rsidRPr="003836EC">
        <w:rPr>
          <w:rFonts w:ascii="Arial" w:hAnsi="Arial" w:cs="Arial"/>
          <w:b/>
          <w:bCs/>
          <w:sz w:val="18"/>
          <w:szCs w:val="18"/>
        </w:rPr>
        <w:t>Interna</w:t>
      </w:r>
      <w:r w:rsidRPr="003836EC">
        <w:rPr>
          <w:rFonts w:ascii="Arial" w:hAnsi="Arial" w:cs="Arial"/>
          <w:b/>
          <w:bCs/>
          <w:spacing w:val="-2"/>
          <w:sz w:val="18"/>
          <w:szCs w:val="18"/>
        </w:rPr>
        <w:t>l</w:t>
      </w:r>
      <w:r w:rsidRPr="003836EC">
        <w:rPr>
          <w:rFonts w:ascii="Arial" w:hAnsi="Arial" w:cs="Arial"/>
          <w:b/>
          <w:bCs/>
          <w:sz w:val="18"/>
          <w:szCs w:val="18"/>
        </w:rPr>
        <w:t>:</w:t>
      </w:r>
      <w:r w:rsidRPr="003836EC">
        <w:rPr>
          <w:rFonts w:ascii="Arial" w:hAnsi="Arial" w:cs="Arial"/>
          <w:b/>
          <w:bCs/>
          <w:sz w:val="18"/>
          <w:szCs w:val="18"/>
        </w:rPr>
        <w:tab/>
      </w:r>
      <w:r w:rsidR="006A0B76" w:rsidRPr="006A0B76">
        <w:rPr>
          <w:rFonts w:ascii="Arial" w:hAnsi="Arial" w:cs="Arial"/>
          <w:bCs/>
          <w:sz w:val="18"/>
          <w:szCs w:val="18"/>
        </w:rPr>
        <w:t>All Commission Directors &amp; Executive Directors, particularly those in regulatory policy and operational areas</w:t>
      </w:r>
    </w:p>
    <w:p w14:paraId="57FC2239" w14:textId="77777777" w:rsidR="006A0B76" w:rsidRDefault="006A0B76" w:rsidP="003836EC">
      <w:pPr>
        <w:widowControl w:val="0"/>
        <w:autoSpaceDE w:val="0"/>
        <w:autoSpaceDN w:val="0"/>
        <w:adjustRightInd w:val="0"/>
        <w:spacing w:before="34" w:after="0" w:line="240" w:lineRule="auto"/>
        <w:ind w:left="1274" w:right="-20" w:hanging="978"/>
        <w:rPr>
          <w:rFonts w:ascii="Arial" w:hAnsi="Arial" w:cs="Arial"/>
          <w:bCs/>
          <w:sz w:val="18"/>
          <w:szCs w:val="18"/>
        </w:rPr>
      </w:pPr>
      <w:r w:rsidRPr="006A0B76">
        <w:rPr>
          <w:rFonts w:ascii="Arial" w:hAnsi="Arial" w:cs="Arial"/>
          <w:bCs/>
          <w:sz w:val="18"/>
          <w:szCs w:val="18"/>
        </w:rPr>
        <w:tab/>
      </w:r>
      <w:r w:rsidRPr="006A0B76">
        <w:rPr>
          <w:rFonts w:ascii="Arial" w:hAnsi="Arial" w:cs="Arial"/>
          <w:bCs/>
          <w:sz w:val="18"/>
          <w:szCs w:val="18"/>
        </w:rPr>
        <w:tab/>
      </w:r>
      <w:r w:rsidRPr="006A0B76">
        <w:rPr>
          <w:rFonts w:ascii="Arial" w:hAnsi="Arial" w:cs="Arial"/>
          <w:bCs/>
          <w:sz w:val="18"/>
          <w:szCs w:val="18"/>
        </w:rPr>
        <w:tab/>
        <w:t>Director, Financial Accounting</w:t>
      </w:r>
    </w:p>
    <w:p w14:paraId="7EB9D6F8" w14:textId="77777777" w:rsidR="006A0B76" w:rsidRPr="006A0B76" w:rsidRDefault="006A0B76" w:rsidP="003836EC">
      <w:pPr>
        <w:widowControl w:val="0"/>
        <w:autoSpaceDE w:val="0"/>
        <w:autoSpaceDN w:val="0"/>
        <w:adjustRightInd w:val="0"/>
        <w:spacing w:before="34" w:after="0" w:line="240" w:lineRule="auto"/>
        <w:ind w:left="1274" w:right="-20" w:hanging="978"/>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t>Assistant Director, Decision Support</w:t>
      </w:r>
    </w:p>
    <w:p w14:paraId="3A78E85F" w14:textId="77777777" w:rsidR="003836EC" w:rsidRPr="003836EC" w:rsidRDefault="006A0B76" w:rsidP="003836EC">
      <w:pPr>
        <w:widowControl w:val="0"/>
        <w:autoSpaceDE w:val="0"/>
        <w:autoSpaceDN w:val="0"/>
        <w:adjustRightInd w:val="0"/>
        <w:spacing w:before="34" w:after="0" w:line="240" w:lineRule="auto"/>
        <w:ind w:left="1274" w:right="-20" w:hanging="978"/>
        <w:rPr>
          <w:rFonts w:ascii="Arial" w:hAnsi="Arial" w:cs="Arial"/>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3836EC" w:rsidRPr="003836EC">
        <w:rPr>
          <w:rFonts w:ascii="Arial" w:hAnsi="Arial" w:cs="Arial"/>
          <w:b/>
          <w:bCs/>
          <w:sz w:val="18"/>
          <w:szCs w:val="18"/>
        </w:rPr>
        <w:tab/>
      </w:r>
      <w:r w:rsidR="003836EC" w:rsidRPr="003836EC">
        <w:rPr>
          <w:rFonts w:ascii="Arial" w:hAnsi="Arial" w:cs="Arial"/>
          <w:b/>
          <w:bCs/>
          <w:sz w:val="18"/>
          <w:szCs w:val="18"/>
        </w:rPr>
        <w:tab/>
      </w:r>
    </w:p>
    <w:p w14:paraId="4B775D27" w14:textId="77777777" w:rsidR="006A0B76" w:rsidRDefault="006A0B76" w:rsidP="006A0B76">
      <w:pPr>
        <w:widowControl w:val="0"/>
        <w:autoSpaceDE w:val="0"/>
        <w:autoSpaceDN w:val="0"/>
        <w:adjustRightInd w:val="0"/>
        <w:spacing w:before="34" w:after="0" w:line="240" w:lineRule="auto"/>
        <w:ind w:left="2160" w:right="-20" w:hanging="1440"/>
        <w:rPr>
          <w:rFonts w:ascii="Arial" w:hAnsi="Arial" w:cs="Arial"/>
          <w:b/>
          <w:bCs/>
          <w:sz w:val="18"/>
          <w:szCs w:val="18"/>
        </w:rPr>
      </w:pPr>
      <w:r>
        <w:rPr>
          <w:rFonts w:ascii="Arial" w:hAnsi="Arial" w:cs="Arial"/>
          <w:b/>
          <w:bCs/>
          <w:sz w:val="18"/>
          <w:szCs w:val="18"/>
        </w:rPr>
        <w:t>External</w:t>
      </w:r>
      <w:r w:rsidRPr="003836EC">
        <w:rPr>
          <w:rFonts w:ascii="Arial" w:hAnsi="Arial" w:cs="Arial"/>
          <w:b/>
          <w:bCs/>
          <w:sz w:val="18"/>
          <w:szCs w:val="18"/>
        </w:rPr>
        <w:t>:</w:t>
      </w:r>
      <w:r w:rsidRPr="003836EC">
        <w:rPr>
          <w:rFonts w:ascii="Arial" w:hAnsi="Arial" w:cs="Arial"/>
          <w:b/>
          <w:bCs/>
          <w:sz w:val="18"/>
          <w:szCs w:val="18"/>
        </w:rPr>
        <w:tab/>
      </w:r>
      <w:r w:rsidRPr="006A0B76">
        <w:rPr>
          <w:rFonts w:ascii="Arial" w:hAnsi="Arial" w:cs="Arial"/>
          <w:bCs/>
          <w:sz w:val="18"/>
          <w:szCs w:val="18"/>
        </w:rPr>
        <w:t>Industry stakeholders impacted by the Commission’s Cost Recovery Implementation Statements</w:t>
      </w:r>
    </w:p>
    <w:p w14:paraId="3D3D7670" w14:textId="77777777" w:rsidR="006A0B76" w:rsidRDefault="006A0B76" w:rsidP="006A0B76">
      <w:pPr>
        <w:widowControl w:val="0"/>
        <w:autoSpaceDE w:val="0"/>
        <w:autoSpaceDN w:val="0"/>
        <w:adjustRightInd w:val="0"/>
        <w:spacing w:before="34" w:after="0" w:line="240" w:lineRule="auto"/>
        <w:ind w:left="2160" w:right="-20"/>
        <w:rPr>
          <w:rFonts w:ascii="Arial" w:hAnsi="Arial" w:cs="Arial"/>
          <w:bCs/>
          <w:sz w:val="18"/>
          <w:szCs w:val="18"/>
        </w:rPr>
      </w:pPr>
      <w:r>
        <w:rPr>
          <w:rFonts w:ascii="Arial" w:hAnsi="Arial" w:cs="Arial"/>
          <w:bCs/>
          <w:sz w:val="18"/>
          <w:szCs w:val="18"/>
        </w:rPr>
        <w:t>Department of Health</w:t>
      </w:r>
    </w:p>
    <w:p w14:paraId="79F57549" w14:textId="77777777" w:rsidR="006A0B76" w:rsidRPr="006A0B76" w:rsidRDefault="006A0B76" w:rsidP="006A0B76">
      <w:pPr>
        <w:widowControl w:val="0"/>
        <w:autoSpaceDE w:val="0"/>
        <w:autoSpaceDN w:val="0"/>
        <w:adjustRightInd w:val="0"/>
        <w:spacing w:before="34" w:after="0" w:line="240" w:lineRule="auto"/>
        <w:ind w:left="2160" w:right="-20" w:hanging="1440"/>
        <w:rPr>
          <w:rFonts w:ascii="Arial" w:hAnsi="Arial" w:cs="Arial"/>
          <w:bCs/>
          <w:sz w:val="18"/>
          <w:szCs w:val="18"/>
        </w:rPr>
      </w:pPr>
      <w:r w:rsidRPr="006A0B76">
        <w:rPr>
          <w:rFonts w:ascii="Arial" w:hAnsi="Arial" w:cs="Arial"/>
          <w:bCs/>
          <w:sz w:val="18"/>
          <w:szCs w:val="18"/>
        </w:rPr>
        <w:tab/>
        <w:t>Department of Finance</w:t>
      </w:r>
    </w:p>
    <w:p w14:paraId="58A1601D" w14:textId="77777777" w:rsidR="00722806" w:rsidRDefault="00275B4B" w:rsidP="00830873">
      <w:pPr>
        <w:widowControl w:val="0"/>
        <w:autoSpaceDE w:val="0"/>
        <w:autoSpaceDN w:val="0"/>
        <w:adjustRightInd w:val="0"/>
        <w:spacing w:after="0" w:line="240" w:lineRule="auto"/>
        <w:ind w:left="502"/>
        <w:rPr>
          <w:rFonts w:ascii="Arial" w:hAnsi="Arial" w:cs="Arial"/>
          <w:color w:val="585858"/>
          <w:sz w:val="20"/>
          <w:szCs w:val="20"/>
        </w:rPr>
      </w:pPr>
      <w:r>
        <w:rPr>
          <w:rFonts w:ascii="Arial" w:hAnsi="Arial" w:cs="Arial"/>
          <w:color w:val="585858"/>
          <w:sz w:val="20"/>
          <w:szCs w:val="20"/>
        </w:rPr>
        <w:br w:type="page"/>
      </w:r>
    </w:p>
    <w:p w14:paraId="41F11645"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8F037D2"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129A5C91"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6DDE205"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789"/>
        <w:gridCol w:w="4758"/>
      </w:tblGrid>
      <w:tr w:rsidR="00735DFD" w:rsidRPr="00735DFD" w14:paraId="76916F47" w14:textId="77777777" w:rsidTr="00735DFD">
        <w:tc>
          <w:tcPr>
            <w:tcW w:w="0" w:type="auto"/>
            <w:shd w:val="clear" w:color="auto" w:fill="95B3D7"/>
          </w:tcPr>
          <w:p w14:paraId="4934AE43"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r w:rsidRPr="00735DFD">
              <w:rPr>
                <w:rFonts w:ascii="Arial" w:hAnsi="Arial" w:cs="Arial"/>
                <w:b/>
                <w:color w:val="000000"/>
                <w:sz w:val="18"/>
                <w:szCs w:val="18"/>
              </w:rPr>
              <w:t xml:space="preserve">Capability </w:t>
            </w:r>
          </w:p>
        </w:tc>
        <w:tc>
          <w:tcPr>
            <w:tcW w:w="3789" w:type="dxa"/>
            <w:shd w:val="clear" w:color="auto" w:fill="95B3D7"/>
          </w:tcPr>
          <w:p w14:paraId="050E0F05" w14:textId="77777777" w:rsidR="005B33EC" w:rsidRPr="00735DFD" w:rsidRDefault="005B33EC" w:rsidP="00735DFD">
            <w:pPr>
              <w:widowControl w:val="0"/>
              <w:autoSpaceDE w:val="0"/>
              <w:autoSpaceDN w:val="0"/>
              <w:adjustRightInd w:val="0"/>
              <w:spacing w:before="80" w:after="0" w:line="240" w:lineRule="auto"/>
              <w:jc w:val="both"/>
              <w:rPr>
                <w:rFonts w:ascii="Arial" w:hAnsi="Arial" w:cs="Arial"/>
                <w:b/>
                <w:color w:val="000000"/>
                <w:sz w:val="18"/>
                <w:szCs w:val="18"/>
              </w:rPr>
            </w:pPr>
            <w:r w:rsidRPr="00735DFD">
              <w:rPr>
                <w:rFonts w:ascii="Arial" w:hAnsi="Arial" w:cs="Arial"/>
                <w:b/>
                <w:color w:val="000000"/>
                <w:sz w:val="18"/>
                <w:szCs w:val="18"/>
              </w:rPr>
              <w:t>Description</w:t>
            </w:r>
          </w:p>
        </w:tc>
        <w:tc>
          <w:tcPr>
            <w:tcW w:w="4758" w:type="dxa"/>
            <w:shd w:val="clear" w:color="auto" w:fill="95B3D7"/>
          </w:tcPr>
          <w:p w14:paraId="0762DBA8" w14:textId="77777777" w:rsidR="005B33EC" w:rsidRPr="00735DFD" w:rsidRDefault="005B33EC" w:rsidP="00735DFD">
            <w:pPr>
              <w:widowControl w:val="0"/>
              <w:autoSpaceDE w:val="0"/>
              <w:autoSpaceDN w:val="0"/>
              <w:adjustRightInd w:val="0"/>
              <w:spacing w:before="80" w:after="0" w:line="240" w:lineRule="auto"/>
              <w:jc w:val="both"/>
              <w:rPr>
                <w:rFonts w:ascii="Arial" w:hAnsi="Arial" w:cs="Arial"/>
                <w:b/>
                <w:color w:val="000000"/>
                <w:sz w:val="18"/>
                <w:szCs w:val="18"/>
              </w:rPr>
            </w:pPr>
            <w:r w:rsidRPr="00735DFD">
              <w:rPr>
                <w:rFonts w:ascii="Arial" w:hAnsi="Arial" w:cs="Arial"/>
                <w:b/>
                <w:color w:val="000000"/>
                <w:sz w:val="18"/>
                <w:szCs w:val="18"/>
              </w:rPr>
              <w:t>Behaviour Indicators</w:t>
            </w:r>
          </w:p>
        </w:tc>
      </w:tr>
      <w:tr w:rsidR="00735DFD" w:rsidRPr="00735DFD" w14:paraId="2C91899E" w14:textId="77777777" w:rsidTr="00735DFD">
        <w:tc>
          <w:tcPr>
            <w:tcW w:w="0" w:type="auto"/>
            <w:tcBorders>
              <w:left w:val="dotted" w:sz="4" w:space="0" w:color="auto"/>
              <w:bottom w:val="dotted" w:sz="4" w:space="0" w:color="auto"/>
              <w:right w:val="dotted" w:sz="4" w:space="0" w:color="auto"/>
            </w:tcBorders>
            <w:shd w:val="clear" w:color="auto" w:fill="auto"/>
          </w:tcPr>
          <w:p w14:paraId="44670049"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r w:rsidRPr="00735DFD">
              <w:rPr>
                <w:rFonts w:ascii="Arial" w:hAnsi="Arial" w:cs="Arial"/>
                <w:b/>
                <w:color w:val="000000"/>
                <w:sz w:val="18"/>
                <w:szCs w:val="18"/>
              </w:rPr>
              <w:t>Supports Strategic Direction</w:t>
            </w:r>
          </w:p>
        </w:tc>
        <w:tc>
          <w:tcPr>
            <w:tcW w:w="3789" w:type="dxa"/>
            <w:tcBorders>
              <w:left w:val="dotted" w:sz="4" w:space="0" w:color="auto"/>
              <w:bottom w:val="dotted" w:sz="4" w:space="0" w:color="auto"/>
              <w:right w:val="dotted" w:sz="4" w:space="0" w:color="auto"/>
            </w:tcBorders>
            <w:shd w:val="clear" w:color="auto" w:fill="auto"/>
          </w:tcPr>
          <w:p w14:paraId="3E82D659"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Inspires a sense of purpose and direction</w:t>
            </w:r>
          </w:p>
        </w:tc>
        <w:tc>
          <w:tcPr>
            <w:tcW w:w="4758" w:type="dxa"/>
            <w:tcBorders>
              <w:left w:val="dotted" w:sz="4" w:space="0" w:color="auto"/>
              <w:bottom w:val="dotted" w:sz="4" w:space="0" w:color="auto"/>
              <w:right w:val="dotted" w:sz="4" w:space="0" w:color="auto"/>
            </w:tcBorders>
            <w:shd w:val="clear" w:color="auto" w:fill="auto"/>
          </w:tcPr>
          <w:p w14:paraId="3C65E867"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tc>
      </w:tr>
      <w:tr w:rsidR="00735DFD" w:rsidRPr="00735DFD" w14:paraId="69C7A3F1"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66592FD6"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068D22DA"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Focuses strategically</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6F7EAD34" w14:textId="77777777" w:rsidR="005B33EC" w:rsidRPr="00735DFD" w:rsidRDefault="00E9673A" w:rsidP="00735DFD">
            <w:pPr>
              <w:widowControl w:val="0"/>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Understands the organisation's objectives and aligns operational activities accordingly. Considers the ramifications of issues and longer-term impact of own work and work area</w:t>
            </w:r>
          </w:p>
        </w:tc>
      </w:tr>
      <w:tr w:rsidR="00735DFD" w:rsidRPr="00735DFD" w14:paraId="14618FC2"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2AE93EBA"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511827CE"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 xml:space="preserve">Harnesses Information </w:t>
            </w:r>
            <w:r w:rsidR="00FA4C17" w:rsidRPr="00735DFD">
              <w:rPr>
                <w:rFonts w:ascii="Arial" w:hAnsi="Arial" w:cs="Arial"/>
                <w:color w:val="000000"/>
                <w:sz w:val="18"/>
                <w:szCs w:val="18"/>
              </w:rPr>
              <w:t>a</w:t>
            </w:r>
            <w:r w:rsidRPr="00735DFD">
              <w:rPr>
                <w:rFonts w:ascii="Arial" w:hAnsi="Arial" w:cs="Arial"/>
                <w:color w:val="000000"/>
                <w:sz w:val="18"/>
                <w:szCs w:val="18"/>
              </w:rPr>
              <w:t>nd Opportunities</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26BBF98E"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Gathers and investigates information from a variety of sources, and explores new ideas and different viewpoints. Probes information and identifies any critical gaps. Maintains an awareness of the organisation, monitors the context in which the organisation operates and finds out about best practice approaches.</w:t>
            </w:r>
          </w:p>
        </w:tc>
      </w:tr>
      <w:tr w:rsidR="00735DFD" w:rsidRPr="00735DFD" w14:paraId="75BB18D8" w14:textId="77777777" w:rsidTr="00735DFD">
        <w:tc>
          <w:tcPr>
            <w:tcW w:w="0" w:type="auto"/>
            <w:tcBorders>
              <w:top w:val="dotted" w:sz="4" w:space="0" w:color="auto"/>
              <w:left w:val="dotted" w:sz="4" w:space="0" w:color="auto"/>
              <w:bottom w:val="single" w:sz="18" w:space="0" w:color="auto"/>
              <w:right w:val="dotted" w:sz="4" w:space="0" w:color="auto"/>
            </w:tcBorders>
            <w:shd w:val="clear" w:color="auto" w:fill="auto"/>
          </w:tcPr>
          <w:p w14:paraId="7DD4D0C7"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shd w:val="clear" w:color="auto" w:fill="auto"/>
          </w:tcPr>
          <w:p w14:paraId="685A512F" w14:textId="77777777" w:rsidR="005B33EC" w:rsidRPr="00735DFD" w:rsidRDefault="00FA4C17"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 xml:space="preserve">Shows </w:t>
            </w:r>
            <w:r w:rsidR="005B33EC" w:rsidRPr="00735DFD">
              <w:rPr>
                <w:rFonts w:ascii="Arial" w:hAnsi="Arial" w:cs="Arial"/>
                <w:color w:val="000000"/>
                <w:sz w:val="18"/>
                <w:szCs w:val="18"/>
              </w:rPr>
              <w:t>Judgement, Intelligence and common sense</w:t>
            </w:r>
          </w:p>
        </w:tc>
        <w:tc>
          <w:tcPr>
            <w:tcW w:w="4758" w:type="dxa"/>
            <w:tcBorders>
              <w:top w:val="dotted" w:sz="4" w:space="0" w:color="auto"/>
              <w:left w:val="dotted" w:sz="4" w:space="0" w:color="auto"/>
              <w:bottom w:val="single" w:sz="18" w:space="0" w:color="auto"/>
              <w:right w:val="dotted" w:sz="4" w:space="0" w:color="auto"/>
            </w:tcBorders>
            <w:shd w:val="clear" w:color="auto" w:fill="auto"/>
          </w:tcPr>
          <w:p w14:paraId="6BE971AE"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r>
      <w:tr w:rsidR="00735DFD" w:rsidRPr="00735DFD" w14:paraId="11CE7D45" w14:textId="77777777" w:rsidTr="00735DFD">
        <w:tc>
          <w:tcPr>
            <w:tcW w:w="0" w:type="auto"/>
            <w:tcBorders>
              <w:top w:val="single" w:sz="18" w:space="0" w:color="auto"/>
              <w:left w:val="dotted" w:sz="4" w:space="0" w:color="auto"/>
              <w:bottom w:val="dotted" w:sz="4" w:space="0" w:color="auto"/>
              <w:right w:val="dotted" w:sz="4" w:space="0" w:color="auto"/>
            </w:tcBorders>
            <w:shd w:val="clear" w:color="auto" w:fill="auto"/>
          </w:tcPr>
          <w:p w14:paraId="25B50165"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b/>
                <w:color w:val="000000"/>
                <w:sz w:val="18"/>
                <w:szCs w:val="18"/>
              </w:rPr>
              <w:t>Achieves Results</w:t>
            </w:r>
          </w:p>
        </w:tc>
        <w:tc>
          <w:tcPr>
            <w:tcW w:w="3789" w:type="dxa"/>
            <w:tcBorders>
              <w:top w:val="single" w:sz="18" w:space="0" w:color="auto"/>
              <w:left w:val="dotted" w:sz="4" w:space="0" w:color="auto"/>
              <w:bottom w:val="dotted" w:sz="4" w:space="0" w:color="auto"/>
              <w:right w:val="dotted" w:sz="4" w:space="0" w:color="auto"/>
            </w:tcBorders>
            <w:shd w:val="clear" w:color="auto" w:fill="auto"/>
          </w:tcPr>
          <w:p w14:paraId="2C033AF6"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Builds organisational capability and responsiveness</w:t>
            </w:r>
          </w:p>
        </w:tc>
        <w:tc>
          <w:tcPr>
            <w:tcW w:w="4758" w:type="dxa"/>
            <w:tcBorders>
              <w:top w:val="single" w:sz="18" w:space="0" w:color="auto"/>
              <w:left w:val="dotted" w:sz="4" w:space="0" w:color="auto"/>
              <w:bottom w:val="dotted" w:sz="4" w:space="0" w:color="auto"/>
              <w:right w:val="dotted" w:sz="4" w:space="0" w:color="auto"/>
            </w:tcBorders>
            <w:shd w:val="clear" w:color="auto" w:fill="auto"/>
          </w:tcPr>
          <w:p w14:paraId="12F9BCD9"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Reviews project performance and focuses on identifying opportunities for continuous improvement. Identifies key talent to support performance. Remains flexible and responsive to changes in requirements.</w:t>
            </w:r>
          </w:p>
        </w:tc>
      </w:tr>
      <w:tr w:rsidR="00735DFD" w:rsidRPr="00735DFD" w14:paraId="6B7B0782"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39A86887"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0CBEE02F"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Marshals professional expertise</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11AB1616" w14:textId="77777777" w:rsidR="005B33EC" w:rsidRPr="00735DFD" w:rsidRDefault="00E9673A" w:rsidP="00735DFD">
            <w:pPr>
              <w:widowControl w:val="0"/>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Values specialist expertise and capitalises on the expert knowledge and skills of others. Contributes own expertise to achieve outcomes for the business unit.</w:t>
            </w:r>
          </w:p>
        </w:tc>
      </w:tr>
      <w:tr w:rsidR="00735DFD" w:rsidRPr="00735DFD" w14:paraId="7EE9411C"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69DBE4EF"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33EA9571"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Steers and implements change and deals with uncertainty</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4973EA1D"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735DFD" w:rsidRPr="00735DFD" w14:paraId="3399B5CE" w14:textId="77777777" w:rsidTr="00735DFD">
        <w:tc>
          <w:tcPr>
            <w:tcW w:w="0" w:type="auto"/>
            <w:tcBorders>
              <w:top w:val="dotted" w:sz="4" w:space="0" w:color="auto"/>
              <w:left w:val="dotted" w:sz="4" w:space="0" w:color="auto"/>
              <w:bottom w:val="single" w:sz="18" w:space="0" w:color="auto"/>
              <w:right w:val="dotted" w:sz="4" w:space="0" w:color="auto"/>
            </w:tcBorders>
            <w:shd w:val="clear" w:color="auto" w:fill="auto"/>
          </w:tcPr>
          <w:p w14:paraId="5573C28F"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shd w:val="clear" w:color="auto" w:fill="auto"/>
          </w:tcPr>
          <w:p w14:paraId="54FBDDA9"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Ensures closures and delivers on intended results</w:t>
            </w:r>
          </w:p>
        </w:tc>
        <w:tc>
          <w:tcPr>
            <w:tcW w:w="4758" w:type="dxa"/>
            <w:tcBorders>
              <w:top w:val="dotted" w:sz="4" w:space="0" w:color="auto"/>
              <w:left w:val="dotted" w:sz="4" w:space="0" w:color="auto"/>
              <w:bottom w:val="single" w:sz="18" w:space="0" w:color="auto"/>
              <w:right w:val="dotted" w:sz="4" w:space="0" w:color="auto"/>
            </w:tcBorders>
            <w:shd w:val="clear" w:color="auto" w:fill="auto"/>
          </w:tcPr>
          <w:p w14:paraId="5D7383F2"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735DFD" w:rsidRPr="00735DFD" w14:paraId="05F64E95" w14:textId="77777777" w:rsidTr="00735DFD">
        <w:tc>
          <w:tcPr>
            <w:tcW w:w="0" w:type="auto"/>
            <w:tcBorders>
              <w:top w:val="single" w:sz="18" w:space="0" w:color="auto"/>
              <w:left w:val="dotted" w:sz="4" w:space="0" w:color="auto"/>
              <w:bottom w:val="dotted" w:sz="4" w:space="0" w:color="auto"/>
              <w:right w:val="dotted" w:sz="4" w:space="0" w:color="auto"/>
            </w:tcBorders>
            <w:shd w:val="clear" w:color="auto" w:fill="auto"/>
          </w:tcPr>
          <w:p w14:paraId="2AE05FFA"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r w:rsidRPr="00735DFD">
              <w:rPr>
                <w:rFonts w:ascii="Arial" w:hAnsi="Arial" w:cs="Arial"/>
                <w:b/>
                <w:color w:val="000000"/>
                <w:sz w:val="18"/>
                <w:szCs w:val="18"/>
              </w:rPr>
              <w:t>Cultivates productive working relationships</w:t>
            </w:r>
          </w:p>
        </w:tc>
        <w:tc>
          <w:tcPr>
            <w:tcW w:w="3789" w:type="dxa"/>
            <w:tcBorders>
              <w:top w:val="single" w:sz="18" w:space="0" w:color="auto"/>
              <w:left w:val="dotted" w:sz="4" w:space="0" w:color="auto"/>
              <w:bottom w:val="dotted" w:sz="4" w:space="0" w:color="auto"/>
              <w:right w:val="dotted" w:sz="4" w:space="0" w:color="auto"/>
            </w:tcBorders>
            <w:shd w:val="clear" w:color="auto" w:fill="auto"/>
          </w:tcPr>
          <w:p w14:paraId="7CCEBFE0"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333333"/>
                <w:sz w:val="18"/>
                <w:szCs w:val="18"/>
              </w:rPr>
            </w:pPr>
            <w:r w:rsidRPr="00735DFD">
              <w:rPr>
                <w:rFonts w:ascii="Arial" w:hAnsi="Arial" w:cs="Arial"/>
                <w:color w:val="333333"/>
                <w:sz w:val="18"/>
                <w:szCs w:val="18"/>
              </w:rPr>
              <w:t>Nurtures internal and external relationships</w:t>
            </w:r>
          </w:p>
        </w:tc>
        <w:tc>
          <w:tcPr>
            <w:tcW w:w="4758" w:type="dxa"/>
            <w:tcBorders>
              <w:top w:val="single" w:sz="18" w:space="0" w:color="auto"/>
              <w:left w:val="dotted" w:sz="4" w:space="0" w:color="auto"/>
              <w:bottom w:val="dotted" w:sz="4" w:space="0" w:color="auto"/>
              <w:right w:val="dotted" w:sz="4" w:space="0" w:color="auto"/>
            </w:tcBorders>
            <w:shd w:val="clear" w:color="auto" w:fill="auto"/>
          </w:tcPr>
          <w:p w14:paraId="22A3EE36"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Builds and sustains relationships with a network of key people internally and externally. Proactively offers assistance for a mutually beneficial relationship</w:t>
            </w:r>
            <w:r w:rsidRPr="00735DFD">
              <w:rPr>
                <w:rStyle w:val="Emphasis"/>
                <w:rFonts w:ascii="Arial" w:hAnsi="Arial" w:cs="Arial"/>
                <w:iCs/>
                <w:color w:val="333333"/>
                <w:sz w:val="18"/>
                <w:szCs w:val="18"/>
              </w:rPr>
              <w:t>.</w:t>
            </w:r>
            <w:r w:rsidRPr="00735DFD">
              <w:rPr>
                <w:rFonts w:ascii="Arial" w:hAnsi="Arial" w:cs="Arial"/>
                <w:color w:val="333333"/>
                <w:sz w:val="18"/>
                <w:szCs w:val="18"/>
              </w:rPr>
              <w:t xml:space="preserve"> Anticipates and is responsive to internal and external client needs.</w:t>
            </w:r>
          </w:p>
        </w:tc>
      </w:tr>
      <w:tr w:rsidR="00735DFD" w:rsidRPr="00735DFD" w14:paraId="2AA789B6"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5531701C"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64A6D509" w14:textId="77777777" w:rsidR="005B33EC" w:rsidRPr="00735DFD" w:rsidRDefault="00FA4C17" w:rsidP="00735DFD">
            <w:pPr>
              <w:widowControl w:val="0"/>
              <w:autoSpaceDE w:val="0"/>
              <w:autoSpaceDN w:val="0"/>
              <w:adjustRightInd w:val="0"/>
              <w:spacing w:before="80" w:after="0" w:line="240" w:lineRule="auto"/>
              <w:rPr>
                <w:rFonts w:ascii="Arial" w:hAnsi="Arial" w:cs="Arial"/>
                <w:color w:val="333333"/>
                <w:sz w:val="18"/>
                <w:szCs w:val="18"/>
              </w:rPr>
            </w:pPr>
            <w:r w:rsidRPr="00735DFD">
              <w:rPr>
                <w:rFonts w:ascii="Arial" w:hAnsi="Arial" w:cs="Arial"/>
                <w:color w:val="333333"/>
                <w:sz w:val="18"/>
                <w:szCs w:val="18"/>
              </w:rPr>
              <w:t xml:space="preserve">Facilitates </w:t>
            </w:r>
            <w:r w:rsidR="005B33EC" w:rsidRPr="00735DFD">
              <w:rPr>
                <w:rFonts w:ascii="Arial" w:hAnsi="Arial" w:cs="Arial"/>
                <w:color w:val="333333"/>
                <w:sz w:val="18"/>
                <w:szCs w:val="18"/>
              </w:rPr>
              <w:t>cooperation and partnerships</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6F47A590" w14:textId="77777777" w:rsidR="005B33EC" w:rsidRPr="00735DFD" w:rsidRDefault="00E9673A" w:rsidP="00735DFD">
            <w:pPr>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Involves people, encourages them and recognises their contribution. Consults and shares information and ensures others are kept informed of issues. Works collaboratively and operates as an effective team member.</w:t>
            </w:r>
          </w:p>
        </w:tc>
      </w:tr>
      <w:tr w:rsidR="00735DFD" w:rsidRPr="00735DFD" w14:paraId="5DC3CE44"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785AE374"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51D4DF43" w14:textId="77777777" w:rsidR="00FA4C17"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Values</w:t>
            </w:r>
            <w:r w:rsidR="00FA4C17" w:rsidRPr="00735DFD">
              <w:rPr>
                <w:rFonts w:ascii="Arial" w:hAnsi="Arial" w:cs="Arial"/>
                <w:color w:val="000000"/>
                <w:sz w:val="18"/>
                <w:szCs w:val="18"/>
              </w:rPr>
              <w:t xml:space="preserve"> </w:t>
            </w:r>
            <w:r w:rsidRPr="00735DFD">
              <w:rPr>
                <w:rFonts w:ascii="Arial" w:hAnsi="Arial" w:cs="Arial"/>
                <w:color w:val="000000"/>
                <w:sz w:val="18"/>
                <w:szCs w:val="18"/>
              </w:rPr>
              <w:t xml:space="preserve">individual </w:t>
            </w:r>
          </w:p>
          <w:p w14:paraId="6E85EC92"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differences and diversity</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22D19813"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Recognises the positive benefits that can be gained from diversity and encourages the exploration of diverse views. Harnesses understanding of differences to enhance interactions. Recognises the different working styles of individuals, and tries to see things from different perspectives.</w:t>
            </w:r>
          </w:p>
        </w:tc>
      </w:tr>
      <w:tr w:rsidR="00735DFD" w:rsidRPr="00735DFD" w14:paraId="30B9B599" w14:textId="77777777" w:rsidTr="00735DFD">
        <w:tc>
          <w:tcPr>
            <w:tcW w:w="0" w:type="auto"/>
            <w:tcBorders>
              <w:top w:val="dotted" w:sz="4" w:space="0" w:color="auto"/>
              <w:left w:val="dotted" w:sz="4" w:space="0" w:color="auto"/>
              <w:bottom w:val="single" w:sz="18" w:space="0" w:color="auto"/>
              <w:right w:val="dotted" w:sz="4" w:space="0" w:color="auto"/>
            </w:tcBorders>
            <w:shd w:val="clear" w:color="auto" w:fill="auto"/>
          </w:tcPr>
          <w:p w14:paraId="3BCCFDD7"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shd w:val="clear" w:color="auto" w:fill="auto"/>
          </w:tcPr>
          <w:p w14:paraId="4232F39A"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Guides, mentors and develops people</w:t>
            </w:r>
          </w:p>
        </w:tc>
        <w:tc>
          <w:tcPr>
            <w:tcW w:w="4758" w:type="dxa"/>
            <w:tcBorders>
              <w:top w:val="dotted" w:sz="4" w:space="0" w:color="auto"/>
              <w:left w:val="dotted" w:sz="4" w:space="0" w:color="auto"/>
              <w:bottom w:val="single" w:sz="18" w:space="0" w:color="auto"/>
              <w:right w:val="dotted" w:sz="4" w:space="0" w:color="auto"/>
            </w:tcBorders>
            <w:shd w:val="clear" w:color="auto" w:fill="auto"/>
          </w:tcPr>
          <w:p w14:paraId="37B83443"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 xml:space="preserve">Identifies learning opportunities for others and empowers them by delegating tasks. Agrees clear performance standards and gives timely praise and recognition. </w:t>
            </w:r>
            <w:r w:rsidRPr="00735DFD">
              <w:rPr>
                <w:rFonts w:ascii="Arial" w:hAnsi="Arial" w:cs="Arial"/>
                <w:color w:val="333333"/>
                <w:sz w:val="18"/>
                <w:szCs w:val="18"/>
              </w:rPr>
              <w:lastRenderedPageBreak/>
              <w:t>Makes time for people and offers full support when required. Delivers constructive, objective feedback in a manner that gains acceptance and achieves resolution. Deals with under-performance promptly.</w:t>
            </w:r>
          </w:p>
        </w:tc>
      </w:tr>
      <w:tr w:rsidR="00735DFD" w:rsidRPr="00735DFD" w14:paraId="287A9ABE" w14:textId="77777777" w:rsidTr="00735DFD">
        <w:trPr>
          <w:trHeight w:val="729"/>
        </w:trPr>
        <w:tc>
          <w:tcPr>
            <w:tcW w:w="0" w:type="auto"/>
            <w:tcBorders>
              <w:top w:val="single" w:sz="18" w:space="0" w:color="auto"/>
              <w:left w:val="dotted" w:sz="4" w:space="0" w:color="auto"/>
              <w:bottom w:val="dotted" w:sz="4" w:space="0" w:color="auto"/>
              <w:right w:val="dotted" w:sz="4" w:space="0" w:color="auto"/>
            </w:tcBorders>
            <w:shd w:val="clear" w:color="auto" w:fill="auto"/>
          </w:tcPr>
          <w:p w14:paraId="5F787E74"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r w:rsidRPr="00735DFD">
              <w:rPr>
                <w:rFonts w:ascii="Arial" w:hAnsi="Arial" w:cs="Arial"/>
                <w:b/>
                <w:color w:val="000000"/>
                <w:sz w:val="18"/>
                <w:szCs w:val="18"/>
              </w:rPr>
              <w:t>Exemplifies personal drive and Integrity</w:t>
            </w:r>
          </w:p>
        </w:tc>
        <w:tc>
          <w:tcPr>
            <w:tcW w:w="3789" w:type="dxa"/>
            <w:tcBorders>
              <w:top w:val="single" w:sz="18" w:space="0" w:color="auto"/>
              <w:left w:val="dotted" w:sz="4" w:space="0" w:color="auto"/>
              <w:bottom w:val="dotted" w:sz="4" w:space="0" w:color="auto"/>
              <w:right w:val="dotted" w:sz="4" w:space="0" w:color="auto"/>
            </w:tcBorders>
            <w:shd w:val="clear" w:color="auto" w:fill="auto"/>
          </w:tcPr>
          <w:p w14:paraId="2C981A1C"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Demonstrates public service professionalism and probity</w:t>
            </w:r>
          </w:p>
        </w:tc>
        <w:tc>
          <w:tcPr>
            <w:tcW w:w="4758" w:type="dxa"/>
            <w:tcBorders>
              <w:top w:val="single" w:sz="18" w:space="0" w:color="auto"/>
              <w:left w:val="dotted" w:sz="4" w:space="0" w:color="auto"/>
              <w:bottom w:val="dotted" w:sz="4" w:space="0" w:color="auto"/>
              <w:right w:val="dotted" w:sz="4" w:space="0" w:color="auto"/>
            </w:tcBorders>
            <w:shd w:val="clear" w:color="auto" w:fill="auto"/>
          </w:tcPr>
          <w:p w14:paraId="622E6236"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735DFD" w:rsidRPr="00735DFD" w14:paraId="63C7F27E"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028F3ECC"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4C68CE6F"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Engages with risk and shows personal courage</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6BC44640"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Provides impartial and forthright advice. Challenges important issues constructively, and stands by own position when challenged. Acknowledges mistakes and learns from them, and seeks guidance and advice when required.</w:t>
            </w:r>
          </w:p>
        </w:tc>
      </w:tr>
      <w:tr w:rsidR="00735DFD" w:rsidRPr="00735DFD" w14:paraId="52F63673"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08AEC5AF"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33E2925B"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Commits to action</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1615875A"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735DFD" w:rsidRPr="00735DFD" w14:paraId="6714515F"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4A93C0CE"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21586F50"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Displays resilience</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58B306AF"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Persists and focuses on achieving objectives even in difficult circumstances. Remains positive and responds to pressure in a controlled manner. Continues to move forward despite criticism or setbacks.</w:t>
            </w:r>
          </w:p>
        </w:tc>
      </w:tr>
      <w:tr w:rsidR="00735DFD" w:rsidRPr="00735DFD" w14:paraId="44428DD5" w14:textId="77777777" w:rsidTr="00735DFD">
        <w:tc>
          <w:tcPr>
            <w:tcW w:w="0" w:type="auto"/>
            <w:tcBorders>
              <w:top w:val="dotted" w:sz="4" w:space="0" w:color="auto"/>
              <w:left w:val="dotted" w:sz="4" w:space="0" w:color="auto"/>
              <w:bottom w:val="single" w:sz="18" w:space="0" w:color="auto"/>
              <w:right w:val="dotted" w:sz="4" w:space="0" w:color="auto"/>
            </w:tcBorders>
            <w:shd w:val="clear" w:color="auto" w:fill="auto"/>
          </w:tcPr>
          <w:p w14:paraId="118295A3"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shd w:val="clear" w:color="auto" w:fill="auto"/>
          </w:tcPr>
          <w:p w14:paraId="59B345CF"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Demonstrates self-awareness and a commitment to personal development.</w:t>
            </w:r>
          </w:p>
        </w:tc>
        <w:tc>
          <w:tcPr>
            <w:tcW w:w="4758" w:type="dxa"/>
            <w:tcBorders>
              <w:top w:val="dotted" w:sz="4" w:space="0" w:color="auto"/>
              <w:left w:val="dotted" w:sz="4" w:space="0" w:color="auto"/>
              <w:bottom w:val="single" w:sz="18" w:space="0" w:color="auto"/>
              <w:right w:val="dotted" w:sz="4" w:space="0" w:color="auto"/>
            </w:tcBorders>
            <w:shd w:val="clear" w:color="auto" w:fill="auto"/>
          </w:tcPr>
          <w:p w14:paraId="4D8A0DDC" w14:textId="77777777" w:rsidR="005B33EC" w:rsidRPr="00735DFD" w:rsidRDefault="00E9673A" w:rsidP="00735DFD">
            <w:pPr>
              <w:autoSpaceDE w:val="0"/>
              <w:autoSpaceDN w:val="0"/>
              <w:adjustRightInd w:val="0"/>
              <w:spacing w:after="0" w:line="240" w:lineRule="auto"/>
              <w:rPr>
                <w:rFonts w:ascii="Arial" w:hAnsi="Arial" w:cs="Arial"/>
                <w:color w:val="000000"/>
                <w:sz w:val="18"/>
                <w:szCs w:val="18"/>
                <w:highlight w:val="yellow"/>
              </w:rPr>
            </w:pPr>
            <w:r w:rsidRPr="00735DFD">
              <w:rPr>
                <w:rFonts w:ascii="Arial" w:hAnsi="Arial" w:cs="Arial"/>
                <w:color w:val="333333"/>
                <w:sz w:val="18"/>
                <w:szCs w:val="18"/>
              </w:rPr>
              <w:t>Self-evaluates performance and seeks feedback from others. Communicates and acts on strengths and development needs. Reflects on own behaviour and recognises the impact on others. Shows strong commitment to learning and self-development, and accepts challenging new opportunities.</w:t>
            </w:r>
          </w:p>
        </w:tc>
      </w:tr>
      <w:tr w:rsidR="00735DFD" w:rsidRPr="00735DFD" w14:paraId="321E8B07" w14:textId="77777777" w:rsidTr="00735DFD">
        <w:tc>
          <w:tcPr>
            <w:tcW w:w="0" w:type="auto"/>
            <w:tcBorders>
              <w:top w:val="single" w:sz="18" w:space="0" w:color="auto"/>
              <w:left w:val="dotted" w:sz="4" w:space="0" w:color="auto"/>
              <w:bottom w:val="dotted" w:sz="4" w:space="0" w:color="auto"/>
              <w:right w:val="dotted" w:sz="4" w:space="0" w:color="auto"/>
            </w:tcBorders>
            <w:shd w:val="clear" w:color="auto" w:fill="auto"/>
          </w:tcPr>
          <w:p w14:paraId="48480736"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r w:rsidRPr="00735DFD">
              <w:rPr>
                <w:rFonts w:ascii="Arial" w:hAnsi="Arial" w:cs="Arial"/>
                <w:b/>
                <w:color w:val="000000"/>
                <w:sz w:val="18"/>
                <w:szCs w:val="18"/>
              </w:rPr>
              <w:t xml:space="preserve">Communicates with influence </w:t>
            </w:r>
          </w:p>
        </w:tc>
        <w:tc>
          <w:tcPr>
            <w:tcW w:w="3789" w:type="dxa"/>
            <w:tcBorders>
              <w:top w:val="single" w:sz="18" w:space="0" w:color="auto"/>
              <w:left w:val="dotted" w:sz="4" w:space="0" w:color="auto"/>
              <w:bottom w:val="dotted" w:sz="4" w:space="0" w:color="auto"/>
              <w:right w:val="dotted" w:sz="4" w:space="0" w:color="auto"/>
            </w:tcBorders>
            <w:shd w:val="clear" w:color="auto" w:fill="auto"/>
          </w:tcPr>
          <w:p w14:paraId="0E496C80"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Communicates clearly</w:t>
            </w:r>
          </w:p>
        </w:tc>
        <w:tc>
          <w:tcPr>
            <w:tcW w:w="4758" w:type="dxa"/>
            <w:tcBorders>
              <w:top w:val="single" w:sz="18" w:space="0" w:color="auto"/>
              <w:left w:val="dotted" w:sz="4" w:space="0" w:color="auto"/>
              <w:bottom w:val="dotted" w:sz="4" w:space="0" w:color="auto"/>
              <w:right w:val="dotted" w:sz="4" w:space="0" w:color="auto"/>
            </w:tcBorders>
            <w:shd w:val="clear" w:color="auto" w:fill="auto"/>
          </w:tcPr>
          <w:p w14:paraId="31D421B9" w14:textId="77777777" w:rsidR="005B33EC" w:rsidRPr="00735DFD" w:rsidRDefault="00C56668" w:rsidP="00735DFD">
            <w:pPr>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735DFD" w:rsidRPr="00735DFD" w14:paraId="42A45EC6"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58C856B2"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18B2CBA0"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Listens, understands and adapts to audience</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1E3A6E40" w14:textId="77777777" w:rsidR="005B33EC" w:rsidRPr="00735DFD" w:rsidRDefault="00C56668" w:rsidP="00735DFD">
            <w:pPr>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735DFD" w:rsidRPr="00735DFD" w14:paraId="64A95784" w14:textId="77777777" w:rsidTr="00735DFD">
        <w:tc>
          <w:tcPr>
            <w:tcW w:w="0" w:type="auto"/>
            <w:tcBorders>
              <w:top w:val="dotted" w:sz="4" w:space="0" w:color="auto"/>
              <w:left w:val="dotted" w:sz="4" w:space="0" w:color="auto"/>
              <w:bottom w:val="dotted" w:sz="4" w:space="0" w:color="auto"/>
              <w:right w:val="dotted" w:sz="4" w:space="0" w:color="auto"/>
            </w:tcBorders>
            <w:shd w:val="clear" w:color="auto" w:fill="auto"/>
          </w:tcPr>
          <w:p w14:paraId="36D49D62" w14:textId="77777777" w:rsidR="005B33EC" w:rsidRPr="00735DFD" w:rsidRDefault="005B33EC" w:rsidP="00735DFD">
            <w:pPr>
              <w:widowControl w:val="0"/>
              <w:autoSpaceDE w:val="0"/>
              <w:autoSpaceDN w:val="0"/>
              <w:adjustRightInd w:val="0"/>
              <w:spacing w:before="80" w:after="0" w:line="240" w:lineRule="auto"/>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shd w:val="clear" w:color="auto" w:fill="auto"/>
          </w:tcPr>
          <w:p w14:paraId="15A68F12" w14:textId="77777777" w:rsidR="005B33EC" w:rsidRPr="00735DFD" w:rsidRDefault="005B33EC" w:rsidP="00735DFD">
            <w:pPr>
              <w:widowControl w:val="0"/>
              <w:autoSpaceDE w:val="0"/>
              <w:autoSpaceDN w:val="0"/>
              <w:adjustRightInd w:val="0"/>
              <w:spacing w:before="80" w:after="0" w:line="240" w:lineRule="auto"/>
              <w:rPr>
                <w:rFonts w:ascii="Arial" w:hAnsi="Arial" w:cs="Arial"/>
                <w:color w:val="000000"/>
                <w:sz w:val="18"/>
                <w:szCs w:val="18"/>
              </w:rPr>
            </w:pPr>
            <w:r w:rsidRPr="00735DFD">
              <w:rPr>
                <w:rFonts w:ascii="Arial" w:hAnsi="Arial" w:cs="Arial"/>
                <w:color w:val="000000"/>
                <w:sz w:val="18"/>
                <w:szCs w:val="18"/>
              </w:rPr>
              <w:t>Negotiates persuasively</w:t>
            </w:r>
          </w:p>
        </w:tc>
        <w:tc>
          <w:tcPr>
            <w:tcW w:w="4758" w:type="dxa"/>
            <w:tcBorders>
              <w:top w:val="dotted" w:sz="4" w:space="0" w:color="auto"/>
              <w:left w:val="dotted" w:sz="4" w:space="0" w:color="auto"/>
              <w:bottom w:val="dotted" w:sz="4" w:space="0" w:color="auto"/>
              <w:right w:val="dotted" w:sz="4" w:space="0" w:color="auto"/>
            </w:tcBorders>
            <w:shd w:val="clear" w:color="auto" w:fill="auto"/>
          </w:tcPr>
          <w:p w14:paraId="31CB708B" w14:textId="77777777" w:rsidR="005B33EC" w:rsidRPr="00735DFD" w:rsidRDefault="00C56668" w:rsidP="00735DFD">
            <w:pPr>
              <w:widowControl w:val="0"/>
              <w:autoSpaceDE w:val="0"/>
              <w:autoSpaceDN w:val="0"/>
              <w:adjustRightInd w:val="0"/>
              <w:spacing w:before="80" w:after="0" w:line="240" w:lineRule="auto"/>
              <w:rPr>
                <w:rFonts w:ascii="Arial" w:hAnsi="Arial" w:cs="Arial"/>
                <w:color w:val="000000"/>
                <w:sz w:val="18"/>
                <w:szCs w:val="18"/>
                <w:highlight w:val="yellow"/>
              </w:rPr>
            </w:pPr>
            <w:r w:rsidRPr="00735DFD">
              <w:rPr>
                <w:rFonts w:ascii="Arial" w:hAnsi="Arial" w:cs="Arial"/>
                <w:color w:val="333333"/>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bl>
    <w:p w14:paraId="4F8F46AF"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8"/>
      <w:footerReference w:type="default" r:id="rId9"/>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82431" w14:textId="77777777" w:rsidR="00735DFD" w:rsidRDefault="00735DFD">
      <w:pPr>
        <w:spacing w:after="0" w:line="240" w:lineRule="auto"/>
      </w:pPr>
      <w:r>
        <w:separator/>
      </w:r>
    </w:p>
  </w:endnote>
  <w:endnote w:type="continuationSeparator" w:id="0">
    <w:p w14:paraId="1D5C4151" w14:textId="77777777" w:rsidR="00735DFD" w:rsidRDefault="0073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F627" w14:textId="77777777" w:rsidR="00722806" w:rsidRDefault="00735DFD">
    <w:pPr>
      <w:widowControl w:val="0"/>
      <w:autoSpaceDE w:val="0"/>
      <w:autoSpaceDN w:val="0"/>
      <w:adjustRightInd w:val="0"/>
      <w:spacing w:after="0" w:line="200" w:lineRule="exact"/>
      <w:rPr>
        <w:rFonts w:ascii="Times New Roman" w:hAnsi="Times New Roman"/>
        <w:sz w:val="20"/>
        <w:szCs w:val="20"/>
      </w:rPr>
    </w:pPr>
    <w:r>
      <w:rPr>
        <w:noProof/>
      </w:rPr>
      <w:pict w14:anchorId="74BFD7A8">
        <v:shape id="_x0000_s2050" style="position:absolute;margin-left:55.2pt;margin-top:755.5pt;width:501.6pt;height:1pt;z-index:-4;mso-position-horizontal-relative:page;mso-position-vertical-relative:page" coordsize="10032,20" o:allowincell="f" path="m,hhl10032,e" filled="f" strokecolor="#bfbfbf" strokeweight="1.6pt">
          <v:path arrowok="t"/>
          <w10:wrap anchorx="page" anchory="page"/>
        </v:shape>
      </w:pict>
    </w:r>
    <w:r>
      <w:rPr>
        <w:noProof/>
      </w:rPr>
      <w:pict w14:anchorId="7EC13AE5">
        <v:shapetype id="_x0000_t202" coordsize="21600,21600" o:spt="202" path="m,l,21600r21600,l21600,xe">
          <v:stroke joinstyle="miter"/>
          <v:path gradientshapeok="t" o:connecttype="rect"/>
        </v:shapetype>
        <v:shape id="_x0000_s2051" type="#_x0000_t202" style="position:absolute;margin-left:55.7pt;margin-top:757.15pt;width:28.3pt;height:10pt;z-index:-3;mso-position-horizontal-relative:page;mso-position-vertical-relative:page" o:allowincell="f" filled="f" stroked="f">
          <v:textbox style="mso-next-textbox:#_x0000_s2051" inset="0,0,0,0">
            <w:txbxContent>
              <w:p w14:paraId="2EF286C7"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w:r>
    <w:r>
      <w:rPr>
        <w:noProof/>
      </w:rPr>
      <w:pict w14:anchorId="55FD4E90">
        <v:shape id="_x0000_s2052" type="#_x0000_t202" style="position:absolute;margin-left:453.9pt;margin-top:757.15pt;width:71.8pt;height:10pt;z-index:-2;mso-position-horizontal-relative:page;mso-position-vertical-relative:page" o:allowincell="f" filled="f" stroked="f">
          <v:textbox style="mso-next-textbox:#_x0000_s2052" inset="0,0,0,0">
            <w:txbxContent>
              <w:p w14:paraId="31B024D2"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D4B6" w14:textId="77777777" w:rsidR="00735DFD" w:rsidRDefault="00735DFD">
      <w:pPr>
        <w:spacing w:after="0" w:line="240" w:lineRule="auto"/>
      </w:pPr>
      <w:r>
        <w:separator/>
      </w:r>
    </w:p>
  </w:footnote>
  <w:footnote w:type="continuationSeparator" w:id="0">
    <w:p w14:paraId="2F42D513" w14:textId="77777777" w:rsidR="00735DFD" w:rsidRDefault="0073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CFE8" w14:textId="77777777" w:rsidR="00722806" w:rsidRPr="009A546C" w:rsidRDefault="00735DFD" w:rsidP="009A546C">
    <w:pPr>
      <w:widowControl w:val="0"/>
      <w:autoSpaceDE w:val="0"/>
      <w:autoSpaceDN w:val="0"/>
      <w:adjustRightInd w:val="0"/>
      <w:spacing w:before="31" w:after="0" w:line="240" w:lineRule="auto"/>
      <w:ind w:left="3402" w:right="4116"/>
      <w:rPr>
        <w:rFonts w:ascii="Arial" w:hAnsi="Arial" w:cs="Arial"/>
      </w:rPr>
    </w:pPr>
    <w:r>
      <w:rPr>
        <w:noProof/>
      </w:rPr>
      <w:pict w14:anchorId="6B855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Australian Government Age Care Quality and Safety CommissionEngage Empower Safeguard" style="position:absolute;left:0;text-align:left;margin-left:33pt;margin-top:-.35pt;width:524.7pt;height:51.25pt;z-index: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6E3BBA"/>
    <w:multiLevelType w:val="hybridMultilevel"/>
    <w:tmpl w:val="3DDEBC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7"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imes New Roman"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1"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5"/>
  </w:num>
  <w:num w:numId="2">
    <w:abstractNumId w:val="23"/>
  </w:num>
  <w:num w:numId="3">
    <w:abstractNumId w:val="24"/>
  </w:num>
  <w:num w:numId="4">
    <w:abstractNumId w:val="11"/>
  </w:num>
  <w:num w:numId="5">
    <w:abstractNumId w:val="16"/>
  </w:num>
  <w:num w:numId="6">
    <w:abstractNumId w:val="7"/>
  </w:num>
  <w:num w:numId="7">
    <w:abstractNumId w:val="21"/>
  </w:num>
  <w:num w:numId="8">
    <w:abstractNumId w:val="1"/>
  </w:num>
  <w:num w:numId="9">
    <w:abstractNumId w:val="4"/>
  </w:num>
  <w:num w:numId="10">
    <w:abstractNumId w:val="18"/>
  </w:num>
  <w:num w:numId="11">
    <w:abstractNumId w:val="15"/>
  </w:num>
  <w:num w:numId="12">
    <w:abstractNumId w:val="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17"/>
  </w:num>
  <w:num w:numId="17">
    <w:abstractNumId w:val="13"/>
  </w:num>
  <w:num w:numId="18">
    <w:abstractNumId w:val="20"/>
  </w:num>
  <w:num w:numId="19">
    <w:abstractNumId w:val="25"/>
  </w:num>
  <w:num w:numId="20">
    <w:abstractNumId w:val="22"/>
  </w:num>
  <w:num w:numId="21">
    <w:abstractNumId w:val="14"/>
  </w:num>
  <w:num w:numId="22">
    <w:abstractNumId w:val="9"/>
  </w:num>
  <w:num w:numId="23">
    <w:abstractNumId w:val="6"/>
    <w:lvlOverride w:ilvl="0"/>
    <w:lvlOverride w:ilvl="1"/>
    <w:lvlOverride w:ilvl="2"/>
    <w:lvlOverride w:ilvl="3"/>
    <w:lvlOverride w:ilvl="4"/>
    <w:lvlOverride w:ilvl="5"/>
    <w:lvlOverride w:ilvl="6"/>
    <w:lvlOverride w:ilvl="7"/>
    <w:lvlOverride w:ilvl="8"/>
  </w:num>
  <w:num w:numId="24">
    <w:abstractNumId w:val="10"/>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02422"/>
    <w:rsid w:val="0001071A"/>
    <w:rsid w:val="00043942"/>
    <w:rsid w:val="00044040"/>
    <w:rsid w:val="00063B06"/>
    <w:rsid w:val="0006530F"/>
    <w:rsid w:val="00093377"/>
    <w:rsid w:val="00097C50"/>
    <w:rsid w:val="000B3884"/>
    <w:rsid w:val="000C0191"/>
    <w:rsid w:val="000C35E1"/>
    <w:rsid w:val="000C42D8"/>
    <w:rsid w:val="000C6C26"/>
    <w:rsid w:val="000C71E7"/>
    <w:rsid w:val="000D2674"/>
    <w:rsid w:val="000D76A3"/>
    <w:rsid w:val="00112CD0"/>
    <w:rsid w:val="00125BFE"/>
    <w:rsid w:val="001265A3"/>
    <w:rsid w:val="00140C9E"/>
    <w:rsid w:val="00152ED2"/>
    <w:rsid w:val="001923B6"/>
    <w:rsid w:val="00196D0E"/>
    <w:rsid w:val="001B4DD7"/>
    <w:rsid w:val="001D0B51"/>
    <w:rsid w:val="001E13FD"/>
    <w:rsid w:val="001E2AAE"/>
    <w:rsid w:val="001E4F8E"/>
    <w:rsid w:val="001F1AB5"/>
    <w:rsid w:val="001F613D"/>
    <w:rsid w:val="00200955"/>
    <w:rsid w:val="00217D73"/>
    <w:rsid w:val="00220CA0"/>
    <w:rsid w:val="00222AA3"/>
    <w:rsid w:val="002475BC"/>
    <w:rsid w:val="00263A48"/>
    <w:rsid w:val="002675C6"/>
    <w:rsid w:val="00275B4B"/>
    <w:rsid w:val="00275CC2"/>
    <w:rsid w:val="00282254"/>
    <w:rsid w:val="00296F4A"/>
    <w:rsid w:val="002B369E"/>
    <w:rsid w:val="002B4402"/>
    <w:rsid w:val="002E3024"/>
    <w:rsid w:val="002E6336"/>
    <w:rsid w:val="002F47E6"/>
    <w:rsid w:val="002F6305"/>
    <w:rsid w:val="0033666F"/>
    <w:rsid w:val="0035436E"/>
    <w:rsid w:val="003543F9"/>
    <w:rsid w:val="00373840"/>
    <w:rsid w:val="003809EE"/>
    <w:rsid w:val="003836EC"/>
    <w:rsid w:val="003A0200"/>
    <w:rsid w:val="003B40FE"/>
    <w:rsid w:val="003F13D4"/>
    <w:rsid w:val="00401843"/>
    <w:rsid w:val="00411617"/>
    <w:rsid w:val="0043799A"/>
    <w:rsid w:val="00443A06"/>
    <w:rsid w:val="004463C0"/>
    <w:rsid w:val="00472122"/>
    <w:rsid w:val="00497A11"/>
    <w:rsid w:val="004D0ADA"/>
    <w:rsid w:val="004F3623"/>
    <w:rsid w:val="00514154"/>
    <w:rsid w:val="0052340E"/>
    <w:rsid w:val="00542266"/>
    <w:rsid w:val="005572DB"/>
    <w:rsid w:val="005638CF"/>
    <w:rsid w:val="00563F0C"/>
    <w:rsid w:val="005A047F"/>
    <w:rsid w:val="005B33EC"/>
    <w:rsid w:val="005C0A4C"/>
    <w:rsid w:val="005D4E52"/>
    <w:rsid w:val="005E10C0"/>
    <w:rsid w:val="00610D1E"/>
    <w:rsid w:val="00623574"/>
    <w:rsid w:val="00631CA5"/>
    <w:rsid w:val="00656D27"/>
    <w:rsid w:val="0066218C"/>
    <w:rsid w:val="006A0B76"/>
    <w:rsid w:val="006A7CBC"/>
    <w:rsid w:val="006B4817"/>
    <w:rsid w:val="006D0183"/>
    <w:rsid w:val="006F06B9"/>
    <w:rsid w:val="00705069"/>
    <w:rsid w:val="00722806"/>
    <w:rsid w:val="00723468"/>
    <w:rsid w:val="00735DFD"/>
    <w:rsid w:val="0074470A"/>
    <w:rsid w:val="0075721B"/>
    <w:rsid w:val="007657D9"/>
    <w:rsid w:val="00770B67"/>
    <w:rsid w:val="00782B64"/>
    <w:rsid w:val="00786405"/>
    <w:rsid w:val="007A4965"/>
    <w:rsid w:val="007B0498"/>
    <w:rsid w:val="007B4C9C"/>
    <w:rsid w:val="007C2BCD"/>
    <w:rsid w:val="007D1AD8"/>
    <w:rsid w:val="007F01AA"/>
    <w:rsid w:val="007F0B3D"/>
    <w:rsid w:val="00800D12"/>
    <w:rsid w:val="00810F2E"/>
    <w:rsid w:val="008128A1"/>
    <w:rsid w:val="0081710C"/>
    <w:rsid w:val="00824E84"/>
    <w:rsid w:val="00830873"/>
    <w:rsid w:val="00835A1B"/>
    <w:rsid w:val="00844F52"/>
    <w:rsid w:val="00852965"/>
    <w:rsid w:val="00861ED6"/>
    <w:rsid w:val="00871A7B"/>
    <w:rsid w:val="0087695B"/>
    <w:rsid w:val="00876FE3"/>
    <w:rsid w:val="00891DFE"/>
    <w:rsid w:val="008A61C0"/>
    <w:rsid w:val="008D277D"/>
    <w:rsid w:val="008F7CE5"/>
    <w:rsid w:val="00900C61"/>
    <w:rsid w:val="009040ED"/>
    <w:rsid w:val="009251BF"/>
    <w:rsid w:val="00943CE2"/>
    <w:rsid w:val="00952552"/>
    <w:rsid w:val="00952EE1"/>
    <w:rsid w:val="009845CA"/>
    <w:rsid w:val="009936AB"/>
    <w:rsid w:val="00997D58"/>
    <w:rsid w:val="009A546C"/>
    <w:rsid w:val="009E06C1"/>
    <w:rsid w:val="009E4F76"/>
    <w:rsid w:val="00A00DD7"/>
    <w:rsid w:val="00A02F6A"/>
    <w:rsid w:val="00A117B2"/>
    <w:rsid w:val="00A11BBB"/>
    <w:rsid w:val="00A23433"/>
    <w:rsid w:val="00A23E3F"/>
    <w:rsid w:val="00A311CE"/>
    <w:rsid w:val="00A81E9E"/>
    <w:rsid w:val="00A946DC"/>
    <w:rsid w:val="00AC2C22"/>
    <w:rsid w:val="00AE4BA5"/>
    <w:rsid w:val="00AF3BC4"/>
    <w:rsid w:val="00B05193"/>
    <w:rsid w:val="00B14EA8"/>
    <w:rsid w:val="00B65F31"/>
    <w:rsid w:val="00B76F1F"/>
    <w:rsid w:val="00B86450"/>
    <w:rsid w:val="00B97C60"/>
    <w:rsid w:val="00BE3176"/>
    <w:rsid w:val="00BE4188"/>
    <w:rsid w:val="00C15FCA"/>
    <w:rsid w:val="00C445C1"/>
    <w:rsid w:val="00C56668"/>
    <w:rsid w:val="00C6450A"/>
    <w:rsid w:val="00C8292F"/>
    <w:rsid w:val="00CC7358"/>
    <w:rsid w:val="00CD26FE"/>
    <w:rsid w:val="00CF22B5"/>
    <w:rsid w:val="00CF64B4"/>
    <w:rsid w:val="00D6073F"/>
    <w:rsid w:val="00D8683D"/>
    <w:rsid w:val="00DA06BE"/>
    <w:rsid w:val="00DC200B"/>
    <w:rsid w:val="00DF1778"/>
    <w:rsid w:val="00DF2A24"/>
    <w:rsid w:val="00E0595B"/>
    <w:rsid w:val="00E05BC2"/>
    <w:rsid w:val="00E11CBA"/>
    <w:rsid w:val="00E13D09"/>
    <w:rsid w:val="00E16D4E"/>
    <w:rsid w:val="00E34261"/>
    <w:rsid w:val="00E4606D"/>
    <w:rsid w:val="00E67F69"/>
    <w:rsid w:val="00E72808"/>
    <w:rsid w:val="00E82635"/>
    <w:rsid w:val="00E94587"/>
    <w:rsid w:val="00E9464C"/>
    <w:rsid w:val="00E9673A"/>
    <w:rsid w:val="00EB0FA0"/>
    <w:rsid w:val="00EB6A12"/>
    <w:rsid w:val="00EC632C"/>
    <w:rsid w:val="00ED75C5"/>
    <w:rsid w:val="00F217BB"/>
    <w:rsid w:val="00F9133F"/>
    <w:rsid w:val="00FA126A"/>
    <w:rsid w:val="00FA4C17"/>
    <w:rsid w:val="00FA7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0C798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DFE"/>
    <w:pPr>
      <w:ind w:left="720"/>
      <w:contextualSpacing/>
    </w:pPr>
  </w:style>
  <w:style w:type="character" w:styleId="Emphasis">
    <w:name w:val="Emphasis"/>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A4C17"/>
    <w:rPr>
      <w:rFonts w:ascii="Tahoma" w:hAnsi="Tahoma" w:cs="Tahoma"/>
      <w:sz w:val="16"/>
      <w:szCs w:val="16"/>
    </w:rPr>
  </w:style>
  <w:style w:type="character" w:styleId="CommentReference">
    <w:name w:val="annotation reference"/>
    <w:uiPriority w:val="99"/>
    <w:rsid w:val="00A02F6A"/>
    <w:rPr>
      <w:rFonts w:cs="Times New Roman"/>
      <w:sz w:val="16"/>
      <w:szCs w:val="16"/>
    </w:rPr>
  </w:style>
  <w:style w:type="paragraph" w:styleId="CommentText">
    <w:name w:val="annotation text"/>
    <w:basedOn w:val="Normal"/>
    <w:link w:val="CommentTextChar"/>
    <w:uiPriority w:val="99"/>
    <w:rsid w:val="00A02F6A"/>
    <w:rPr>
      <w:sz w:val="20"/>
      <w:szCs w:val="20"/>
    </w:rPr>
  </w:style>
  <w:style w:type="character" w:customStyle="1" w:styleId="CommentTextChar">
    <w:name w:val="Comment Text Char"/>
    <w:link w:val="CommentText"/>
    <w:uiPriority w:val="99"/>
    <w:locked/>
    <w:rsid w:val="00A02F6A"/>
    <w:rPr>
      <w:rFonts w:cs="Times New Roman"/>
      <w:sz w:val="20"/>
      <w:szCs w:val="20"/>
    </w:rPr>
  </w:style>
  <w:style w:type="paragraph" w:styleId="CommentSubject">
    <w:name w:val="annotation subject"/>
    <w:basedOn w:val="CommentText"/>
    <w:next w:val="CommentText"/>
    <w:link w:val="CommentSubjectChar"/>
    <w:uiPriority w:val="99"/>
    <w:rsid w:val="00A02F6A"/>
    <w:rPr>
      <w:b/>
      <w:bCs/>
    </w:rPr>
  </w:style>
  <w:style w:type="character" w:customStyle="1" w:styleId="CommentSubjectChar">
    <w:name w:val="Comment Subject Char"/>
    <w:link w:val="CommentSubject"/>
    <w:uiPriority w:val="99"/>
    <w:locked/>
    <w:rsid w:val="00A02F6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91559">
      <w:marLeft w:val="0"/>
      <w:marRight w:val="0"/>
      <w:marTop w:val="0"/>
      <w:marBottom w:val="0"/>
      <w:divBdr>
        <w:top w:val="none" w:sz="0" w:space="0" w:color="auto"/>
        <w:left w:val="none" w:sz="0" w:space="0" w:color="auto"/>
        <w:bottom w:val="none" w:sz="0" w:space="0" w:color="auto"/>
        <w:right w:val="none" w:sz="0" w:space="0" w:color="auto"/>
      </w:divBdr>
    </w:div>
    <w:div w:id="1472091560">
      <w:marLeft w:val="0"/>
      <w:marRight w:val="0"/>
      <w:marTop w:val="0"/>
      <w:marBottom w:val="0"/>
      <w:divBdr>
        <w:top w:val="none" w:sz="0" w:space="0" w:color="auto"/>
        <w:left w:val="none" w:sz="0" w:space="0" w:color="auto"/>
        <w:bottom w:val="none" w:sz="0" w:space="0" w:color="auto"/>
        <w:right w:val="none" w:sz="0" w:space="0" w:color="auto"/>
      </w:divBdr>
    </w:div>
    <w:div w:id="1472091561">
      <w:marLeft w:val="0"/>
      <w:marRight w:val="0"/>
      <w:marTop w:val="0"/>
      <w:marBottom w:val="0"/>
      <w:divBdr>
        <w:top w:val="none" w:sz="0" w:space="0" w:color="auto"/>
        <w:left w:val="none" w:sz="0" w:space="0" w:color="auto"/>
        <w:bottom w:val="none" w:sz="0" w:space="0" w:color="auto"/>
        <w:right w:val="none" w:sz="0" w:space="0" w:color="auto"/>
      </w:divBdr>
    </w:div>
    <w:div w:id="1472091562">
      <w:marLeft w:val="0"/>
      <w:marRight w:val="0"/>
      <w:marTop w:val="0"/>
      <w:marBottom w:val="0"/>
      <w:divBdr>
        <w:top w:val="none" w:sz="0" w:space="0" w:color="auto"/>
        <w:left w:val="none" w:sz="0" w:space="0" w:color="auto"/>
        <w:bottom w:val="none" w:sz="0" w:space="0" w:color="auto"/>
        <w:right w:val="none" w:sz="0" w:space="0" w:color="auto"/>
      </w:divBdr>
    </w:div>
    <w:div w:id="1472091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ED8A-BD5A-48CA-ABF1-66BA43BD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EL1 – Assistant Director, Costings, Revenue &amp; Modelling</dc:title>
  <dc:subject/>
  <dc:creator/>
  <cp:keywords/>
  <dc:description/>
  <cp:lastModifiedBy/>
  <cp:revision>1</cp:revision>
  <dcterms:created xsi:type="dcterms:W3CDTF">2022-08-15T06:19:00Z</dcterms:created>
  <dcterms:modified xsi:type="dcterms:W3CDTF">2022-08-15T06:20:00Z</dcterms:modified>
</cp:coreProperties>
</file>