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91F2F"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bookmarkStart w:id="0" w:name="_GoBack"/>
      <w:bookmarkEnd w:id="0"/>
    </w:p>
    <w:p w14:paraId="7A2A4D8B" w14:textId="77777777" w:rsidR="00A3182D" w:rsidRPr="00F770BF" w:rsidRDefault="00A3182D" w:rsidP="00A3182D">
      <w:pPr>
        <w:widowControl w:val="0"/>
        <w:tabs>
          <w:tab w:val="left" w:pos="2520"/>
        </w:tabs>
        <w:autoSpaceDE w:val="0"/>
        <w:autoSpaceDN w:val="0"/>
        <w:adjustRightInd w:val="0"/>
        <w:spacing w:after="0" w:line="226" w:lineRule="exact"/>
        <w:ind w:left="2520" w:right="-20" w:hanging="2258"/>
        <w:jc w:val="center"/>
        <w:rPr>
          <w:rFonts w:ascii="Arial" w:hAnsi="Arial" w:cs="Arial"/>
          <w:b/>
          <w:bCs/>
          <w:position w:val="-1"/>
          <w:sz w:val="20"/>
          <w:szCs w:val="20"/>
        </w:rPr>
      </w:pPr>
      <w:r w:rsidRPr="00F770BF">
        <w:rPr>
          <w:rFonts w:ascii="Arial" w:hAnsi="Arial" w:cs="Arial"/>
          <w:b/>
          <w:bCs/>
          <w:position w:val="-1"/>
          <w:sz w:val="20"/>
          <w:szCs w:val="20"/>
        </w:rPr>
        <w:t>POSITION DESCRIPTION</w:t>
      </w:r>
    </w:p>
    <w:p w14:paraId="524E15DB"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18A94CDA"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1F5F5F4" w14:textId="180A037A" w:rsidR="007F01AA" w:rsidRPr="00093CD2" w:rsidRDefault="007F01AA">
      <w:pPr>
        <w:widowControl w:val="0"/>
        <w:tabs>
          <w:tab w:val="left" w:pos="2520"/>
        </w:tabs>
        <w:autoSpaceDE w:val="0"/>
        <w:autoSpaceDN w:val="0"/>
        <w:adjustRightInd w:val="0"/>
        <w:spacing w:after="0" w:line="226" w:lineRule="exact"/>
        <w:ind w:left="262" w:right="-20"/>
        <w:rPr>
          <w:rFonts w:ascii="Arial" w:hAnsi="Arial" w:cs="Arial"/>
          <w:sz w:val="20"/>
          <w:szCs w:val="20"/>
        </w:rPr>
      </w:pPr>
      <w:r w:rsidRPr="00093CD2">
        <w:rPr>
          <w:rFonts w:ascii="Arial" w:hAnsi="Arial" w:cs="Arial"/>
          <w:b/>
          <w:bCs/>
          <w:position w:val="-1"/>
          <w:sz w:val="20"/>
          <w:szCs w:val="20"/>
        </w:rPr>
        <w:t>Position:</w:t>
      </w:r>
      <w:r w:rsidRPr="00093CD2">
        <w:rPr>
          <w:rFonts w:ascii="Arial" w:hAnsi="Arial" w:cs="Arial"/>
          <w:b/>
          <w:bCs/>
          <w:position w:val="-1"/>
          <w:sz w:val="20"/>
          <w:szCs w:val="20"/>
        </w:rPr>
        <w:tab/>
      </w:r>
      <w:r w:rsidR="00093CD2" w:rsidRPr="00093CD2">
        <w:rPr>
          <w:rFonts w:ascii="Arial" w:hAnsi="Arial" w:cs="Arial"/>
          <w:bCs/>
          <w:position w:val="-1"/>
          <w:sz w:val="20"/>
          <w:szCs w:val="20"/>
        </w:rPr>
        <w:t>Senior Investigations Officer, APS6</w:t>
      </w:r>
    </w:p>
    <w:p w14:paraId="43E9524E" w14:textId="77777777" w:rsidR="007F01AA" w:rsidRPr="00093CD2" w:rsidRDefault="007F01AA">
      <w:pPr>
        <w:widowControl w:val="0"/>
        <w:autoSpaceDE w:val="0"/>
        <w:autoSpaceDN w:val="0"/>
        <w:adjustRightInd w:val="0"/>
        <w:spacing w:before="5" w:after="0" w:line="140" w:lineRule="exact"/>
        <w:rPr>
          <w:rFonts w:ascii="Arial" w:hAnsi="Arial" w:cs="Arial"/>
          <w:sz w:val="20"/>
          <w:szCs w:val="20"/>
        </w:rPr>
      </w:pPr>
    </w:p>
    <w:p w14:paraId="73A01A5F" w14:textId="5A52AF21" w:rsidR="00093CD2" w:rsidRPr="00093CD2" w:rsidRDefault="00093CD2" w:rsidP="00093CD2">
      <w:pPr>
        <w:widowControl w:val="0"/>
        <w:tabs>
          <w:tab w:val="left" w:pos="2520"/>
        </w:tabs>
        <w:autoSpaceDE w:val="0"/>
        <w:autoSpaceDN w:val="0"/>
        <w:adjustRightInd w:val="0"/>
        <w:spacing w:before="36" w:after="0" w:line="360" w:lineRule="auto"/>
        <w:ind w:left="2880" w:right="-20" w:hanging="2880"/>
        <w:rPr>
          <w:rFonts w:ascii="Arial" w:hAnsi="Arial" w:cs="Arial"/>
          <w:bCs/>
          <w:position w:val="-1"/>
          <w:sz w:val="20"/>
          <w:szCs w:val="20"/>
        </w:rPr>
      </w:pPr>
      <w:r w:rsidRPr="00093CD2">
        <w:rPr>
          <w:rFonts w:ascii="Arial" w:hAnsi="Arial" w:cs="Arial"/>
          <w:b/>
          <w:bCs/>
          <w:position w:val="-1"/>
          <w:sz w:val="20"/>
          <w:szCs w:val="20"/>
        </w:rPr>
        <w:t xml:space="preserve">    </w:t>
      </w:r>
      <w:r w:rsidR="007F01AA" w:rsidRPr="00093CD2">
        <w:rPr>
          <w:rFonts w:ascii="Arial" w:hAnsi="Arial" w:cs="Arial"/>
          <w:b/>
          <w:bCs/>
          <w:position w:val="-1"/>
          <w:sz w:val="20"/>
          <w:szCs w:val="20"/>
        </w:rPr>
        <w:t>Loc</w:t>
      </w:r>
      <w:r w:rsidR="007F01AA" w:rsidRPr="00093CD2">
        <w:rPr>
          <w:rFonts w:ascii="Arial" w:hAnsi="Arial" w:cs="Arial"/>
          <w:b/>
          <w:bCs/>
          <w:spacing w:val="-1"/>
          <w:position w:val="-1"/>
          <w:sz w:val="20"/>
          <w:szCs w:val="20"/>
        </w:rPr>
        <w:t>a</w:t>
      </w:r>
      <w:r w:rsidR="007F01AA" w:rsidRPr="00093CD2">
        <w:rPr>
          <w:rFonts w:ascii="Arial" w:hAnsi="Arial" w:cs="Arial"/>
          <w:b/>
          <w:bCs/>
          <w:position w:val="-1"/>
          <w:sz w:val="20"/>
          <w:szCs w:val="20"/>
        </w:rPr>
        <w:t>tion:</w:t>
      </w:r>
      <w:r w:rsidR="007F01AA" w:rsidRPr="00093CD2">
        <w:rPr>
          <w:rFonts w:ascii="Arial" w:hAnsi="Arial" w:cs="Arial"/>
          <w:b/>
          <w:bCs/>
          <w:position w:val="-1"/>
          <w:sz w:val="20"/>
          <w:szCs w:val="20"/>
        </w:rPr>
        <w:tab/>
      </w:r>
      <w:r w:rsidRPr="00093CD2">
        <w:rPr>
          <w:rFonts w:ascii="Arial" w:hAnsi="Arial" w:cs="Arial"/>
          <w:bCs/>
          <w:position w:val="-1"/>
          <w:sz w:val="20"/>
          <w:szCs w:val="20"/>
        </w:rPr>
        <w:t xml:space="preserve">Adelaide, Brisbane, Canberra, Melbourne, Perth, </w:t>
      </w:r>
    </w:p>
    <w:p w14:paraId="60209769" w14:textId="4CFDE855" w:rsidR="00093CD2" w:rsidRPr="00093CD2" w:rsidRDefault="00093CD2" w:rsidP="00093CD2">
      <w:pPr>
        <w:widowControl w:val="0"/>
        <w:tabs>
          <w:tab w:val="left" w:pos="2520"/>
        </w:tabs>
        <w:autoSpaceDE w:val="0"/>
        <w:autoSpaceDN w:val="0"/>
        <w:adjustRightInd w:val="0"/>
        <w:spacing w:before="36" w:after="0" w:line="360" w:lineRule="auto"/>
        <w:ind w:left="2880" w:right="-20" w:hanging="2880"/>
        <w:rPr>
          <w:rFonts w:ascii="Arial" w:hAnsi="Arial" w:cs="Arial"/>
          <w:bCs/>
          <w:position w:val="-1"/>
          <w:sz w:val="20"/>
          <w:szCs w:val="20"/>
        </w:rPr>
      </w:pPr>
      <w:r w:rsidRPr="00093CD2">
        <w:rPr>
          <w:rFonts w:ascii="Arial" w:hAnsi="Arial" w:cs="Arial"/>
          <w:b/>
          <w:bCs/>
          <w:position w:val="-1"/>
          <w:sz w:val="20"/>
          <w:szCs w:val="20"/>
        </w:rPr>
        <w:tab/>
      </w:r>
      <w:r w:rsidRPr="00093CD2">
        <w:rPr>
          <w:rFonts w:ascii="Arial" w:hAnsi="Arial" w:cs="Arial"/>
          <w:bCs/>
          <w:position w:val="-1"/>
          <w:sz w:val="20"/>
          <w:szCs w:val="20"/>
        </w:rPr>
        <w:t xml:space="preserve">Parramatta (NSW), Hobart. </w:t>
      </w:r>
    </w:p>
    <w:p w14:paraId="57CDC42F" w14:textId="4B7077D0" w:rsidR="007F01AA" w:rsidRPr="00093CD2" w:rsidRDefault="007F01AA" w:rsidP="0081710C">
      <w:pPr>
        <w:widowControl w:val="0"/>
        <w:tabs>
          <w:tab w:val="left" w:pos="2520"/>
        </w:tabs>
        <w:autoSpaceDE w:val="0"/>
        <w:autoSpaceDN w:val="0"/>
        <w:adjustRightInd w:val="0"/>
        <w:spacing w:before="36" w:after="0" w:line="360" w:lineRule="auto"/>
        <w:ind w:left="261"/>
        <w:rPr>
          <w:rFonts w:ascii="Arial" w:hAnsi="Arial" w:cs="Arial"/>
          <w:sz w:val="20"/>
          <w:szCs w:val="20"/>
        </w:rPr>
      </w:pPr>
      <w:r w:rsidRPr="00093CD2">
        <w:rPr>
          <w:rFonts w:ascii="Arial" w:hAnsi="Arial" w:cs="Arial"/>
          <w:b/>
          <w:bCs/>
          <w:position w:val="-1"/>
          <w:sz w:val="20"/>
          <w:szCs w:val="20"/>
        </w:rPr>
        <w:t>Repo</w:t>
      </w:r>
      <w:r w:rsidRPr="00093CD2">
        <w:rPr>
          <w:rFonts w:ascii="Arial" w:hAnsi="Arial" w:cs="Arial"/>
          <w:b/>
          <w:bCs/>
          <w:spacing w:val="-1"/>
          <w:position w:val="-1"/>
          <w:sz w:val="20"/>
          <w:szCs w:val="20"/>
        </w:rPr>
        <w:t>r</w:t>
      </w:r>
      <w:r w:rsidRPr="00093CD2">
        <w:rPr>
          <w:rFonts w:ascii="Arial" w:hAnsi="Arial" w:cs="Arial"/>
          <w:b/>
          <w:bCs/>
          <w:position w:val="-1"/>
          <w:sz w:val="20"/>
          <w:szCs w:val="20"/>
        </w:rPr>
        <w:t>ting t</w:t>
      </w:r>
      <w:r w:rsidRPr="00093CD2">
        <w:rPr>
          <w:rFonts w:ascii="Arial" w:hAnsi="Arial" w:cs="Arial"/>
          <w:b/>
          <w:bCs/>
          <w:spacing w:val="-1"/>
          <w:position w:val="-1"/>
          <w:sz w:val="20"/>
          <w:szCs w:val="20"/>
        </w:rPr>
        <w:t>o</w:t>
      </w:r>
      <w:r w:rsidRPr="00093CD2">
        <w:rPr>
          <w:rFonts w:ascii="Arial" w:hAnsi="Arial" w:cs="Arial"/>
          <w:b/>
          <w:bCs/>
          <w:position w:val="-1"/>
          <w:sz w:val="20"/>
          <w:szCs w:val="20"/>
        </w:rPr>
        <w:t>:</w:t>
      </w:r>
      <w:r w:rsidRPr="00093CD2">
        <w:rPr>
          <w:rFonts w:ascii="Arial" w:hAnsi="Arial" w:cs="Arial"/>
          <w:b/>
          <w:bCs/>
          <w:position w:val="-1"/>
          <w:sz w:val="20"/>
          <w:szCs w:val="20"/>
        </w:rPr>
        <w:tab/>
      </w:r>
      <w:r w:rsidR="00093CD2" w:rsidRPr="00093CD2">
        <w:rPr>
          <w:rFonts w:ascii="Arial" w:hAnsi="Arial" w:cs="Arial"/>
          <w:bCs/>
          <w:position w:val="-1"/>
          <w:sz w:val="20"/>
          <w:szCs w:val="20"/>
        </w:rPr>
        <w:t>Assistant Director (EL1)</w:t>
      </w:r>
    </w:p>
    <w:p w14:paraId="0BEC28E0" w14:textId="18CF697F" w:rsidR="007F01AA" w:rsidRPr="00093CD2" w:rsidRDefault="007F01AA" w:rsidP="00810F2E">
      <w:pPr>
        <w:widowControl w:val="0"/>
        <w:tabs>
          <w:tab w:val="left" w:pos="2520"/>
        </w:tabs>
        <w:autoSpaceDE w:val="0"/>
        <w:autoSpaceDN w:val="0"/>
        <w:adjustRightInd w:val="0"/>
        <w:spacing w:before="35" w:after="0"/>
        <w:ind w:left="2520" w:right="-20" w:hanging="2258"/>
        <w:rPr>
          <w:rFonts w:ascii="Arial" w:hAnsi="Arial" w:cs="Arial"/>
          <w:bCs/>
          <w:position w:val="-1"/>
          <w:sz w:val="20"/>
          <w:szCs w:val="20"/>
        </w:rPr>
      </w:pPr>
      <w:r w:rsidRPr="00093CD2">
        <w:rPr>
          <w:rFonts w:ascii="Arial" w:hAnsi="Arial" w:cs="Arial"/>
          <w:b/>
          <w:bCs/>
          <w:position w:val="-1"/>
          <w:sz w:val="20"/>
          <w:szCs w:val="20"/>
        </w:rPr>
        <w:t xml:space="preserve">Purpose </w:t>
      </w:r>
      <w:r w:rsidRPr="00093CD2">
        <w:rPr>
          <w:rFonts w:ascii="Arial" w:hAnsi="Arial" w:cs="Arial"/>
          <w:b/>
          <w:bCs/>
          <w:spacing w:val="-1"/>
          <w:position w:val="-1"/>
          <w:sz w:val="20"/>
          <w:szCs w:val="20"/>
        </w:rPr>
        <w:t>o</w:t>
      </w:r>
      <w:r w:rsidRPr="00093CD2">
        <w:rPr>
          <w:rFonts w:ascii="Arial" w:hAnsi="Arial" w:cs="Arial"/>
          <w:b/>
          <w:bCs/>
          <w:position w:val="-1"/>
          <w:sz w:val="20"/>
          <w:szCs w:val="20"/>
        </w:rPr>
        <w:t>f position:</w:t>
      </w:r>
      <w:r w:rsidRPr="00093CD2">
        <w:rPr>
          <w:rFonts w:ascii="Arial" w:hAnsi="Arial" w:cs="Arial"/>
          <w:b/>
          <w:bCs/>
          <w:position w:val="-1"/>
          <w:sz w:val="20"/>
          <w:szCs w:val="20"/>
        </w:rPr>
        <w:tab/>
      </w:r>
      <w:r w:rsidR="00093CD2" w:rsidRPr="00093CD2">
        <w:rPr>
          <w:rFonts w:ascii="Arial" w:hAnsi="Arial" w:cs="Arial"/>
          <w:bCs/>
          <w:position w:val="-1"/>
          <w:sz w:val="20"/>
          <w:szCs w:val="20"/>
        </w:rPr>
        <w:t>Senior Investigation Officers would undertake risk assessments in response to reported incidents which may lead to the preparation of an investigation plan, investigation of incidents and production of an investigation report including recommendations for the decision</w:t>
      </w:r>
    </w:p>
    <w:p w14:paraId="519F84E8" w14:textId="77777777" w:rsidR="00200955" w:rsidRPr="00093CD2" w:rsidRDefault="00200955" w:rsidP="00631CA5">
      <w:pPr>
        <w:widowControl w:val="0"/>
        <w:autoSpaceDE w:val="0"/>
        <w:autoSpaceDN w:val="0"/>
        <w:adjustRightInd w:val="0"/>
        <w:spacing w:after="0" w:line="200" w:lineRule="exact"/>
        <w:ind w:firstLine="360"/>
        <w:rPr>
          <w:rFonts w:ascii="Arial" w:hAnsi="Arial" w:cs="Arial"/>
          <w:color w:val="585858"/>
          <w:sz w:val="20"/>
          <w:szCs w:val="20"/>
        </w:rPr>
      </w:pPr>
    </w:p>
    <w:p w14:paraId="6FBA9DE2" w14:textId="77777777" w:rsidR="00200955" w:rsidRPr="00093CD2" w:rsidRDefault="00200955" w:rsidP="00631CA5">
      <w:pPr>
        <w:widowControl w:val="0"/>
        <w:autoSpaceDE w:val="0"/>
        <w:autoSpaceDN w:val="0"/>
        <w:adjustRightInd w:val="0"/>
        <w:spacing w:after="0" w:line="200" w:lineRule="exact"/>
        <w:ind w:firstLine="360"/>
        <w:rPr>
          <w:rFonts w:ascii="Arial" w:hAnsi="Arial" w:cs="Arial"/>
          <w:color w:val="585858"/>
          <w:sz w:val="20"/>
          <w:szCs w:val="20"/>
        </w:rPr>
      </w:pPr>
    </w:p>
    <w:p w14:paraId="67580DAF" w14:textId="7BDA1485"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We are looking for experienced investigation officers who will undertake risk assessments in response to reported incidents which may lead to the preparation of an investigation plan, investigation of incidents and production of an investigation report including recommendations for decision.  The roles include field-based work with over-night travel commonly required which may include visits across states and territories.  Flex-time is available to support management of the travel expectations of the role.</w:t>
      </w:r>
    </w:p>
    <w:p w14:paraId="7852249E"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3811CDEA" w14:textId="0253B205"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Successful candidates will have demonstrated experience in undertaking investigations in a human service environment and will preferably hold a Certificate IV in Government Investigations (or equivalent). The role is primarily a SIRS investigation role however successful candidates will be provided with a comprehensive training program leading to registration as Registration as a Quality Assessor and may be expected to participate in assessment and monitoring activities as well as investigations.</w:t>
      </w:r>
    </w:p>
    <w:p w14:paraId="5FE11D97"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1E154D98" w14:textId="5A39176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The successful candidates, as authorised officers of the Commissioner, will: </w:t>
      </w:r>
    </w:p>
    <w:p w14:paraId="5B43AA53"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324E93EA" w14:textId="5785E07C"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Plan participate in and lead investigations into incidents reported under the Serious Incident Response Scheme. </w:t>
      </w:r>
    </w:p>
    <w:p w14:paraId="0B8D4DBB" w14:textId="29BABFD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•Assess data and complete risk analysis in line with Commission’s risk matrix and operational </w:t>
      </w:r>
      <w:proofErr w:type="gramStart"/>
      <w:r w:rsidRPr="00093CD2">
        <w:rPr>
          <w:rFonts w:ascii="Arial" w:hAnsi="Arial" w:cs="Arial"/>
          <w:bCs/>
          <w:position w:val="-1"/>
          <w:sz w:val="20"/>
          <w:szCs w:val="20"/>
        </w:rPr>
        <w:t>guidance, and</w:t>
      </w:r>
      <w:proofErr w:type="gramEnd"/>
      <w:r w:rsidRPr="00093CD2">
        <w:rPr>
          <w:rFonts w:ascii="Arial" w:hAnsi="Arial" w:cs="Arial"/>
          <w:bCs/>
          <w:position w:val="-1"/>
          <w:sz w:val="20"/>
          <w:szCs w:val="20"/>
        </w:rPr>
        <w:t xml:space="preserve"> develop highly quality investigation plans in response. </w:t>
      </w:r>
    </w:p>
    <w:p w14:paraId="46EBAA9E" w14:textId="4FA9BDC8"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Conduct interviews, prepare statements and affidavits and use monitoring and investigation powers to identify and collect evidential material. </w:t>
      </w:r>
    </w:p>
    <w:p w14:paraId="59FD4544" w14:textId="3507648B"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Collect, secure and manage evidential material and confidential information gathered during investigations and other compliance activities. </w:t>
      </w:r>
    </w:p>
    <w:p w14:paraId="645721AF" w14:textId="269833C6"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Produce high quality investigation reports and briefs of evidence to support recommended administrative action including compliance and enforcement decisions. </w:t>
      </w:r>
    </w:p>
    <w:p w14:paraId="7DB42A8F" w14:textId="7F3D0D5C"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Work collaboratively with consumers and their representatives, representatives of aged care services, and with other teams within the Commission.</w:t>
      </w:r>
    </w:p>
    <w:p w14:paraId="03D1B70D" w14:textId="69BF122C"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Participate in the delivery of education opportunities to inform and educate aged care providers and clients and the public about the Commissioner’s functions and the requirements of relevant legislation and rules. </w:t>
      </w:r>
    </w:p>
    <w:p w14:paraId="1F680E05" w14:textId="5B3A4956"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 xml:space="preserve">Provide coaching, mentoring and guidance to other Commission staff and contribute to a learning culture where expertise can be appropriately shared. </w:t>
      </w:r>
    </w:p>
    <w:p w14:paraId="75EE944E" w14:textId="694D4130"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w:t>
      </w:r>
      <w:r>
        <w:rPr>
          <w:rFonts w:ascii="Arial" w:hAnsi="Arial" w:cs="Arial"/>
          <w:bCs/>
          <w:position w:val="-1"/>
          <w:sz w:val="20"/>
          <w:szCs w:val="20"/>
        </w:rPr>
        <w:t xml:space="preserve"> </w:t>
      </w:r>
      <w:r w:rsidRPr="00093CD2">
        <w:rPr>
          <w:rFonts w:ascii="Arial" w:hAnsi="Arial" w:cs="Arial"/>
          <w:bCs/>
          <w:position w:val="-1"/>
          <w:sz w:val="20"/>
          <w:szCs w:val="20"/>
        </w:rPr>
        <w:t>As required perform the monitoring and performance assessment functions of the Quality Assessor role or other activities as directed.</w:t>
      </w:r>
    </w:p>
    <w:p w14:paraId="5CBC60E8"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 </w:t>
      </w:r>
    </w:p>
    <w:p w14:paraId="0330609C"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2AEFBCBF"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17402979"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3FC7C3AB"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3A413B6B"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28E185D3" w14:textId="7777777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41DE85C3" w14:textId="7391511C" w:rsid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Our ideal candidate will have an ability to engage positively with older people and their representatives, always apply professional behaviours, and have demonstrated experience in a similar role, including: </w:t>
      </w:r>
    </w:p>
    <w:p w14:paraId="268E7971"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10BE6FBF" w14:textId="71A35F88"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1.The capacity to develop sound working relationships to understand consumer risk and escalate issues accordingly. </w:t>
      </w:r>
    </w:p>
    <w:p w14:paraId="74D1A70F" w14:textId="2394CF2E"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2.High level investigation skills including the ability to identify likely breaches, and gather, analyse and present evidence. </w:t>
      </w:r>
    </w:p>
    <w:p w14:paraId="2A02DEE4" w14:textId="1EDCEB68"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3.Broad understanding of contemporary regulatory processes, inclusive practices and experience in leading investigations. </w:t>
      </w:r>
    </w:p>
    <w:p w14:paraId="4B2D8ECB" w14:textId="1C3FCA80"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4.Good written communications skills supporting an ability to produce quality reports and briefs. </w:t>
      </w:r>
    </w:p>
    <w:p w14:paraId="2DCBE3E7" w14:textId="5648628C"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5.Previous experience in conducting interviews, preparing evidence-based statements, and recommending actions in line with legislative authority.  </w:t>
      </w:r>
    </w:p>
    <w:p w14:paraId="01F2ECD0" w14:textId="31F96ABA"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6.Ability to identify opportunities for continuous improvement to achieve quality outcomes. </w:t>
      </w:r>
    </w:p>
    <w:p w14:paraId="5F739D82" w14:textId="4880418E"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7.The ability and the confidence to make sound judgements based on thorough research, problem solving, innovation and evidence-based practice, to achieve the objectives of the Commission. </w:t>
      </w:r>
    </w:p>
    <w:p w14:paraId="716E7C09" w14:textId="7B5FB235"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8.The ability to maintain personal resilience and </w:t>
      </w:r>
      <w:proofErr w:type="gramStart"/>
      <w:r w:rsidRPr="00093CD2">
        <w:rPr>
          <w:rFonts w:ascii="Arial" w:hAnsi="Arial" w:cs="Arial"/>
          <w:bCs/>
          <w:position w:val="-1"/>
          <w:sz w:val="20"/>
          <w:szCs w:val="20"/>
        </w:rPr>
        <w:t>wellbeing, and</w:t>
      </w:r>
      <w:proofErr w:type="gramEnd"/>
      <w:r w:rsidRPr="00093CD2">
        <w:rPr>
          <w:rFonts w:ascii="Arial" w:hAnsi="Arial" w:cs="Arial"/>
          <w:bCs/>
          <w:position w:val="-1"/>
          <w:sz w:val="20"/>
          <w:szCs w:val="20"/>
        </w:rPr>
        <w:t xml:space="preserve"> work flexibly in a changing environment.</w:t>
      </w:r>
    </w:p>
    <w:p w14:paraId="3699671F"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3615E1DC"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Our ideal candidate will also have: </w:t>
      </w:r>
    </w:p>
    <w:p w14:paraId="00868759" w14:textId="77777777"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p>
    <w:p w14:paraId="44030D51" w14:textId="2144A25A"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•An understanding of the Aged Care Act 1997 and Aged Care Quality and Safety Commission Act 2018 or similar legislation.</w:t>
      </w:r>
    </w:p>
    <w:p w14:paraId="4422A7CE" w14:textId="61151D5A" w:rsidR="00093CD2"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 xml:space="preserve">•Experience in or demonstrated understanding of aged care services and inclusive practices. </w:t>
      </w:r>
    </w:p>
    <w:p w14:paraId="6547CCA1" w14:textId="0213EA8E" w:rsidR="00D831AF" w:rsidRPr="00093CD2" w:rsidRDefault="00093CD2" w:rsidP="00A3182D">
      <w:pPr>
        <w:widowControl w:val="0"/>
        <w:autoSpaceDE w:val="0"/>
        <w:autoSpaceDN w:val="0"/>
        <w:adjustRightInd w:val="0"/>
        <w:spacing w:after="0"/>
        <w:jc w:val="both"/>
        <w:rPr>
          <w:rFonts w:ascii="Arial" w:hAnsi="Arial" w:cs="Arial"/>
          <w:bCs/>
          <w:position w:val="-1"/>
          <w:sz w:val="20"/>
          <w:szCs w:val="20"/>
        </w:rPr>
      </w:pPr>
      <w:r w:rsidRPr="00093CD2">
        <w:rPr>
          <w:rFonts w:ascii="Arial" w:hAnsi="Arial" w:cs="Arial"/>
          <w:bCs/>
          <w:position w:val="-1"/>
          <w:sz w:val="20"/>
          <w:szCs w:val="20"/>
        </w:rPr>
        <w:t>•Certificate IV in Government (Investigations) or equivalent.</w:t>
      </w:r>
    </w:p>
    <w:p w14:paraId="0E821B20"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30575DE9"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22BA91D5" w14:textId="5119E96E" w:rsidR="00D831AF" w:rsidRDefault="00D831AF" w:rsidP="00A3182D">
      <w:pPr>
        <w:widowControl w:val="0"/>
        <w:autoSpaceDE w:val="0"/>
        <w:autoSpaceDN w:val="0"/>
        <w:adjustRightInd w:val="0"/>
        <w:spacing w:after="0"/>
        <w:jc w:val="both"/>
        <w:rPr>
          <w:rFonts w:ascii="Arial" w:hAnsi="Arial" w:cs="Arial"/>
          <w:bCs/>
          <w:position w:val="-1"/>
          <w:sz w:val="20"/>
          <w:szCs w:val="20"/>
        </w:rPr>
      </w:pPr>
    </w:p>
    <w:p w14:paraId="6A1D025E" w14:textId="75F0C615"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30EC1016" w14:textId="6B31EA97"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75019172" w14:textId="5835C683" w:rsidR="00A3182D" w:rsidRDefault="00A3182D" w:rsidP="00A3182D">
      <w:pPr>
        <w:widowControl w:val="0"/>
        <w:autoSpaceDE w:val="0"/>
        <w:autoSpaceDN w:val="0"/>
        <w:adjustRightInd w:val="0"/>
        <w:spacing w:after="0"/>
        <w:jc w:val="both"/>
        <w:rPr>
          <w:rFonts w:ascii="Arial" w:hAnsi="Arial" w:cs="Arial"/>
          <w:bCs/>
          <w:position w:val="-1"/>
          <w:sz w:val="20"/>
          <w:szCs w:val="20"/>
        </w:rPr>
      </w:pPr>
    </w:p>
    <w:p w14:paraId="220D726C" w14:textId="77777777" w:rsidR="00A3182D" w:rsidRPr="00093CD2" w:rsidRDefault="00A3182D" w:rsidP="00A3182D">
      <w:pPr>
        <w:widowControl w:val="0"/>
        <w:autoSpaceDE w:val="0"/>
        <w:autoSpaceDN w:val="0"/>
        <w:adjustRightInd w:val="0"/>
        <w:spacing w:after="0"/>
        <w:jc w:val="both"/>
        <w:rPr>
          <w:rFonts w:ascii="Arial" w:hAnsi="Arial" w:cs="Arial"/>
          <w:bCs/>
          <w:position w:val="-1"/>
          <w:sz w:val="20"/>
          <w:szCs w:val="20"/>
        </w:rPr>
      </w:pPr>
    </w:p>
    <w:p w14:paraId="6A795837"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4C3A2CE4"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6ED90AC8"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177F8056"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116B2974"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5722022F"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4EBAA402"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6932BFE2" w14:textId="77777777" w:rsidR="00D831AF" w:rsidRPr="00093CD2" w:rsidRDefault="00D831AF" w:rsidP="00A3182D">
      <w:pPr>
        <w:widowControl w:val="0"/>
        <w:autoSpaceDE w:val="0"/>
        <w:autoSpaceDN w:val="0"/>
        <w:adjustRightInd w:val="0"/>
        <w:spacing w:after="0"/>
        <w:jc w:val="both"/>
        <w:rPr>
          <w:rFonts w:ascii="Arial" w:hAnsi="Arial" w:cs="Arial"/>
          <w:bCs/>
          <w:position w:val="-1"/>
          <w:sz w:val="20"/>
          <w:szCs w:val="20"/>
        </w:rPr>
      </w:pPr>
    </w:p>
    <w:p w14:paraId="5AF8352A" w14:textId="77777777" w:rsidR="00D831AF" w:rsidRPr="00093CD2" w:rsidRDefault="00D831AF" w:rsidP="00A3182D">
      <w:pPr>
        <w:widowControl w:val="0"/>
        <w:autoSpaceDE w:val="0"/>
        <w:autoSpaceDN w:val="0"/>
        <w:adjustRightInd w:val="0"/>
        <w:spacing w:after="0"/>
        <w:jc w:val="both"/>
        <w:rPr>
          <w:rFonts w:ascii="Arial" w:hAnsi="Arial" w:cs="Arial"/>
          <w:b/>
          <w:sz w:val="20"/>
          <w:szCs w:val="20"/>
        </w:rPr>
      </w:pPr>
    </w:p>
    <w:p w14:paraId="7F1C73F4" w14:textId="77777777" w:rsidR="00D831AF" w:rsidRPr="00093CD2" w:rsidRDefault="00D831AF" w:rsidP="00A3182D">
      <w:pPr>
        <w:widowControl w:val="0"/>
        <w:autoSpaceDE w:val="0"/>
        <w:autoSpaceDN w:val="0"/>
        <w:adjustRightInd w:val="0"/>
        <w:spacing w:after="0"/>
        <w:jc w:val="both"/>
        <w:rPr>
          <w:rFonts w:ascii="Arial" w:hAnsi="Arial" w:cs="Arial"/>
          <w:b/>
          <w:sz w:val="20"/>
          <w:szCs w:val="20"/>
        </w:rPr>
      </w:pPr>
    </w:p>
    <w:p w14:paraId="019966D5" w14:textId="77777777" w:rsidR="00D831AF" w:rsidRPr="00093CD2" w:rsidRDefault="00D831AF" w:rsidP="00A3182D">
      <w:pPr>
        <w:widowControl w:val="0"/>
        <w:autoSpaceDE w:val="0"/>
        <w:autoSpaceDN w:val="0"/>
        <w:adjustRightInd w:val="0"/>
        <w:spacing w:after="0"/>
        <w:jc w:val="both"/>
        <w:rPr>
          <w:rFonts w:ascii="Arial" w:hAnsi="Arial" w:cs="Arial"/>
          <w:b/>
          <w:sz w:val="20"/>
          <w:szCs w:val="20"/>
        </w:rPr>
      </w:pPr>
    </w:p>
    <w:p w14:paraId="750AB159" w14:textId="77777777" w:rsidR="00D831AF" w:rsidRPr="00093CD2" w:rsidRDefault="00D831AF" w:rsidP="00A3182D">
      <w:pPr>
        <w:widowControl w:val="0"/>
        <w:autoSpaceDE w:val="0"/>
        <w:autoSpaceDN w:val="0"/>
        <w:adjustRightInd w:val="0"/>
        <w:spacing w:after="0"/>
        <w:jc w:val="both"/>
        <w:rPr>
          <w:rFonts w:ascii="Arial" w:hAnsi="Arial" w:cs="Arial"/>
          <w:b/>
          <w:sz w:val="20"/>
          <w:szCs w:val="20"/>
        </w:rPr>
      </w:pPr>
    </w:p>
    <w:p w14:paraId="36429779" w14:textId="77777777" w:rsidR="00D831AF" w:rsidRPr="00093CD2" w:rsidRDefault="00D831AF" w:rsidP="00A3182D">
      <w:pPr>
        <w:widowControl w:val="0"/>
        <w:autoSpaceDE w:val="0"/>
        <w:autoSpaceDN w:val="0"/>
        <w:adjustRightInd w:val="0"/>
        <w:spacing w:after="0"/>
        <w:jc w:val="both"/>
        <w:rPr>
          <w:rFonts w:ascii="Arial" w:hAnsi="Arial" w:cs="Arial"/>
          <w:b/>
          <w:sz w:val="20"/>
          <w:szCs w:val="20"/>
        </w:rPr>
      </w:pPr>
    </w:p>
    <w:p w14:paraId="33B9D0CE" w14:textId="54590589" w:rsidR="00D831AF" w:rsidRDefault="00D831AF" w:rsidP="00A3182D">
      <w:pPr>
        <w:widowControl w:val="0"/>
        <w:autoSpaceDE w:val="0"/>
        <w:autoSpaceDN w:val="0"/>
        <w:adjustRightInd w:val="0"/>
        <w:spacing w:after="0"/>
        <w:jc w:val="both"/>
        <w:rPr>
          <w:rFonts w:ascii="Arial" w:hAnsi="Arial" w:cs="Arial"/>
          <w:b/>
          <w:sz w:val="20"/>
          <w:szCs w:val="20"/>
        </w:rPr>
      </w:pPr>
    </w:p>
    <w:p w14:paraId="76364CE8" w14:textId="1C314EF4" w:rsidR="00A3182D" w:rsidRDefault="00A3182D" w:rsidP="00A3182D">
      <w:pPr>
        <w:widowControl w:val="0"/>
        <w:autoSpaceDE w:val="0"/>
        <w:autoSpaceDN w:val="0"/>
        <w:adjustRightInd w:val="0"/>
        <w:spacing w:after="0"/>
        <w:jc w:val="both"/>
        <w:rPr>
          <w:rFonts w:ascii="Arial" w:hAnsi="Arial" w:cs="Arial"/>
          <w:b/>
          <w:sz w:val="20"/>
          <w:szCs w:val="20"/>
        </w:rPr>
      </w:pPr>
    </w:p>
    <w:p w14:paraId="2AAEA50F" w14:textId="08FEEFB1" w:rsidR="00A3182D" w:rsidRDefault="00A3182D" w:rsidP="00A3182D">
      <w:pPr>
        <w:widowControl w:val="0"/>
        <w:autoSpaceDE w:val="0"/>
        <w:autoSpaceDN w:val="0"/>
        <w:adjustRightInd w:val="0"/>
        <w:spacing w:after="0"/>
        <w:jc w:val="both"/>
        <w:rPr>
          <w:rFonts w:ascii="Arial" w:hAnsi="Arial" w:cs="Arial"/>
          <w:b/>
          <w:sz w:val="20"/>
          <w:szCs w:val="20"/>
        </w:rPr>
      </w:pPr>
    </w:p>
    <w:p w14:paraId="373E1877" w14:textId="643D6BCA" w:rsidR="00A3182D" w:rsidRDefault="00A3182D" w:rsidP="00A3182D">
      <w:pPr>
        <w:widowControl w:val="0"/>
        <w:autoSpaceDE w:val="0"/>
        <w:autoSpaceDN w:val="0"/>
        <w:adjustRightInd w:val="0"/>
        <w:spacing w:after="0"/>
        <w:jc w:val="both"/>
        <w:rPr>
          <w:rFonts w:ascii="Arial" w:hAnsi="Arial" w:cs="Arial"/>
          <w:b/>
          <w:sz w:val="20"/>
          <w:szCs w:val="20"/>
        </w:rPr>
      </w:pPr>
    </w:p>
    <w:p w14:paraId="235D0711" w14:textId="42E4D31E" w:rsidR="00A3182D" w:rsidRDefault="00A3182D" w:rsidP="00A3182D">
      <w:pPr>
        <w:widowControl w:val="0"/>
        <w:autoSpaceDE w:val="0"/>
        <w:autoSpaceDN w:val="0"/>
        <w:adjustRightInd w:val="0"/>
        <w:spacing w:after="0"/>
        <w:jc w:val="both"/>
        <w:rPr>
          <w:rFonts w:ascii="Arial" w:hAnsi="Arial" w:cs="Arial"/>
          <w:b/>
          <w:sz w:val="20"/>
          <w:szCs w:val="20"/>
        </w:rPr>
      </w:pPr>
    </w:p>
    <w:p w14:paraId="5F840BB9" w14:textId="67C2B2A3" w:rsidR="00A3182D" w:rsidRDefault="00A3182D" w:rsidP="00A3182D">
      <w:pPr>
        <w:widowControl w:val="0"/>
        <w:autoSpaceDE w:val="0"/>
        <w:autoSpaceDN w:val="0"/>
        <w:adjustRightInd w:val="0"/>
        <w:spacing w:after="0"/>
        <w:jc w:val="both"/>
        <w:rPr>
          <w:rFonts w:ascii="Arial" w:hAnsi="Arial" w:cs="Arial"/>
          <w:b/>
          <w:sz w:val="20"/>
          <w:szCs w:val="20"/>
        </w:rPr>
      </w:pPr>
    </w:p>
    <w:p w14:paraId="334C0FC7" w14:textId="080602BD" w:rsidR="00A3182D" w:rsidRDefault="00A3182D" w:rsidP="00A3182D">
      <w:pPr>
        <w:widowControl w:val="0"/>
        <w:autoSpaceDE w:val="0"/>
        <w:autoSpaceDN w:val="0"/>
        <w:adjustRightInd w:val="0"/>
        <w:spacing w:after="0"/>
        <w:jc w:val="both"/>
        <w:rPr>
          <w:rFonts w:ascii="Arial" w:hAnsi="Arial" w:cs="Arial"/>
          <w:b/>
          <w:sz w:val="20"/>
          <w:szCs w:val="20"/>
        </w:rPr>
      </w:pPr>
    </w:p>
    <w:p w14:paraId="69A3BE09" w14:textId="49BE5402" w:rsidR="00A3182D" w:rsidRDefault="00A3182D" w:rsidP="00A3182D">
      <w:pPr>
        <w:widowControl w:val="0"/>
        <w:autoSpaceDE w:val="0"/>
        <w:autoSpaceDN w:val="0"/>
        <w:adjustRightInd w:val="0"/>
        <w:spacing w:after="0"/>
        <w:jc w:val="both"/>
        <w:rPr>
          <w:rFonts w:ascii="Arial" w:hAnsi="Arial" w:cs="Arial"/>
          <w:b/>
          <w:sz w:val="20"/>
          <w:szCs w:val="20"/>
        </w:rPr>
      </w:pPr>
    </w:p>
    <w:p w14:paraId="25A9AA6B" w14:textId="78FB8E9A" w:rsidR="00A3182D" w:rsidRDefault="00A3182D" w:rsidP="00A3182D">
      <w:pPr>
        <w:widowControl w:val="0"/>
        <w:autoSpaceDE w:val="0"/>
        <w:autoSpaceDN w:val="0"/>
        <w:adjustRightInd w:val="0"/>
        <w:spacing w:after="0"/>
        <w:jc w:val="both"/>
        <w:rPr>
          <w:rFonts w:ascii="Arial" w:hAnsi="Arial" w:cs="Arial"/>
          <w:b/>
          <w:sz w:val="20"/>
          <w:szCs w:val="20"/>
        </w:rPr>
      </w:pPr>
    </w:p>
    <w:p w14:paraId="5DF8A518"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26E26C2D"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575CC7BF"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1D67DC94"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607042F9" w14:textId="77777777" w:rsidTr="00BD2807">
        <w:tc>
          <w:tcPr>
            <w:tcW w:w="2127" w:type="dxa"/>
            <w:shd w:val="clear" w:color="auto" w:fill="95B3D7"/>
          </w:tcPr>
          <w:p w14:paraId="3485ECB6"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10D6DEE2"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1E3132A2"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25F7D932" w14:textId="77777777" w:rsidTr="00BD2807">
        <w:tc>
          <w:tcPr>
            <w:tcW w:w="2127" w:type="dxa"/>
            <w:tcBorders>
              <w:left w:val="dotted" w:sz="4" w:space="0" w:color="auto"/>
              <w:bottom w:val="dotted" w:sz="4" w:space="0" w:color="auto"/>
              <w:right w:val="dotted" w:sz="4" w:space="0" w:color="auto"/>
            </w:tcBorders>
          </w:tcPr>
          <w:p w14:paraId="4DC6274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45DE441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7AE7B42B"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6CD7A090" w14:textId="77777777" w:rsidTr="00BD2807">
        <w:tc>
          <w:tcPr>
            <w:tcW w:w="2127" w:type="dxa"/>
            <w:tcBorders>
              <w:top w:val="dotted" w:sz="4" w:space="0" w:color="auto"/>
              <w:left w:val="dotted" w:sz="4" w:space="0" w:color="auto"/>
              <w:bottom w:val="dotted" w:sz="4" w:space="0" w:color="auto"/>
              <w:right w:val="dotted" w:sz="4" w:space="0" w:color="auto"/>
            </w:tcBorders>
          </w:tcPr>
          <w:p w14:paraId="30542B8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815D3A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686459D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054814EC" w14:textId="77777777" w:rsidTr="00BD2807">
        <w:tc>
          <w:tcPr>
            <w:tcW w:w="2127" w:type="dxa"/>
            <w:tcBorders>
              <w:top w:val="dotted" w:sz="4" w:space="0" w:color="auto"/>
              <w:left w:val="dotted" w:sz="4" w:space="0" w:color="auto"/>
              <w:bottom w:val="dotted" w:sz="4" w:space="0" w:color="auto"/>
              <w:right w:val="dotted" w:sz="4" w:space="0" w:color="auto"/>
            </w:tcBorders>
          </w:tcPr>
          <w:p w14:paraId="2737A02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C0720E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58851A2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62A3BD4D" w14:textId="77777777" w:rsidTr="00BD2807">
        <w:tc>
          <w:tcPr>
            <w:tcW w:w="2127" w:type="dxa"/>
            <w:tcBorders>
              <w:top w:val="dotted" w:sz="4" w:space="0" w:color="auto"/>
              <w:left w:val="dotted" w:sz="4" w:space="0" w:color="auto"/>
              <w:bottom w:val="single" w:sz="18" w:space="0" w:color="auto"/>
              <w:right w:val="dotted" w:sz="4" w:space="0" w:color="auto"/>
            </w:tcBorders>
          </w:tcPr>
          <w:p w14:paraId="3957464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430C40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3DDD020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69366949" w14:textId="77777777" w:rsidTr="00BD2807">
        <w:tc>
          <w:tcPr>
            <w:tcW w:w="2127" w:type="dxa"/>
            <w:tcBorders>
              <w:top w:val="single" w:sz="18" w:space="0" w:color="auto"/>
              <w:left w:val="dotted" w:sz="4" w:space="0" w:color="auto"/>
              <w:bottom w:val="dotted" w:sz="4" w:space="0" w:color="auto"/>
              <w:right w:val="dotted" w:sz="4" w:space="0" w:color="auto"/>
            </w:tcBorders>
          </w:tcPr>
          <w:p w14:paraId="3EA22F5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6EFF7D9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5A82DBC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6FAB7EC1" w14:textId="77777777" w:rsidTr="00BD2807">
        <w:tc>
          <w:tcPr>
            <w:tcW w:w="2127" w:type="dxa"/>
            <w:tcBorders>
              <w:top w:val="dotted" w:sz="4" w:space="0" w:color="auto"/>
              <w:left w:val="dotted" w:sz="4" w:space="0" w:color="auto"/>
              <w:bottom w:val="dotted" w:sz="4" w:space="0" w:color="auto"/>
              <w:right w:val="dotted" w:sz="4" w:space="0" w:color="auto"/>
            </w:tcBorders>
          </w:tcPr>
          <w:p w14:paraId="6772095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CDDE13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0715F02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03F26C34" w14:textId="77777777" w:rsidTr="00BD2807">
        <w:tc>
          <w:tcPr>
            <w:tcW w:w="2127" w:type="dxa"/>
            <w:tcBorders>
              <w:top w:val="dotted" w:sz="4" w:space="0" w:color="auto"/>
              <w:left w:val="dotted" w:sz="4" w:space="0" w:color="auto"/>
              <w:bottom w:val="dotted" w:sz="4" w:space="0" w:color="auto"/>
              <w:right w:val="dotted" w:sz="4" w:space="0" w:color="auto"/>
            </w:tcBorders>
          </w:tcPr>
          <w:p w14:paraId="212AA9D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CC2CDD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58605D9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0E62E4D1" w14:textId="77777777" w:rsidTr="00BD2807">
        <w:tc>
          <w:tcPr>
            <w:tcW w:w="2127" w:type="dxa"/>
            <w:tcBorders>
              <w:top w:val="dotted" w:sz="4" w:space="0" w:color="auto"/>
              <w:left w:val="dotted" w:sz="4" w:space="0" w:color="auto"/>
              <w:bottom w:val="single" w:sz="18" w:space="0" w:color="auto"/>
              <w:right w:val="dotted" w:sz="4" w:space="0" w:color="auto"/>
            </w:tcBorders>
          </w:tcPr>
          <w:p w14:paraId="062DC948"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258F8016"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0D3196ED"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4277A7C9"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036CB1E0"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BF0886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lastRenderedPageBreak/>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55ADFA2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Sees projects through to completion. Monitors project progress and adjusts plans as required. Commits to achieving quality outcomes and adheres to documentation procedures. Seeks feedback from supervisor </w:t>
            </w:r>
            <w:r>
              <w:rPr>
                <w:rFonts w:ascii="Arial" w:hAnsi="Arial" w:cs="Arial"/>
                <w:color w:val="333333"/>
                <w:sz w:val="18"/>
                <w:szCs w:val="18"/>
              </w:rPr>
              <w:lastRenderedPageBreak/>
              <w:t>to gauge satisfaction.</w:t>
            </w:r>
          </w:p>
        </w:tc>
      </w:tr>
      <w:tr w:rsidR="002A4CC7" w:rsidRPr="00CC7358" w14:paraId="26DDEA27" w14:textId="77777777" w:rsidTr="00BD2807">
        <w:tc>
          <w:tcPr>
            <w:tcW w:w="2127" w:type="dxa"/>
            <w:tcBorders>
              <w:top w:val="single" w:sz="18" w:space="0" w:color="auto"/>
              <w:left w:val="dotted" w:sz="4" w:space="0" w:color="auto"/>
              <w:bottom w:val="dotted" w:sz="4" w:space="0" w:color="auto"/>
              <w:right w:val="dotted" w:sz="4" w:space="0" w:color="auto"/>
            </w:tcBorders>
          </w:tcPr>
          <w:p w14:paraId="02F0EB5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lastRenderedPageBreak/>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6F80172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2006259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2A4CC7" w:rsidRPr="00CC7358" w14:paraId="2A6E5A21" w14:textId="77777777" w:rsidTr="00BD2807">
        <w:tc>
          <w:tcPr>
            <w:tcW w:w="2127" w:type="dxa"/>
            <w:tcBorders>
              <w:top w:val="dotted" w:sz="4" w:space="0" w:color="auto"/>
              <w:left w:val="dotted" w:sz="4" w:space="0" w:color="auto"/>
              <w:bottom w:val="dotted" w:sz="4" w:space="0" w:color="auto"/>
              <w:right w:val="dotted" w:sz="4" w:space="0" w:color="auto"/>
            </w:tcBorders>
          </w:tcPr>
          <w:p w14:paraId="2A6CA62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52EBA5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0CAED6A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751398CB" w14:textId="77777777" w:rsidTr="00BD2807">
        <w:tc>
          <w:tcPr>
            <w:tcW w:w="2127" w:type="dxa"/>
            <w:tcBorders>
              <w:top w:val="dotted" w:sz="4" w:space="0" w:color="auto"/>
              <w:left w:val="dotted" w:sz="4" w:space="0" w:color="auto"/>
              <w:bottom w:val="dotted" w:sz="4" w:space="0" w:color="auto"/>
              <w:right w:val="dotted" w:sz="4" w:space="0" w:color="auto"/>
            </w:tcBorders>
          </w:tcPr>
          <w:p w14:paraId="66846F1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1A5B92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4DBD5FD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277532DC" w14:textId="77777777" w:rsidTr="00BD2807">
        <w:tc>
          <w:tcPr>
            <w:tcW w:w="2127" w:type="dxa"/>
            <w:tcBorders>
              <w:top w:val="dotted" w:sz="4" w:space="0" w:color="auto"/>
              <w:left w:val="dotted" w:sz="4" w:space="0" w:color="auto"/>
              <w:bottom w:val="single" w:sz="18" w:space="0" w:color="auto"/>
              <w:right w:val="dotted" w:sz="4" w:space="0" w:color="auto"/>
            </w:tcBorders>
          </w:tcPr>
          <w:p w14:paraId="0BD9A48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378A71F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5543DCA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3474C4E1"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562CF83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163C1F9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1B94BF1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21F421E4" w14:textId="77777777" w:rsidTr="00BD2807">
        <w:tc>
          <w:tcPr>
            <w:tcW w:w="2127" w:type="dxa"/>
            <w:tcBorders>
              <w:top w:val="dotted" w:sz="4" w:space="0" w:color="auto"/>
              <w:left w:val="dotted" w:sz="4" w:space="0" w:color="auto"/>
              <w:bottom w:val="dotted" w:sz="4" w:space="0" w:color="auto"/>
              <w:right w:val="dotted" w:sz="4" w:space="0" w:color="auto"/>
            </w:tcBorders>
          </w:tcPr>
          <w:p w14:paraId="7EB1C38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4A7F3E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3A45C71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763D149A" w14:textId="77777777" w:rsidTr="00BD2807">
        <w:tc>
          <w:tcPr>
            <w:tcW w:w="2127" w:type="dxa"/>
            <w:tcBorders>
              <w:top w:val="dotted" w:sz="4" w:space="0" w:color="auto"/>
              <w:left w:val="dotted" w:sz="4" w:space="0" w:color="auto"/>
              <w:bottom w:val="dotted" w:sz="4" w:space="0" w:color="auto"/>
              <w:right w:val="dotted" w:sz="4" w:space="0" w:color="auto"/>
            </w:tcBorders>
          </w:tcPr>
          <w:p w14:paraId="2DC4DB7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423D0B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1D0C26E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791041CC" w14:textId="77777777" w:rsidTr="00BD2807">
        <w:tc>
          <w:tcPr>
            <w:tcW w:w="2127" w:type="dxa"/>
            <w:tcBorders>
              <w:top w:val="dotted" w:sz="4" w:space="0" w:color="auto"/>
              <w:left w:val="dotted" w:sz="4" w:space="0" w:color="auto"/>
              <w:bottom w:val="dotted" w:sz="4" w:space="0" w:color="auto"/>
              <w:right w:val="dotted" w:sz="4" w:space="0" w:color="auto"/>
            </w:tcBorders>
          </w:tcPr>
          <w:p w14:paraId="204C49F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9BF341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273D631E"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4400D850"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7FB92F6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E5BC19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211F2CA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0BD4660B" w14:textId="77777777" w:rsidTr="00BD2807">
        <w:tc>
          <w:tcPr>
            <w:tcW w:w="2127" w:type="dxa"/>
            <w:tcBorders>
              <w:top w:val="single" w:sz="18" w:space="0" w:color="auto"/>
              <w:left w:val="dotted" w:sz="4" w:space="0" w:color="auto"/>
              <w:bottom w:val="dotted" w:sz="4" w:space="0" w:color="auto"/>
              <w:right w:val="dotted" w:sz="4" w:space="0" w:color="auto"/>
            </w:tcBorders>
          </w:tcPr>
          <w:p w14:paraId="6F774023"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4CE47F1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74EB8ED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47EEE027" w14:textId="77777777" w:rsidTr="00BD2807">
        <w:tc>
          <w:tcPr>
            <w:tcW w:w="2127" w:type="dxa"/>
            <w:tcBorders>
              <w:top w:val="dotted" w:sz="4" w:space="0" w:color="auto"/>
              <w:left w:val="dotted" w:sz="4" w:space="0" w:color="auto"/>
              <w:bottom w:val="dotted" w:sz="4" w:space="0" w:color="auto"/>
              <w:right w:val="dotted" w:sz="4" w:space="0" w:color="auto"/>
            </w:tcBorders>
          </w:tcPr>
          <w:p w14:paraId="6E5B587C"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15E787F"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604165E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266B6E87"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321A0977"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BE9F725"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49BB02E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027BE845"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03DE4" w14:textId="77777777" w:rsidR="00336FAB" w:rsidRDefault="00336FAB">
      <w:pPr>
        <w:spacing w:after="0" w:line="240" w:lineRule="auto"/>
      </w:pPr>
      <w:r>
        <w:separator/>
      </w:r>
    </w:p>
  </w:endnote>
  <w:endnote w:type="continuationSeparator" w:id="0">
    <w:p w14:paraId="751103C0" w14:textId="77777777" w:rsidR="00336FAB" w:rsidRDefault="0033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5F60" w14:textId="6B1CB2CA" w:rsidR="00F9133F" w:rsidRDefault="00A3182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1DED016C" wp14:editId="2E82CDC4">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C3A6B"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CDK4K9+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85C3CCA" wp14:editId="3F28F449">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C1ACC"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C3CCA"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523C1ACC"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7594DFD4" wp14:editId="16068B65">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3846"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4DFD4"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43553846"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4D85" w14:textId="77777777" w:rsidR="00336FAB" w:rsidRDefault="00336FAB">
      <w:pPr>
        <w:spacing w:after="0" w:line="240" w:lineRule="auto"/>
      </w:pPr>
      <w:r>
        <w:separator/>
      </w:r>
    </w:p>
  </w:footnote>
  <w:footnote w:type="continuationSeparator" w:id="0">
    <w:p w14:paraId="67A75B56" w14:textId="77777777" w:rsidR="00336FAB" w:rsidRDefault="0033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40CE" w14:textId="3C2B39FF" w:rsidR="00F9133F" w:rsidRDefault="00A3182D">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0" locked="0" layoutInCell="1" allowOverlap="1" wp14:anchorId="253C85FD" wp14:editId="2F8C8085">
          <wp:simplePos x="0" y="0"/>
          <wp:positionH relativeFrom="margin">
            <wp:posOffset>-330200</wp:posOffset>
          </wp:positionH>
          <wp:positionV relativeFrom="page">
            <wp:posOffset>116205</wp:posOffset>
          </wp:positionV>
          <wp:extent cx="6663690" cy="650875"/>
          <wp:effectExtent l="0" t="0" r="0" b="0"/>
          <wp:wrapTopAndBottom/>
          <wp:docPr id="5"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2"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93CD2"/>
    <w:rsid w:val="000C0191"/>
    <w:rsid w:val="00112CD0"/>
    <w:rsid w:val="00125BFE"/>
    <w:rsid w:val="001369A9"/>
    <w:rsid w:val="00152ED2"/>
    <w:rsid w:val="001B4DD7"/>
    <w:rsid w:val="001E13FD"/>
    <w:rsid w:val="00200955"/>
    <w:rsid w:val="002232D1"/>
    <w:rsid w:val="002727B8"/>
    <w:rsid w:val="00282254"/>
    <w:rsid w:val="002919BB"/>
    <w:rsid w:val="002A4CC7"/>
    <w:rsid w:val="002A51F1"/>
    <w:rsid w:val="0032619E"/>
    <w:rsid w:val="0033666F"/>
    <w:rsid w:val="00336FAB"/>
    <w:rsid w:val="00350571"/>
    <w:rsid w:val="00373840"/>
    <w:rsid w:val="003D41D1"/>
    <w:rsid w:val="00443A06"/>
    <w:rsid w:val="004622BF"/>
    <w:rsid w:val="0052340E"/>
    <w:rsid w:val="00531138"/>
    <w:rsid w:val="00542266"/>
    <w:rsid w:val="005638CF"/>
    <w:rsid w:val="00611782"/>
    <w:rsid w:val="00631CA5"/>
    <w:rsid w:val="00656D27"/>
    <w:rsid w:val="006A7CBC"/>
    <w:rsid w:val="006B4817"/>
    <w:rsid w:val="00740F52"/>
    <w:rsid w:val="007706BB"/>
    <w:rsid w:val="007B0498"/>
    <w:rsid w:val="007D1AD8"/>
    <w:rsid w:val="007F01AA"/>
    <w:rsid w:val="00810F2E"/>
    <w:rsid w:val="0081710C"/>
    <w:rsid w:val="00893E0B"/>
    <w:rsid w:val="009E0D02"/>
    <w:rsid w:val="00A23E3F"/>
    <w:rsid w:val="00A27785"/>
    <w:rsid w:val="00A311CE"/>
    <w:rsid w:val="00A3182D"/>
    <w:rsid w:val="00A643B1"/>
    <w:rsid w:val="00A81E9E"/>
    <w:rsid w:val="00AC2C22"/>
    <w:rsid w:val="00AE135C"/>
    <w:rsid w:val="00B05193"/>
    <w:rsid w:val="00B14EA8"/>
    <w:rsid w:val="00B51032"/>
    <w:rsid w:val="00BD2807"/>
    <w:rsid w:val="00BE4188"/>
    <w:rsid w:val="00C6450A"/>
    <w:rsid w:val="00CC7358"/>
    <w:rsid w:val="00D53BD2"/>
    <w:rsid w:val="00D831AF"/>
    <w:rsid w:val="00DC200B"/>
    <w:rsid w:val="00E05BC2"/>
    <w:rsid w:val="00E11CA4"/>
    <w:rsid w:val="00E34261"/>
    <w:rsid w:val="00E66209"/>
    <w:rsid w:val="00E67F69"/>
    <w:rsid w:val="00E94587"/>
    <w:rsid w:val="00EC632C"/>
    <w:rsid w:val="00ED75C5"/>
    <w:rsid w:val="00F22EE1"/>
    <w:rsid w:val="00F242BC"/>
    <w:rsid w:val="00F77BDC"/>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237FE1"/>
  <w14:defaultImageDpi w14:val="0"/>
  <w15:docId w15:val="{FA9011B4-571A-45D2-AC91-2A4E3C28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97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3" ma:contentTypeDescription="Create a new document." ma:contentTypeScope="" ma:versionID="5bf449db4fb322bfe8581d916b7d89ed">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fea7c078483655ef5ab4f87c5b54ea6b"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1D321-12BB-487F-B3F8-1A51BB54F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3F589-85A4-4C1D-ADF2-93F8C074EAC0}">
  <ds:schemaRefs>
    <ds:schemaRef ds:uri="http://schemas.microsoft.com/sharepoint/v3/contenttype/forms"/>
  </ds:schemaRefs>
</ds:datastoreItem>
</file>

<file path=customXml/itemProps3.xml><?xml version="1.0" encoding="utf-8"?>
<ds:datastoreItem xmlns:ds="http://schemas.openxmlformats.org/officeDocument/2006/customXml" ds:itemID="{6DA4773C-81AD-4340-97D2-72843F32B54F}">
  <ds:schemaRefs>
    <ds:schemaRef ds:uri="http://schemas.microsoft.com/office/2006/metadata/properties"/>
    <ds:schemaRef ds:uri="http://schemas.microsoft.com/office/2006/documentManagement/types"/>
    <ds:schemaRef ds:uri="http://purl.org/dc/terms/"/>
    <ds:schemaRef ds:uri="http://purl.org/dc/dcmitype/"/>
    <ds:schemaRef ds:uri="1aa4f74a-e542-496d-a685-6a1354eefa59"/>
    <ds:schemaRef ds:uri="http://schemas.microsoft.com/office/infopath/2007/PartnerControls"/>
    <ds:schemaRef ds:uri="http://www.w3.org/XML/1998/namespace"/>
    <ds:schemaRef ds:uri="http://schemas.openxmlformats.org/package/2006/metadata/core-properties"/>
    <ds:schemaRef ds:uri="96cf63dc-c005-4040-b256-4434045927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9389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Aged Care Quality and Safety Commission</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APS6 – Senior Investigation Officer</dc:title>
  <dc:subject/>
  <dc:creator>Aged Care Quality and Safety Commission</dc:creator>
  <cp:keywords/>
  <dc:description/>
  <cp:lastModifiedBy>Megan van der Hoeven</cp:lastModifiedBy>
  <cp:revision>4</cp:revision>
  <cp:lastPrinted>2017-07-25T00:40:00Z</cp:lastPrinted>
  <dcterms:created xsi:type="dcterms:W3CDTF">2021-06-11T05:28:00Z</dcterms:created>
  <dcterms:modified xsi:type="dcterms:W3CDTF">2021-06-11T05:29:00Z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