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910"/>
      </w:tblGrid>
      <w:tr w:rsidR="004B0DE0" w:rsidRPr="0033471B" w14:paraId="1047A48B" w14:textId="77777777" w:rsidTr="004B0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39EBF8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b w:val="0"/>
                <w:bCs w:val="0"/>
                <w:position w:val="-1"/>
                <w:sz w:val="20"/>
                <w:szCs w:val="20"/>
              </w:rPr>
            </w:pPr>
            <w:r w:rsidRPr="0033471B">
              <w:rPr>
                <w:b w:val="0"/>
                <w:bCs w:val="0"/>
                <w:position w:val="-1"/>
                <w:sz w:val="20"/>
                <w:szCs w:val="20"/>
              </w:rPr>
              <w:t>Classification</w:t>
            </w:r>
          </w:p>
        </w:tc>
        <w:tc>
          <w:tcPr>
            <w:tcW w:w="69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1E664F" w14:textId="77777777" w:rsidR="004B0DE0" w:rsidRPr="00EC27C7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position w:val="-1"/>
                <w:sz w:val="20"/>
                <w:szCs w:val="20"/>
              </w:rPr>
            </w:pPr>
            <w:r w:rsidRPr="00EC27C7">
              <w:rPr>
                <w:b w:val="0"/>
                <w:bCs w:val="0"/>
                <w:iCs/>
                <w:position w:val="-1"/>
                <w:sz w:val="20"/>
                <w:szCs w:val="20"/>
              </w:rPr>
              <w:t>APS6</w:t>
            </w:r>
          </w:p>
        </w:tc>
      </w:tr>
      <w:tr w:rsidR="004B0DE0" w:rsidRPr="0033471B" w14:paraId="3FBD0DF0" w14:textId="77777777" w:rsidTr="00881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C6D9F1" w:themeFill="text2" w:themeFillTint="33"/>
          </w:tcPr>
          <w:p w14:paraId="278012AF" w14:textId="77777777" w:rsidR="004B0DE0" w:rsidRPr="00881380" w:rsidRDefault="004B0DE0" w:rsidP="008E3E74">
            <w:pPr>
              <w:spacing w:after="200" w:line="276" w:lineRule="auto"/>
              <w:rPr>
                <w:rFonts w:asciiTheme="minorHAnsi" w:eastAsiaTheme="minorEastAsia" w:hAnsiTheme="minorHAnsi" w:cs="Times New Roman"/>
                <w:b w:val="0"/>
                <w:bCs w:val="0"/>
                <w:lang w:eastAsia="en-AU"/>
              </w:rPr>
            </w:pPr>
            <w:r w:rsidRPr="00881380">
              <w:rPr>
                <w:rFonts w:asciiTheme="minorHAnsi" w:eastAsiaTheme="minorEastAsia" w:hAnsiTheme="minorHAnsi" w:cs="Times New Roman"/>
                <w:b w:val="0"/>
                <w:bCs w:val="0"/>
                <w:lang w:eastAsia="en-AU"/>
              </w:rPr>
              <w:t>Position Title</w:t>
            </w:r>
          </w:p>
        </w:tc>
        <w:tc>
          <w:tcPr>
            <w:tcW w:w="6910" w:type="dxa"/>
            <w:shd w:val="clear" w:color="auto" w:fill="C6D9F1" w:themeFill="text2" w:themeFillTint="33"/>
          </w:tcPr>
          <w:p w14:paraId="7759812A" w14:textId="77777777" w:rsidR="004B0DE0" w:rsidRPr="00881380" w:rsidRDefault="004B0DE0" w:rsidP="008E3E7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Times New Roman"/>
                <w:lang w:eastAsia="en-AU"/>
              </w:rPr>
            </w:pPr>
            <w:r w:rsidRPr="00881380">
              <w:rPr>
                <w:rFonts w:asciiTheme="minorHAnsi" w:eastAsiaTheme="minorEastAsia" w:hAnsiTheme="minorHAnsi" w:cs="Times New Roman"/>
                <w:lang w:eastAsia="en-AU"/>
              </w:rPr>
              <w:t>Indigenous Liaison Officer</w:t>
            </w:r>
          </w:p>
        </w:tc>
      </w:tr>
      <w:tr w:rsidR="004B0DE0" w:rsidRPr="0033471B" w14:paraId="1C7CB805" w14:textId="77777777" w:rsidTr="003426B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52CC7665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b w:val="0"/>
                <w:bCs w:val="0"/>
                <w:position w:val="-1"/>
                <w:sz w:val="20"/>
                <w:szCs w:val="20"/>
              </w:rPr>
            </w:pPr>
            <w:r w:rsidRPr="0033471B">
              <w:rPr>
                <w:b w:val="0"/>
                <w:bCs w:val="0"/>
                <w:position w:val="-1"/>
                <w:sz w:val="20"/>
                <w:szCs w:val="20"/>
              </w:rPr>
              <w:t>Group</w:t>
            </w:r>
          </w:p>
        </w:tc>
        <w:tc>
          <w:tcPr>
            <w:tcW w:w="6910" w:type="dxa"/>
          </w:tcPr>
          <w:p w14:paraId="08E6E21A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position w:val="-1"/>
                <w:sz w:val="20"/>
                <w:szCs w:val="20"/>
              </w:rPr>
            </w:pPr>
            <w:r>
              <w:rPr>
                <w:bCs/>
                <w:iCs/>
                <w:position w:val="-1"/>
                <w:sz w:val="20"/>
                <w:szCs w:val="20"/>
              </w:rPr>
              <w:t>People &amp; Culture</w:t>
            </w:r>
          </w:p>
        </w:tc>
      </w:tr>
      <w:tr w:rsidR="004B0DE0" w:rsidRPr="0033471B" w14:paraId="392E6813" w14:textId="77777777" w:rsidTr="00ED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C6D9F1" w:themeFill="text2" w:themeFillTint="33"/>
          </w:tcPr>
          <w:p w14:paraId="77AC509C" w14:textId="77777777" w:rsidR="004B0DE0" w:rsidRPr="00881380" w:rsidRDefault="004B0DE0" w:rsidP="00881380">
            <w:pPr>
              <w:spacing w:after="200" w:line="276" w:lineRule="auto"/>
              <w:rPr>
                <w:rFonts w:asciiTheme="minorHAnsi" w:eastAsiaTheme="minorEastAsia" w:hAnsiTheme="minorHAnsi" w:cs="Times New Roman"/>
                <w:b w:val="0"/>
                <w:bCs w:val="0"/>
                <w:lang w:eastAsia="en-AU"/>
              </w:rPr>
            </w:pPr>
            <w:r w:rsidRPr="00881380">
              <w:rPr>
                <w:rFonts w:asciiTheme="minorHAnsi" w:eastAsiaTheme="minorEastAsia" w:hAnsiTheme="minorHAnsi" w:cs="Times New Roman"/>
                <w:b w:val="0"/>
                <w:bCs w:val="0"/>
                <w:lang w:eastAsia="en-AU"/>
              </w:rPr>
              <w:t>Section</w:t>
            </w:r>
          </w:p>
        </w:tc>
        <w:tc>
          <w:tcPr>
            <w:tcW w:w="6910" w:type="dxa"/>
            <w:shd w:val="clear" w:color="auto" w:fill="C6D9F1" w:themeFill="text2" w:themeFillTint="33"/>
          </w:tcPr>
          <w:p w14:paraId="289D64BD" w14:textId="77777777" w:rsidR="004B0DE0" w:rsidRPr="00881380" w:rsidRDefault="004B0DE0" w:rsidP="0088138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Times New Roman"/>
                <w:lang w:eastAsia="en-AU"/>
              </w:rPr>
            </w:pPr>
            <w:r w:rsidRPr="00881380">
              <w:rPr>
                <w:rFonts w:asciiTheme="minorHAnsi" w:eastAsiaTheme="minorEastAsia" w:hAnsiTheme="minorHAnsi" w:cs="Times New Roman"/>
                <w:lang w:eastAsia="en-AU"/>
              </w:rPr>
              <w:t>Culture, Capability &amp; Performance</w:t>
            </w:r>
          </w:p>
        </w:tc>
      </w:tr>
      <w:tr w:rsidR="004B0DE0" w:rsidRPr="0033471B" w14:paraId="7ECB9BFF" w14:textId="77777777" w:rsidTr="003426B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45B6A55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b w:val="0"/>
                <w:bCs w:val="0"/>
                <w:position w:val="-1"/>
                <w:sz w:val="20"/>
                <w:szCs w:val="20"/>
              </w:rPr>
            </w:pPr>
            <w:r w:rsidRPr="0033471B">
              <w:rPr>
                <w:b w:val="0"/>
                <w:bCs w:val="0"/>
                <w:position w:val="-1"/>
                <w:sz w:val="20"/>
                <w:szCs w:val="20"/>
              </w:rPr>
              <w:t xml:space="preserve">Reporting Manager </w:t>
            </w:r>
          </w:p>
        </w:tc>
        <w:tc>
          <w:tcPr>
            <w:tcW w:w="6910" w:type="dxa"/>
          </w:tcPr>
          <w:p w14:paraId="020B1906" w14:textId="324825C7" w:rsidR="004B0DE0" w:rsidRPr="0033471B" w:rsidRDefault="00EC27C7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 xml:space="preserve">Assistant Director- </w:t>
            </w:r>
            <w:r w:rsidRPr="00EC27C7">
              <w:rPr>
                <w:bCs/>
                <w:position w:val="-1"/>
                <w:sz w:val="20"/>
                <w:szCs w:val="20"/>
              </w:rPr>
              <w:t>Culture, Capability and Performance</w:t>
            </w:r>
          </w:p>
        </w:tc>
      </w:tr>
      <w:tr w:rsidR="004B0DE0" w:rsidRPr="0033471B" w14:paraId="134B5AB1" w14:textId="77777777" w:rsidTr="00ED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C6D9F1" w:themeFill="text2" w:themeFillTint="33"/>
          </w:tcPr>
          <w:p w14:paraId="642C74E8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b w:val="0"/>
                <w:bCs w:val="0"/>
                <w:position w:val="-1"/>
                <w:sz w:val="20"/>
                <w:szCs w:val="20"/>
              </w:rPr>
            </w:pPr>
            <w:r w:rsidRPr="0033471B">
              <w:rPr>
                <w:b w:val="0"/>
                <w:bCs w:val="0"/>
                <w:position w:val="-1"/>
                <w:sz w:val="20"/>
                <w:szCs w:val="20"/>
              </w:rPr>
              <w:t>Location</w:t>
            </w:r>
          </w:p>
        </w:tc>
        <w:tc>
          <w:tcPr>
            <w:tcW w:w="6910" w:type="dxa"/>
            <w:shd w:val="clear" w:color="auto" w:fill="C6D9F1" w:themeFill="text2" w:themeFillTint="33"/>
          </w:tcPr>
          <w:p w14:paraId="188DCF03" w14:textId="0D28B5C0" w:rsidR="004B0DE0" w:rsidRPr="00EC27C7" w:rsidRDefault="00ED513B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position w:val="-1"/>
                <w:sz w:val="20"/>
                <w:szCs w:val="20"/>
              </w:rPr>
            </w:pPr>
            <w:r>
              <w:rPr>
                <w:bCs/>
                <w:iCs/>
                <w:position w:val="-1"/>
                <w:sz w:val="20"/>
                <w:szCs w:val="20"/>
              </w:rPr>
              <w:t>All locations</w:t>
            </w:r>
          </w:p>
        </w:tc>
      </w:tr>
      <w:tr w:rsidR="004B0DE0" w:rsidRPr="0033471B" w14:paraId="649AF679" w14:textId="77777777" w:rsidTr="003426B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CE2FF68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b w:val="0"/>
                <w:bCs w:val="0"/>
                <w:position w:val="-1"/>
                <w:sz w:val="20"/>
                <w:szCs w:val="20"/>
              </w:rPr>
            </w:pPr>
            <w:r w:rsidRPr="0033471B">
              <w:rPr>
                <w:b w:val="0"/>
                <w:bCs w:val="0"/>
                <w:position w:val="-1"/>
                <w:sz w:val="20"/>
                <w:szCs w:val="20"/>
              </w:rPr>
              <w:t xml:space="preserve">Status </w:t>
            </w:r>
          </w:p>
        </w:tc>
        <w:tc>
          <w:tcPr>
            <w:tcW w:w="6910" w:type="dxa"/>
          </w:tcPr>
          <w:p w14:paraId="3B6D2115" w14:textId="77777777" w:rsidR="004B0DE0" w:rsidRPr="0033471B" w:rsidRDefault="004B0DE0" w:rsidP="003426B7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position w:val="-1"/>
                <w:sz w:val="20"/>
                <w:szCs w:val="20"/>
              </w:rPr>
            </w:pPr>
            <w:r w:rsidRPr="0033471B">
              <w:rPr>
                <w:bCs/>
                <w:position w:val="-1"/>
                <w:sz w:val="20"/>
                <w:szCs w:val="20"/>
              </w:rPr>
              <w:t>Full-Time, Ongoing</w:t>
            </w:r>
          </w:p>
        </w:tc>
      </w:tr>
    </w:tbl>
    <w:p w14:paraId="27EE639D" w14:textId="77777777" w:rsidR="004B0DE0" w:rsidRPr="0033471B" w:rsidRDefault="004B0DE0" w:rsidP="004B0DE0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62" w:right="-20"/>
        <w:rPr>
          <w:b/>
          <w:bCs/>
          <w:position w:val="-1"/>
          <w:sz w:val="20"/>
          <w:szCs w:val="20"/>
        </w:rPr>
      </w:pPr>
      <w:r w:rsidRPr="0033471B">
        <w:rPr>
          <w:b/>
          <w:bCs/>
          <w:position w:val="-1"/>
          <w:sz w:val="20"/>
          <w:szCs w:val="20"/>
        </w:rPr>
        <w:t>About the position:</w:t>
      </w:r>
    </w:p>
    <w:p w14:paraId="7F7047D6" w14:textId="77777777" w:rsidR="004B0DE0" w:rsidRPr="00EC27C7" w:rsidRDefault="004B0DE0" w:rsidP="004B0DE0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284"/>
        <w:jc w:val="both"/>
        <w:rPr>
          <w:rFonts w:ascii="Open Sans" w:hAnsi="Open Sans" w:cs="Open Sans"/>
          <w:sz w:val="20"/>
          <w:szCs w:val="20"/>
          <w:lang w:eastAsia="en-US"/>
        </w:rPr>
      </w:pPr>
      <w:r w:rsidRPr="00EC27C7">
        <w:rPr>
          <w:rFonts w:ascii="Open Sans" w:hAnsi="Open Sans" w:cs="Open Sans"/>
          <w:sz w:val="20"/>
          <w:szCs w:val="20"/>
          <w:lang w:eastAsia="en-US"/>
        </w:rPr>
        <w:t xml:space="preserve">To mentor and support Indigenous Apprentice Program (IAP) participants at the Commission, ensuring the success of the program by providing cultural, </w:t>
      </w:r>
      <w:proofErr w:type="gramStart"/>
      <w:r w:rsidRPr="00EC27C7">
        <w:rPr>
          <w:rFonts w:ascii="Open Sans" w:hAnsi="Open Sans" w:cs="Open Sans"/>
          <w:sz w:val="20"/>
          <w:szCs w:val="20"/>
          <w:lang w:eastAsia="en-US"/>
        </w:rPr>
        <w:t>pastoral</w:t>
      </w:r>
      <w:proofErr w:type="gramEnd"/>
      <w:r w:rsidRPr="00EC27C7">
        <w:rPr>
          <w:rFonts w:ascii="Open Sans" w:hAnsi="Open Sans" w:cs="Open Sans"/>
          <w:sz w:val="20"/>
          <w:szCs w:val="20"/>
          <w:lang w:eastAsia="en-US"/>
        </w:rPr>
        <w:t xml:space="preserve"> and educational support to the participants, their managers, ISN mentors and other stakeholders. </w:t>
      </w:r>
    </w:p>
    <w:p w14:paraId="1180D9BA" w14:textId="77777777" w:rsidR="004B0DE0" w:rsidRPr="0033471B" w:rsidRDefault="004B0DE0" w:rsidP="004B0DE0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62" w:right="-20"/>
        <w:rPr>
          <w:b/>
          <w:sz w:val="20"/>
          <w:szCs w:val="20"/>
        </w:rPr>
      </w:pPr>
      <w:r w:rsidRPr="0033471B">
        <w:rPr>
          <w:b/>
          <w:sz w:val="20"/>
          <w:szCs w:val="20"/>
        </w:rPr>
        <w:t>Key Accountabilities:</w:t>
      </w:r>
    </w:p>
    <w:p w14:paraId="43DAE795" w14:textId="26C8207E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>Work with Commission staff to develop</w:t>
      </w:r>
      <w:r>
        <w:rPr>
          <w:rFonts w:cs="Open Sans"/>
          <w:i w:val="0"/>
          <w:iCs w:val="0"/>
          <w:color w:val="auto"/>
          <w:sz w:val="20"/>
          <w:szCs w:val="20"/>
        </w:rPr>
        <w:t xml:space="preserve"> and maintain</w:t>
      </w:r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 the internal processes, systems and documentation required for the successful running of the IAP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3FF3239C" w14:textId="66934BBA" w:rsidR="004B0DE0" w:rsidRDefault="004B0DE0" w:rsidP="00A40C24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Liaise with Services Australia through the recruitment, </w:t>
      </w:r>
      <w:proofErr w:type="gramStart"/>
      <w:r w:rsidRPr="002D7487">
        <w:rPr>
          <w:rFonts w:cs="Open Sans"/>
          <w:i w:val="0"/>
          <w:iCs w:val="0"/>
          <w:color w:val="auto"/>
          <w:sz w:val="20"/>
          <w:szCs w:val="20"/>
        </w:rPr>
        <w:t>selection</w:t>
      </w:r>
      <w:proofErr w:type="gramEnd"/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 and onboarding of IAP participants and throughout the life of the program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6DA9E166" w14:textId="42FDB353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>
        <w:rPr>
          <w:rFonts w:cs="Open Sans"/>
          <w:i w:val="0"/>
          <w:iCs w:val="0"/>
          <w:color w:val="auto"/>
          <w:sz w:val="20"/>
          <w:szCs w:val="20"/>
        </w:rPr>
        <w:t>Mentor IAP participants for their success within the program and at the Commission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2938FC12" w14:textId="3BCD0320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Develop and implement individualised plans with the IAP participants to support their development, retention, </w:t>
      </w:r>
      <w:proofErr w:type="gramStart"/>
      <w:r w:rsidRPr="002D7487">
        <w:rPr>
          <w:rFonts w:cs="Open Sans"/>
          <w:i w:val="0"/>
          <w:iCs w:val="0"/>
          <w:color w:val="auto"/>
          <w:sz w:val="20"/>
          <w:szCs w:val="20"/>
        </w:rPr>
        <w:t>performance</w:t>
      </w:r>
      <w:proofErr w:type="gramEnd"/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 and well-being at the Commission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0A2AF551" w14:textId="19D542AF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 xml:space="preserve">Develop and conduct cross-cultural awareness and learning opportunities for managers of IAP participants and other </w:t>
      </w:r>
      <w:r>
        <w:rPr>
          <w:rFonts w:cs="Open Sans"/>
          <w:i w:val="0"/>
          <w:iCs w:val="0"/>
          <w:color w:val="auto"/>
          <w:sz w:val="20"/>
          <w:szCs w:val="20"/>
        </w:rPr>
        <w:t xml:space="preserve">relevant </w:t>
      </w:r>
      <w:r w:rsidRPr="002D7487">
        <w:rPr>
          <w:rFonts w:cs="Open Sans"/>
          <w:i w:val="0"/>
          <w:iCs w:val="0"/>
          <w:color w:val="auto"/>
          <w:sz w:val="20"/>
          <w:szCs w:val="20"/>
        </w:rPr>
        <w:t>Commission staff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2D11CF70" w14:textId="256BEAA6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>Develop and provide oversight to a mentoring program for IAP participants with the Indigenous Staff Network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1F4FB935" w14:textId="3815A930" w:rsidR="004B0DE0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>
        <w:rPr>
          <w:rFonts w:cs="Open Sans"/>
          <w:i w:val="0"/>
          <w:iCs w:val="0"/>
          <w:color w:val="auto"/>
          <w:sz w:val="20"/>
          <w:szCs w:val="20"/>
        </w:rPr>
        <w:t>Ensure consistency across the program, including processes, probationary periods and expectations of participants and their managers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5080DE99" w14:textId="320869D5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>Provide reporting as agreed on the progress of IAP participants and the success of the program at the Commission, including opportunities for program enhancements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7AE88432" w14:textId="07D0F097" w:rsidR="004B0DE0" w:rsidRPr="002D7487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>Complete reporting to meet any requirements of the program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45247297" w14:textId="75AA8D05" w:rsidR="004B0DE0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2D7487">
        <w:rPr>
          <w:rFonts w:cs="Open Sans"/>
          <w:i w:val="0"/>
          <w:iCs w:val="0"/>
          <w:color w:val="auto"/>
          <w:sz w:val="20"/>
          <w:szCs w:val="20"/>
        </w:rPr>
        <w:t>Represent the Commission as required at IAP meetings and events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224CF196" w14:textId="2AF0F38D" w:rsidR="004B0DE0" w:rsidRPr="003506AD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152B08">
        <w:rPr>
          <w:rFonts w:cs="Open Sans"/>
          <w:i w:val="0"/>
          <w:iCs w:val="0"/>
          <w:color w:val="auto"/>
          <w:sz w:val="20"/>
          <w:szCs w:val="20"/>
        </w:rPr>
        <w:t>Demonstrated ability to engage effectively with Indigenous employees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7CDCBC17" w14:textId="77777777" w:rsidR="004B0DE0" w:rsidRPr="00152B08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>
        <w:rPr>
          <w:rFonts w:cs="Open Sans"/>
          <w:i w:val="0"/>
          <w:iCs w:val="0"/>
          <w:color w:val="auto"/>
          <w:sz w:val="20"/>
          <w:szCs w:val="20"/>
        </w:rPr>
        <w:t>C</w:t>
      </w:r>
      <w:r w:rsidRPr="00152B08">
        <w:rPr>
          <w:rFonts w:cs="Open Sans"/>
          <w:i w:val="0"/>
          <w:iCs w:val="0"/>
          <w:color w:val="auto"/>
          <w:sz w:val="20"/>
          <w:szCs w:val="20"/>
        </w:rPr>
        <w:t>ommunicate effectively across a broad spectrum of internal and external stakeholders and deal with sensitive, confidential, and complex matters in a culturally safe manner.</w:t>
      </w:r>
    </w:p>
    <w:p w14:paraId="3B28ABD4" w14:textId="78BC3013" w:rsidR="004B0DE0" w:rsidRDefault="004B0DE0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152B08">
        <w:rPr>
          <w:rFonts w:cs="Open Sans"/>
          <w:i w:val="0"/>
          <w:iCs w:val="0"/>
          <w:color w:val="auto"/>
          <w:sz w:val="20"/>
          <w:szCs w:val="20"/>
        </w:rPr>
        <w:lastRenderedPageBreak/>
        <w:t>A demonstrated understanding of Australian Indigenous cultures and Australian Indigenous community groups</w:t>
      </w:r>
      <w:r w:rsidR="008103DD">
        <w:rPr>
          <w:rFonts w:cs="Open Sans"/>
          <w:i w:val="0"/>
          <w:iCs w:val="0"/>
          <w:color w:val="auto"/>
          <w:sz w:val="20"/>
          <w:szCs w:val="20"/>
        </w:rPr>
        <w:t>.</w:t>
      </w:r>
    </w:p>
    <w:p w14:paraId="16C527CF" w14:textId="0FBF9588" w:rsidR="00F60D13" w:rsidRDefault="00F60D13" w:rsidP="004B0DE0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>
        <w:rPr>
          <w:rFonts w:cs="Open Sans"/>
          <w:i w:val="0"/>
          <w:iCs w:val="0"/>
          <w:color w:val="auto"/>
          <w:sz w:val="20"/>
          <w:szCs w:val="20"/>
        </w:rPr>
        <w:t>Assist with impleme</w:t>
      </w:r>
      <w:r w:rsidR="00827E37">
        <w:rPr>
          <w:rFonts w:cs="Open Sans"/>
          <w:i w:val="0"/>
          <w:iCs w:val="0"/>
          <w:color w:val="auto"/>
          <w:sz w:val="20"/>
          <w:szCs w:val="20"/>
        </w:rPr>
        <w:t xml:space="preserve">ntation of Reconciliation Action Plan </w:t>
      </w:r>
      <w:r w:rsidR="00AA7C97">
        <w:rPr>
          <w:rFonts w:cs="Open Sans"/>
          <w:i w:val="0"/>
          <w:iCs w:val="0"/>
          <w:color w:val="auto"/>
          <w:sz w:val="20"/>
          <w:szCs w:val="20"/>
        </w:rPr>
        <w:t xml:space="preserve">(RAP) </w:t>
      </w:r>
      <w:proofErr w:type="gramStart"/>
      <w:r w:rsidR="00827E37">
        <w:rPr>
          <w:rFonts w:cs="Open Sans"/>
          <w:i w:val="0"/>
          <w:iCs w:val="0"/>
          <w:color w:val="auto"/>
          <w:sz w:val="20"/>
          <w:szCs w:val="20"/>
        </w:rPr>
        <w:t>deliverables</w:t>
      </w:r>
      <w:proofErr w:type="gramEnd"/>
    </w:p>
    <w:p w14:paraId="45200A99" w14:textId="4C116248" w:rsidR="005A65B1" w:rsidRPr="005A65B1" w:rsidRDefault="008021D9" w:rsidP="008021D9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84" w:right="-20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5A65B1">
        <w:rPr>
          <w:b/>
          <w:sz w:val="20"/>
          <w:szCs w:val="20"/>
        </w:rPr>
        <w:t>Essential requirements</w:t>
      </w:r>
      <w:r w:rsidR="005A65B1" w:rsidRPr="005A65B1">
        <w:rPr>
          <w:b/>
          <w:sz w:val="20"/>
          <w:szCs w:val="20"/>
        </w:rPr>
        <w:t>:</w:t>
      </w:r>
    </w:p>
    <w:p w14:paraId="17047E0D" w14:textId="48D6F192" w:rsidR="005A65B1" w:rsidRDefault="007C016B" w:rsidP="007B52C0">
      <w:pPr>
        <w:pStyle w:val="BlockTex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/>
        <w:ind w:right="0"/>
        <w:rPr>
          <w:rFonts w:cs="Open Sans"/>
          <w:i w:val="0"/>
          <w:iCs w:val="0"/>
          <w:color w:val="auto"/>
          <w:sz w:val="20"/>
          <w:szCs w:val="20"/>
        </w:rPr>
      </w:pPr>
      <w:r w:rsidRPr="007C016B">
        <w:rPr>
          <w:rFonts w:cs="Open Sans"/>
          <w:i w:val="0"/>
          <w:iCs w:val="0"/>
          <w:color w:val="auto"/>
          <w:sz w:val="20"/>
          <w:szCs w:val="20"/>
        </w:rPr>
        <w:t xml:space="preserve">Demonstrated strong connections with Aboriginal people and </w:t>
      </w:r>
      <w:proofErr w:type="gramStart"/>
      <w:r w:rsidRPr="007C016B">
        <w:rPr>
          <w:rFonts w:cs="Open Sans"/>
          <w:i w:val="0"/>
          <w:iCs w:val="0"/>
          <w:color w:val="auto"/>
          <w:sz w:val="20"/>
          <w:szCs w:val="20"/>
        </w:rPr>
        <w:t>community</w:t>
      </w:r>
      <w:proofErr w:type="gramEnd"/>
    </w:p>
    <w:p w14:paraId="0066FFE9" w14:textId="77777777" w:rsidR="005A65B1" w:rsidRPr="00240A54" w:rsidRDefault="005A65B1" w:rsidP="005A65B1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</w:p>
    <w:p w14:paraId="77458491" w14:textId="77777777" w:rsidR="00AD1117" w:rsidRDefault="004B0DE0" w:rsidP="00AD1117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84" w:right="-20"/>
        <w:rPr>
          <w:b/>
          <w:sz w:val="20"/>
          <w:szCs w:val="20"/>
        </w:rPr>
      </w:pPr>
      <w:r w:rsidRPr="0033471B">
        <w:rPr>
          <w:b/>
          <w:sz w:val="20"/>
          <w:szCs w:val="20"/>
        </w:rPr>
        <w:t>Risk Accountabilities:</w:t>
      </w:r>
    </w:p>
    <w:p w14:paraId="1EBE1317" w14:textId="2A2C0EEE" w:rsidR="00B1461D" w:rsidRPr="008103DD" w:rsidRDefault="00B1461D" w:rsidP="008103DD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8103DD">
        <w:rPr>
          <w:rFonts w:cs="Open Sans"/>
          <w:i w:val="0"/>
          <w:iCs w:val="0"/>
          <w:color w:val="auto"/>
          <w:sz w:val="20"/>
          <w:szCs w:val="20"/>
        </w:rPr>
        <w:t>Managing complex and sensitive personal information while balancing competing needs</w:t>
      </w:r>
    </w:p>
    <w:p w14:paraId="66D5FB0F" w14:textId="7EDF2391" w:rsidR="00B1461D" w:rsidRPr="008103DD" w:rsidRDefault="00B1461D" w:rsidP="008103DD">
      <w:pPr>
        <w:pStyle w:val="Block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num" w:pos="426"/>
        </w:tabs>
        <w:spacing w:before="100" w:beforeAutospacing="1" w:after="100" w:afterAutospacing="1"/>
        <w:ind w:left="720" w:right="0"/>
        <w:rPr>
          <w:rFonts w:cs="Open Sans"/>
          <w:i w:val="0"/>
          <w:iCs w:val="0"/>
          <w:color w:val="auto"/>
          <w:sz w:val="20"/>
          <w:szCs w:val="20"/>
        </w:rPr>
      </w:pPr>
      <w:r w:rsidRPr="008103DD">
        <w:rPr>
          <w:rFonts w:cs="Open Sans"/>
          <w:i w:val="0"/>
          <w:iCs w:val="0"/>
          <w:color w:val="auto"/>
          <w:sz w:val="20"/>
          <w:szCs w:val="20"/>
        </w:rPr>
        <w:t xml:space="preserve">Maintaining current professional knowledge of policies, </w:t>
      </w:r>
      <w:proofErr w:type="gramStart"/>
      <w:r w:rsidRPr="008103DD">
        <w:rPr>
          <w:rFonts w:cs="Open Sans"/>
          <w:i w:val="0"/>
          <w:iCs w:val="0"/>
          <w:color w:val="auto"/>
          <w:sz w:val="20"/>
          <w:szCs w:val="20"/>
        </w:rPr>
        <w:t>procedures</w:t>
      </w:r>
      <w:proofErr w:type="gramEnd"/>
      <w:r w:rsidRPr="008103DD">
        <w:rPr>
          <w:rFonts w:cs="Open Sans"/>
          <w:i w:val="0"/>
          <w:iCs w:val="0"/>
          <w:color w:val="auto"/>
          <w:sz w:val="20"/>
          <w:szCs w:val="20"/>
        </w:rPr>
        <w:t xml:space="preserve"> and industry practices</w:t>
      </w:r>
    </w:p>
    <w:p w14:paraId="4C75C397" w14:textId="5B4C4F31" w:rsidR="004B0DE0" w:rsidRPr="00B1461D" w:rsidRDefault="004B0DE0" w:rsidP="00B1461D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00" w:beforeAutospacing="1" w:after="100" w:afterAutospacing="1"/>
        <w:ind w:left="360" w:right="0"/>
        <w:rPr>
          <w:rFonts w:cs="Open Sans"/>
          <w:b/>
          <w:sz w:val="20"/>
          <w:szCs w:val="20"/>
        </w:rPr>
      </w:pPr>
      <w:r w:rsidRPr="00B1461D">
        <w:rPr>
          <w:rFonts w:cs="Open Sans"/>
          <w:b/>
          <w:sz w:val="20"/>
          <w:szCs w:val="20"/>
        </w:rPr>
        <w:tab/>
      </w:r>
      <w:r w:rsidRPr="00B1461D">
        <w:rPr>
          <w:rFonts w:cs="Open Sans"/>
          <w:b/>
          <w:sz w:val="20"/>
          <w:szCs w:val="20"/>
        </w:rPr>
        <w:tab/>
      </w:r>
    </w:p>
    <w:p w14:paraId="180F7081" w14:textId="362F46AA" w:rsidR="004B0DE0" w:rsidRPr="0033471B" w:rsidRDefault="004B0DE0" w:rsidP="004B0DE0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62" w:right="-20"/>
        <w:rPr>
          <w:b/>
          <w:sz w:val="20"/>
          <w:szCs w:val="20"/>
        </w:rPr>
      </w:pPr>
      <w:r w:rsidRPr="0033471B">
        <w:rPr>
          <w:b/>
          <w:sz w:val="20"/>
          <w:szCs w:val="20"/>
        </w:rPr>
        <w:t>Key Relationships:</w:t>
      </w:r>
    </w:p>
    <w:p w14:paraId="235BD184" w14:textId="77777777" w:rsidR="004B0DE0" w:rsidRPr="008103DD" w:rsidRDefault="004B0DE0" w:rsidP="004B0DE0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1274" w:right="-20" w:hanging="978"/>
        <w:rPr>
          <w:rFonts w:ascii="Open Sans" w:hAnsi="Open Sans" w:cs="Open Sans"/>
          <w:sz w:val="20"/>
          <w:szCs w:val="20"/>
        </w:rPr>
      </w:pPr>
      <w:r w:rsidRPr="0033471B">
        <w:rPr>
          <w:b/>
          <w:bCs/>
          <w:sz w:val="20"/>
          <w:szCs w:val="20"/>
        </w:rPr>
        <w:t xml:space="preserve">    Interna</w:t>
      </w:r>
      <w:r w:rsidRPr="0033471B">
        <w:rPr>
          <w:b/>
          <w:bCs/>
          <w:spacing w:val="-2"/>
          <w:sz w:val="20"/>
          <w:szCs w:val="20"/>
        </w:rPr>
        <w:t>l</w:t>
      </w:r>
      <w:r w:rsidRPr="0033471B">
        <w:rPr>
          <w:b/>
          <w:bCs/>
          <w:sz w:val="20"/>
          <w:szCs w:val="20"/>
        </w:rPr>
        <w:t>:</w:t>
      </w:r>
      <w:r w:rsidRPr="0033471B">
        <w:rPr>
          <w:b/>
          <w:bCs/>
          <w:sz w:val="20"/>
          <w:szCs w:val="20"/>
        </w:rPr>
        <w:tab/>
      </w:r>
      <w:r w:rsidRPr="008103DD">
        <w:rPr>
          <w:rFonts w:ascii="Open Sans" w:hAnsi="Open Sans" w:cs="Open Sans"/>
          <w:sz w:val="20"/>
          <w:szCs w:val="20"/>
        </w:rPr>
        <w:t>IAP participants,</w:t>
      </w:r>
      <w:r w:rsidRPr="008103D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103DD">
        <w:rPr>
          <w:rFonts w:ascii="Open Sans" w:hAnsi="Open Sans" w:cs="Open Sans"/>
          <w:sz w:val="20"/>
          <w:szCs w:val="20"/>
        </w:rPr>
        <w:t>IAP participants’ managers, Indigenous Staff Network</w:t>
      </w:r>
    </w:p>
    <w:p w14:paraId="148187D4" w14:textId="77777777" w:rsidR="004B0DE0" w:rsidRPr="008103DD" w:rsidRDefault="004B0DE0" w:rsidP="004B0DE0">
      <w:pPr>
        <w:widowControl w:val="0"/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/>
        <w:ind w:left="284" w:right="-20"/>
        <w:rPr>
          <w:rFonts w:ascii="Open Sans" w:hAnsi="Open Sans" w:cs="Open Sans"/>
          <w:b/>
          <w:sz w:val="20"/>
          <w:szCs w:val="20"/>
        </w:rPr>
      </w:pPr>
      <w:r w:rsidRPr="0033471B">
        <w:rPr>
          <w:b/>
          <w:bCs/>
          <w:sz w:val="20"/>
          <w:szCs w:val="20"/>
        </w:rPr>
        <w:t xml:space="preserve">     Exter</w:t>
      </w:r>
      <w:r w:rsidRPr="0033471B">
        <w:rPr>
          <w:b/>
          <w:bCs/>
          <w:spacing w:val="-1"/>
          <w:sz w:val="20"/>
          <w:szCs w:val="20"/>
        </w:rPr>
        <w:t>n</w:t>
      </w:r>
      <w:r w:rsidRPr="0033471B">
        <w:rPr>
          <w:b/>
          <w:bCs/>
          <w:sz w:val="20"/>
          <w:szCs w:val="20"/>
        </w:rPr>
        <w:t xml:space="preserve">al: </w:t>
      </w:r>
      <w:r w:rsidRPr="008103DD">
        <w:rPr>
          <w:rFonts w:ascii="Open Sans" w:hAnsi="Open Sans" w:cs="Open Sans"/>
          <w:sz w:val="20"/>
          <w:szCs w:val="20"/>
        </w:rPr>
        <w:t>IAP stakeholders, relevant Indigenous organisations</w:t>
      </w:r>
    </w:p>
    <w:p w14:paraId="72BEE519" w14:textId="77777777" w:rsidR="002919BB" w:rsidRDefault="002919BB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  <w:sz w:val="21"/>
          <w:szCs w:val="21"/>
        </w:rPr>
      </w:pPr>
    </w:p>
    <w:p w14:paraId="38828D30" w14:textId="77777777" w:rsidR="00BC2663" w:rsidRPr="00BC2663" w:rsidRDefault="00BC2663" w:rsidP="00BC2663">
      <w:pPr>
        <w:widowControl w:val="0"/>
        <w:autoSpaceDE w:val="0"/>
        <w:autoSpaceDN w:val="0"/>
        <w:adjustRightInd w:val="0"/>
        <w:spacing w:after="0" w:line="240" w:lineRule="auto"/>
        <w:ind w:left="2835" w:hanging="2551"/>
        <w:rPr>
          <w:rFonts w:ascii="Open Sans" w:hAnsi="Open Sans" w:cs="Open Sans"/>
          <w:color w:val="585858"/>
          <w:sz w:val="20"/>
          <w:szCs w:val="20"/>
        </w:rPr>
      </w:pPr>
      <w:r w:rsidRPr="00BC2663">
        <w:rPr>
          <w:rFonts w:ascii="Open Sans" w:hAnsi="Open Sans" w:cs="Open Sans"/>
          <w:b/>
          <w:sz w:val="20"/>
          <w:szCs w:val="20"/>
        </w:rPr>
        <w:t>ILS Capabilities:</w:t>
      </w:r>
      <w:r w:rsidRPr="00BC2663">
        <w:rPr>
          <w:rFonts w:ascii="Open Sans" w:hAnsi="Open Sans" w:cs="Open Sans"/>
          <w:b/>
          <w:sz w:val="20"/>
          <w:szCs w:val="20"/>
        </w:rPr>
        <w:tab/>
      </w:r>
      <w:r w:rsidRPr="00BC2663">
        <w:rPr>
          <w:rFonts w:ascii="Open Sans" w:hAnsi="Open Sans" w:cs="Open Sans"/>
          <w:sz w:val="20"/>
          <w:szCs w:val="20"/>
        </w:rPr>
        <w:t>The APS ILS Framework applies to this position (</w:t>
      </w:r>
      <w:hyperlink r:id="rId7" w:history="1">
        <w:r w:rsidRPr="00BC2663">
          <w:rPr>
            <w:rStyle w:val="Hyperlink"/>
            <w:rFonts w:ascii="Open Sans" w:hAnsi="Open Sans" w:cs="Open Sans"/>
            <w:sz w:val="20"/>
            <w:szCs w:val="20"/>
          </w:rPr>
          <w:t>refer to APS6 Capability Summary</w:t>
        </w:r>
      </w:hyperlink>
      <w:r w:rsidRPr="00BC2663">
        <w:rPr>
          <w:rFonts w:ascii="Open Sans" w:hAnsi="Open Sans" w:cs="Open Sans"/>
          <w:sz w:val="20"/>
          <w:szCs w:val="20"/>
        </w:rPr>
        <w:t xml:space="preserve"> link)</w:t>
      </w:r>
      <w:r w:rsidRPr="00BC2663">
        <w:rPr>
          <w:rFonts w:ascii="Open Sans" w:hAnsi="Open Sans" w:cs="Open Sans"/>
          <w:color w:val="585858"/>
          <w:sz w:val="20"/>
          <w:szCs w:val="20"/>
        </w:rPr>
        <w:t xml:space="preserve">. </w:t>
      </w:r>
    </w:p>
    <w:p w14:paraId="1F392B5B" w14:textId="77777777" w:rsidR="00D831AF" w:rsidRDefault="00D831AF" w:rsidP="002A019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21"/>
          <w:szCs w:val="21"/>
        </w:rPr>
      </w:pPr>
    </w:p>
    <w:sectPr w:rsidR="00D831AF" w:rsidSect="006F0A3C">
      <w:headerReference w:type="default" r:id="rId8"/>
      <w:footerReference w:type="default" r:id="rId9"/>
      <w:type w:val="continuous"/>
      <w:pgSz w:w="12240" w:h="15840"/>
      <w:pgMar w:top="993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45F8" w14:textId="77777777" w:rsidR="00CA232C" w:rsidRDefault="00CA232C">
      <w:pPr>
        <w:spacing w:after="0" w:line="240" w:lineRule="auto"/>
      </w:pPr>
      <w:r>
        <w:separator/>
      </w:r>
    </w:p>
  </w:endnote>
  <w:endnote w:type="continuationSeparator" w:id="0">
    <w:p w14:paraId="7714197D" w14:textId="77777777" w:rsidR="00CA232C" w:rsidRDefault="00CA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FF41" w14:textId="56E68A02" w:rsidR="00F9133F" w:rsidRDefault="00A412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F8A1DC2" wp14:editId="3AC29BFA">
              <wp:simplePos x="0" y="0"/>
              <wp:positionH relativeFrom="page">
                <wp:posOffset>701040</wp:posOffset>
              </wp:positionH>
              <wp:positionV relativeFrom="page">
                <wp:posOffset>9594850</wp:posOffset>
              </wp:positionV>
              <wp:extent cx="6370320" cy="1270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2700"/>
                      </a:xfrm>
                      <a:custGeom>
                        <a:avLst/>
                        <a:gdLst>
                          <a:gd name="T0" fmla="*/ 0 w 10032"/>
                          <a:gd name="T1" fmla="*/ 0 h 20"/>
                          <a:gd name="T2" fmla="*/ 10032 w 100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2" h="20">
                            <a:moveTo>
                              <a:pt x="0" y="0"/>
                            </a:moveTo>
                            <a:lnTo>
                              <a:pt x="10032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A7E983C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55.5pt,556.8pt,755.5pt" coordsize="10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" o:allowincell="f" filled="f" strokecolor="#bfbfbf" strokeweight="1.6pt">
              <v:path arrowok="t" o:connecttype="custom" o:connectlocs="0,0;63703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0A490F6" wp14:editId="2267391C">
              <wp:simplePos x="0" y="0"/>
              <wp:positionH relativeFrom="page">
                <wp:posOffset>707390</wp:posOffset>
              </wp:positionH>
              <wp:positionV relativeFrom="page">
                <wp:posOffset>9615805</wp:posOffset>
              </wp:positionV>
              <wp:extent cx="359410" cy="1270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B3791" w14:textId="77777777" w:rsidR="00F9133F" w:rsidRDefault="00F91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1032">
                            <w:rPr>
                              <w:rFonts w:ascii="Arial" w:hAnsi="Arial" w:cs="Arial"/>
                              <w:noProof/>
                              <w:color w:val="585858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490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7pt;margin-top:757.15pt;width:28.3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" o:allowincell="f" filled="f" stroked="f">
              <v:textbox inset="0,0,0,0">
                <w:txbxContent>
                  <w:p w14:paraId="06CB3791" w14:textId="77777777" w:rsidR="00F9133F" w:rsidRDefault="00F913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hAnsi="Arial" w:cs="Arial"/>
                        <w:color w:val="585858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separate"/>
                    </w:r>
                    <w:r w:rsidR="00B51032">
                      <w:rPr>
                        <w:rFonts w:ascii="Arial" w:hAnsi="Arial" w:cs="Arial"/>
                        <w:noProof/>
                        <w:color w:val="585858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45A2660" wp14:editId="2504E428">
              <wp:simplePos x="0" y="0"/>
              <wp:positionH relativeFrom="page">
                <wp:posOffset>5764530</wp:posOffset>
              </wp:positionH>
              <wp:positionV relativeFrom="page">
                <wp:posOffset>9615805</wp:posOffset>
              </wp:positionV>
              <wp:extent cx="911860" cy="1270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126F3" w14:textId="77777777" w:rsidR="00F9133F" w:rsidRDefault="00F91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t>HR_JD_015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t>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A2660" id="Text Box 4" o:spid="_x0000_s1028" type="#_x0000_t202" style="position:absolute;margin-left:453.9pt;margin-top:757.15pt;width:71.8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" o:allowincell="f" filled="f" stroked="f">
              <v:textbox inset="0,0,0,0">
                <w:txbxContent>
                  <w:p w14:paraId="79C126F3" w14:textId="77777777" w:rsidR="00F9133F" w:rsidRDefault="00F913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t>HR_JD_015</w:t>
                    </w:r>
                    <w:r>
                      <w:rPr>
                        <w:rFonts w:ascii="Arial" w:hAnsi="Arial" w:cs="Arial"/>
                        <w:color w:val="585858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color w:val="585858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8F76" w14:textId="77777777" w:rsidR="00CA232C" w:rsidRDefault="00CA232C">
      <w:pPr>
        <w:spacing w:after="0" w:line="240" w:lineRule="auto"/>
      </w:pPr>
      <w:r>
        <w:separator/>
      </w:r>
    </w:p>
  </w:footnote>
  <w:footnote w:type="continuationSeparator" w:id="0">
    <w:p w14:paraId="64F7643F" w14:textId="77777777" w:rsidR="00CA232C" w:rsidRDefault="00CA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98AE" w14:textId="77777777" w:rsidR="00132BCD" w:rsidRPr="005638CF" w:rsidRDefault="00132BCD" w:rsidP="00132BCD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CA12F8B" wp14:editId="3EA9A35D">
              <wp:simplePos x="0" y="0"/>
              <wp:positionH relativeFrom="page">
                <wp:posOffset>5412740</wp:posOffset>
              </wp:positionH>
              <wp:positionV relativeFrom="page">
                <wp:posOffset>76200</wp:posOffset>
              </wp:positionV>
              <wp:extent cx="2244725" cy="6540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4725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60CD5" w14:textId="77777777" w:rsidR="00132BCD" w:rsidRDefault="00132BCD" w:rsidP="00132BC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2D972F15" w14:textId="77777777" w:rsidR="00132BCD" w:rsidRDefault="00132BCD" w:rsidP="00132BC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270701">
                            <w:rPr>
                              <w:noProof/>
                            </w:rPr>
                            <w:drawing>
                              <wp:inline distT="0" distB="0" distL="0" distR="0" wp14:anchorId="46AE7F9D" wp14:editId="2F629735">
                                <wp:extent cx="2200275" cy="4572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913" r="489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027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12F8B" id="Rectangle 1" o:spid="_x0000_s1026" style="position:absolute;left:0;text-align:left;margin-left:426.2pt;margin-top:6pt;width:176.75pt;height:5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" o:allowincell="f" filled="f" stroked="f">
              <v:textbox inset="0,0,0,0">
                <w:txbxContent>
                  <w:p w14:paraId="4D360CD5" w14:textId="77777777" w:rsidR="00132BCD" w:rsidRDefault="00132BCD" w:rsidP="00132BC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2D972F15" w14:textId="77777777" w:rsidR="00132BCD" w:rsidRDefault="00132BCD" w:rsidP="00132BC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70701">
                      <w:rPr>
                        <w:noProof/>
                      </w:rPr>
                      <w:drawing>
                        <wp:inline distT="0" distB="0" distL="0" distR="0" wp14:anchorId="46AE7F9D" wp14:editId="2F629735">
                          <wp:extent cx="2200275" cy="4572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913" r="489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027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5638CF">
      <w:rPr>
        <w:rFonts w:ascii="Arial" w:hAnsi="Arial" w:cs="Arial"/>
        <w:b/>
        <w:bCs/>
      </w:rPr>
      <w:t>POSITION D</w:t>
    </w:r>
    <w:r w:rsidRPr="005638CF">
      <w:rPr>
        <w:rFonts w:ascii="Arial" w:hAnsi="Arial" w:cs="Arial"/>
        <w:b/>
        <w:bCs/>
        <w:w w:val="99"/>
      </w:rPr>
      <w:t>ESCRIPTION</w:t>
    </w:r>
    <w:r>
      <w:rPr>
        <w:rFonts w:ascii="Arial" w:hAnsi="Arial" w:cs="Arial"/>
        <w:b/>
        <w:bCs/>
        <w:w w:val="99"/>
      </w:rPr>
      <w:br/>
    </w:r>
  </w:p>
  <w:p w14:paraId="01941B99" w14:textId="69D334F0" w:rsidR="00F9133F" w:rsidRDefault="00F9133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ECF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02CB"/>
    <w:multiLevelType w:val="hybridMultilevel"/>
    <w:tmpl w:val="9C224D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442AD"/>
    <w:multiLevelType w:val="hybridMultilevel"/>
    <w:tmpl w:val="4DA659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F1CF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 w15:restartNumberingAfterBreak="0">
    <w:nsid w:val="28CC508E"/>
    <w:multiLevelType w:val="hybridMultilevel"/>
    <w:tmpl w:val="574A361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102E8E"/>
    <w:multiLevelType w:val="hybridMultilevel"/>
    <w:tmpl w:val="4E64C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F0AA8"/>
    <w:multiLevelType w:val="hybridMultilevel"/>
    <w:tmpl w:val="04E87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56E3A"/>
    <w:multiLevelType w:val="hybridMultilevel"/>
    <w:tmpl w:val="E5A22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66A28"/>
    <w:multiLevelType w:val="hybridMultilevel"/>
    <w:tmpl w:val="67AA8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36251A"/>
    <w:multiLevelType w:val="hybridMultilevel"/>
    <w:tmpl w:val="16EEEDE6"/>
    <w:lvl w:ilvl="0" w:tplc="081A12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859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BB827E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4399">
    <w:abstractNumId w:val="3"/>
  </w:num>
  <w:num w:numId="2" w16cid:durableId="1491631452">
    <w:abstractNumId w:val="10"/>
  </w:num>
  <w:num w:numId="3" w16cid:durableId="1068072389">
    <w:abstractNumId w:val="11"/>
  </w:num>
  <w:num w:numId="4" w16cid:durableId="1917128901">
    <w:abstractNumId w:val="0"/>
  </w:num>
  <w:num w:numId="5" w16cid:durableId="1201744935">
    <w:abstractNumId w:val="8"/>
  </w:num>
  <w:num w:numId="6" w16cid:durableId="1172835161">
    <w:abstractNumId w:val="4"/>
  </w:num>
  <w:num w:numId="7" w16cid:durableId="38625631">
    <w:abstractNumId w:val="6"/>
  </w:num>
  <w:num w:numId="8" w16cid:durableId="907612818">
    <w:abstractNumId w:val="2"/>
  </w:num>
  <w:num w:numId="9" w16cid:durableId="835417186">
    <w:abstractNumId w:val="7"/>
  </w:num>
  <w:num w:numId="10" w16cid:durableId="1433474501">
    <w:abstractNumId w:val="9"/>
  </w:num>
  <w:num w:numId="11" w16cid:durableId="1594967844">
    <w:abstractNumId w:val="1"/>
  </w:num>
  <w:num w:numId="12" w16cid:durableId="2041589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B"/>
    <w:rsid w:val="00043942"/>
    <w:rsid w:val="00056C5E"/>
    <w:rsid w:val="0006796A"/>
    <w:rsid w:val="000C0191"/>
    <w:rsid w:val="00112CD0"/>
    <w:rsid w:val="00125BFE"/>
    <w:rsid w:val="00132BCD"/>
    <w:rsid w:val="00152ED2"/>
    <w:rsid w:val="001B4DD7"/>
    <w:rsid w:val="001E13FD"/>
    <w:rsid w:val="00200955"/>
    <w:rsid w:val="002232D1"/>
    <w:rsid w:val="002727B8"/>
    <w:rsid w:val="00282254"/>
    <w:rsid w:val="002919BB"/>
    <w:rsid w:val="002A0192"/>
    <w:rsid w:val="002A4CC7"/>
    <w:rsid w:val="002A51F1"/>
    <w:rsid w:val="002F47E6"/>
    <w:rsid w:val="00313A05"/>
    <w:rsid w:val="0032619E"/>
    <w:rsid w:val="0033666F"/>
    <w:rsid w:val="00336FAB"/>
    <w:rsid w:val="00350571"/>
    <w:rsid w:val="00351B41"/>
    <w:rsid w:val="00373840"/>
    <w:rsid w:val="003836EC"/>
    <w:rsid w:val="003D41D1"/>
    <w:rsid w:val="00443A06"/>
    <w:rsid w:val="004622BF"/>
    <w:rsid w:val="004B0DE0"/>
    <w:rsid w:val="004D0ADA"/>
    <w:rsid w:val="0052340E"/>
    <w:rsid w:val="00531138"/>
    <w:rsid w:val="00542266"/>
    <w:rsid w:val="005638CF"/>
    <w:rsid w:val="005A047F"/>
    <w:rsid w:val="005A65B1"/>
    <w:rsid w:val="00611782"/>
    <w:rsid w:val="00631CA5"/>
    <w:rsid w:val="00656D27"/>
    <w:rsid w:val="006A7CBC"/>
    <w:rsid w:val="006B4817"/>
    <w:rsid w:val="006B78B9"/>
    <w:rsid w:val="006F0A3C"/>
    <w:rsid w:val="00740F52"/>
    <w:rsid w:val="007624F7"/>
    <w:rsid w:val="007706BB"/>
    <w:rsid w:val="007B0498"/>
    <w:rsid w:val="007B52C0"/>
    <w:rsid w:val="007C016B"/>
    <w:rsid w:val="007D1AD8"/>
    <w:rsid w:val="007F01AA"/>
    <w:rsid w:val="008021D9"/>
    <w:rsid w:val="008103DD"/>
    <w:rsid w:val="00810F2E"/>
    <w:rsid w:val="00812937"/>
    <w:rsid w:val="0081710C"/>
    <w:rsid w:val="00827E37"/>
    <w:rsid w:val="00871FD1"/>
    <w:rsid w:val="00876FE3"/>
    <w:rsid w:val="00881380"/>
    <w:rsid w:val="00893E0B"/>
    <w:rsid w:val="008C6CB1"/>
    <w:rsid w:val="008E3E74"/>
    <w:rsid w:val="009E0D02"/>
    <w:rsid w:val="00A23E3F"/>
    <w:rsid w:val="00A27785"/>
    <w:rsid w:val="00A311CE"/>
    <w:rsid w:val="00A40C24"/>
    <w:rsid w:val="00A41292"/>
    <w:rsid w:val="00A643B1"/>
    <w:rsid w:val="00A64D14"/>
    <w:rsid w:val="00A81E9E"/>
    <w:rsid w:val="00AA7C97"/>
    <w:rsid w:val="00AB50AB"/>
    <w:rsid w:val="00AC2C22"/>
    <w:rsid w:val="00AD1117"/>
    <w:rsid w:val="00AE135C"/>
    <w:rsid w:val="00B05193"/>
    <w:rsid w:val="00B1461D"/>
    <w:rsid w:val="00B14EA8"/>
    <w:rsid w:val="00B51032"/>
    <w:rsid w:val="00BC2663"/>
    <w:rsid w:val="00BD2807"/>
    <w:rsid w:val="00BE4188"/>
    <w:rsid w:val="00C343A5"/>
    <w:rsid w:val="00C6450A"/>
    <w:rsid w:val="00CA232C"/>
    <w:rsid w:val="00CC7358"/>
    <w:rsid w:val="00CD1DB3"/>
    <w:rsid w:val="00D15C7D"/>
    <w:rsid w:val="00D53BD2"/>
    <w:rsid w:val="00D831AF"/>
    <w:rsid w:val="00DC200B"/>
    <w:rsid w:val="00E05BC2"/>
    <w:rsid w:val="00E11CA4"/>
    <w:rsid w:val="00E34261"/>
    <w:rsid w:val="00E67F69"/>
    <w:rsid w:val="00E94587"/>
    <w:rsid w:val="00EC27C7"/>
    <w:rsid w:val="00EC632C"/>
    <w:rsid w:val="00ED513B"/>
    <w:rsid w:val="00ED75C5"/>
    <w:rsid w:val="00F22EE1"/>
    <w:rsid w:val="00F242BC"/>
    <w:rsid w:val="00F60D13"/>
    <w:rsid w:val="00F77BDC"/>
    <w:rsid w:val="00F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5CE31"/>
  <w14:defaultImageDpi w14:val="0"/>
  <w15:docId w15:val="{822742E4-06BC-4889-BFA5-79BD8D9C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4CC7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032"/>
    <w:rPr>
      <w:rFonts w:ascii="Tahoma" w:hAnsi="Tahoma" w:cs="Tahoma"/>
      <w:sz w:val="16"/>
      <w:szCs w:val="16"/>
    </w:rPr>
  </w:style>
  <w:style w:type="table" w:styleId="GridTable2-Accent1">
    <w:name w:val="Grid Table 2 Accent 1"/>
    <w:basedOn w:val="TableNormal"/>
    <w:uiPriority w:val="47"/>
    <w:rsid w:val="004B0DE0"/>
    <w:pPr>
      <w:spacing w:after="0" w:line="240" w:lineRule="auto"/>
    </w:pPr>
    <w:rPr>
      <w:rFonts w:ascii="Open Sans" w:eastAsia="Calibri" w:hAnsi="Open Sans" w:cs="Open Sans"/>
      <w:lang w:eastAsia="en-US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unhideWhenUsed/>
    <w:rsid w:val="004B0DE0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spacing w:before="120" w:line="240" w:lineRule="auto"/>
      <w:ind w:left="1152" w:right="1152"/>
    </w:pPr>
    <w:rPr>
      <w:rFonts w:ascii="Open Sans" w:hAnsi="Open Sans" w:cs="Arial"/>
      <w:i/>
      <w:iCs/>
      <w:color w:val="4F81BD"/>
      <w:lang w:eastAsia="en-US"/>
    </w:rPr>
  </w:style>
  <w:style w:type="paragraph" w:styleId="ListParagraph">
    <w:name w:val="List Paragraph"/>
    <w:basedOn w:val="Normal"/>
    <w:uiPriority w:val="34"/>
    <w:qFormat/>
    <w:rsid w:val="005A65B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26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BC266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B7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apsc.gov.au/working-aps/aps-employees-and-managers/classifications/integrated-leadership-system-ils/ils-resources-profiles-comparatives-and-self-assessment/integrated-leadership-system-ils-aps-6-profil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B7216451A394DBDD022833617330F" ma:contentTypeVersion="6" ma:contentTypeDescription="Create a new document." ma:contentTypeScope="" ma:versionID="1a0b059f91420d6f9c7c0bc9e626052a">
  <xsd:schema xmlns:xsd="http://www.w3.org/2001/XMLSchema" xmlns:xs="http://www.w3.org/2001/XMLSchema" xmlns:p="http://schemas.microsoft.com/office/2006/metadata/properties" xmlns:ns2="5b979a97-fc68-4138-8577-cb563958aa5d" xmlns:ns3="45d7f533-6637-4fb5-8142-05446dc3d9ac" targetNamespace="http://schemas.microsoft.com/office/2006/metadata/properties" ma:root="true" ma:fieldsID="d621f5631ea0d11b9f0c4420421e920e" ns2:_="" ns3:_="">
    <xsd:import namespace="5b979a97-fc68-4138-8577-cb563958aa5d"/>
    <xsd:import namespace="45d7f533-6637-4fb5-8142-05446dc3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79a97-fc68-4138-8577-cb563958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f533-6637-4fb5-8142-05446dc3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53C70-C8F1-4364-B713-2172A6AF4A9F}"/>
</file>

<file path=customXml/itemProps2.xml><?xml version="1.0" encoding="utf-8"?>
<ds:datastoreItem xmlns:ds="http://schemas.openxmlformats.org/officeDocument/2006/customXml" ds:itemID="{C17F4FA0-EED6-4389-9B8E-4DC7744C5646}"/>
</file>

<file path=customXml/itemProps3.xml><?xml version="1.0" encoding="utf-8"?>
<ds:datastoreItem xmlns:ds="http://schemas.openxmlformats.org/officeDocument/2006/customXml" ds:itemID="{DE97206E-7739-486A-8B30-22D58C2CE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Australian Aged Care Quality Agency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Leona Kwan</dc:creator>
  <cp:keywords/>
  <dc:description/>
  <cp:lastModifiedBy>Gargi Chawla</cp:lastModifiedBy>
  <cp:revision>3</cp:revision>
  <cp:lastPrinted>2017-07-25T00:40:00Z</cp:lastPrinted>
  <dcterms:created xsi:type="dcterms:W3CDTF">2024-02-08T00:37:00Z</dcterms:created>
  <dcterms:modified xsi:type="dcterms:W3CDTF">2024-02-08T00:38:00Z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0x010100A97B7216451A394DBDD022833617330F</vt:lpwstr>
  </property>
</Properties>
</file>