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C509" w14:textId="77777777" w:rsidR="00493B11" w:rsidRPr="00716B32" w:rsidRDefault="00493B11" w:rsidP="009973B3">
      <w:pPr>
        <w:spacing w:after="120"/>
        <w:rPr>
          <w:rFonts w:cstheme="minorHAnsi"/>
          <w:b/>
          <w:color w:val="7030A0"/>
          <w:sz w:val="24"/>
          <w:szCs w:val="24"/>
        </w:rPr>
      </w:pPr>
      <w:r w:rsidRPr="00716B32">
        <w:rPr>
          <w:rFonts w:cstheme="minorHAnsi"/>
          <w:b/>
          <w:color w:val="7030A0"/>
          <w:sz w:val="24"/>
          <w:szCs w:val="24"/>
        </w:rPr>
        <w:t>Status of aged care reforms and what’s next – Commission reform webinar Q&amp;As</w:t>
      </w:r>
    </w:p>
    <w:p w14:paraId="5467721E" w14:textId="014B93D8" w:rsidR="00DF7575" w:rsidRPr="004C1DA2" w:rsidRDefault="00493B11" w:rsidP="009973B3">
      <w:pPr>
        <w:spacing w:after="120"/>
        <w:rPr>
          <w:rFonts w:cstheme="minorHAnsi"/>
        </w:rPr>
      </w:pPr>
      <w:r w:rsidRPr="004C1DA2">
        <w:rPr>
          <w:rFonts w:cstheme="minorHAnsi"/>
        </w:rPr>
        <w:t>Th</w:t>
      </w:r>
      <w:r w:rsidR="00FA5C46" w:rsidRPr="004C1DA2">
        <w:rPr>
          <w:rFonts w:cstheme="minorHAnsi"/>
        </w:rPr>
        <w:t>is document responds to questions put to the Commission at the ‘</w:t>
      </w:r>
      <w:r w:rsidR="0034584C" w:rsidRPr="004C1DA2">
        <w:rPr>
          <w:rFonts w:cstheme="minorHAnsi"/>
        </w:rPr>
        <w:t xml:space="preserve">Aged care sector reforms – current status </w:t>
      </w:r>
      <w:r w:rsidR="00FA5C46" w:rsidRPr="004C1DA2">
        <w:rPr>
          <w:rFonts w:cstheme="minorHAnsi"/>
        </w:rPr>
        <w:t xml:space="preserve">and what’s next?’ webinar held on </w:t>
      </w:r>
      <w:r w:rsidR="00716B32">
        <w:rPr>
          <w:rFonts w:cstheme="minorHAnsi"/>
        </w:rPr>
        <w:t xml:space="preserve">15 </w:t>
      </w:r>
      <w:r w:rsidR="00FA5C46" w:rsidRPr="004C1DA2">
        <w:rPr>
          <w:rFonts w:cstheme="minorHAnsi"/>
        </w:rPr>
        <w:t xml:space="preserve">December 2022. </w:t>
      </w:r>
      <w:r w:rsidR="00A434A9" w:rsidRPr="004C1DA2">
        <w:rPr>
          <w:rFonts w:cstheme="minorHAnsi"/>
        </w:rPr>
        <w:t xml:space="preserve">The information is </w:t>
      </w:r>
      <w:r w:rsidR="00A434A9" w:rsidRPr="00194C9E">
        <w:rPr>
          <w:rFonts w:cstheme="minorHAnsi"/>
        </w:rPr>
        <w:t xml:space="preserve">current as </w:t>
      </w:r>
      <w:proofErr w:type="gramStart"/>
      <w:r w:rsidR="00A434A9" w:rsidRPr="00194C9E">
        <w:rPr>
          <w:rFonts w:cstheme="minorHAnsi"/>
        </w:rPr>
        <w:t>at</w:t>
      </w:r>
      <w:proofErr w:type="gramEnd"/>
      <w:r w:rsidR="00A434A9" w:rsidRPr="00194C9E">
        <w:rPr>
          <w:rFonts w:cstheme="minorHAnsi"/>
        </w:rPr>
        <w:t xml:space="preserve"> </w:t>
      </w:r>
      <w:r w:rsidR="00194C9E" w:rsidRPr="00194C9E">
        <w:rPr>
          <w:rFonts w:cstheme="minorHAnsi"/>
        </w:rPr>
        <w:t>15 May</w:t>
      </w:r>
      <w:r w:rsidR="00A434A9" w:rsidRPr="00194C9E">
        <w:rPr>
          <w:rFonts w:cstheme="minorHAnsi"/>
        </w:rPr>
        <w:t xml:space="preserve"> 2023.</w:t>
      </w:r>
      <w:r w:rsidR="00A434A9" w:rsidRPr="004C1DA2">
        <w:rPr>
          <w:rFonts w:cstheme="minorHAnsi"/>
        </w:rPr>
        <w:t xml:space="preserve"> </w:t>
      </w:r>
    </w:p>
    <w:tbl>
      <w:tblPr>
        <w:tblStyle w:val="TableGrid"/>
        <w:tblW w:w="13462" w:type="dxa"/>
        <w:tblLook w:val="04A0" w:firstRow="1" w:lastRow="0" w:firstColumn="1" w:lastColumn="0" w:noHBand="0" w:noVBand="1"/>
      </w:tblPr>
      <w:tblGrid>
        <w:gridCol w:w="5665"/>
        <w:gridCol w:w="7797"/>
      </w:tblGrid>
      <w:tr w:rsidR="00001362" w:rsidRPr="004C1DA2" w14:paraId="705F0F9C" w14:textId="77777777" w:rsidTr="045764E4">
        <w:trPr>
          <w:trHeight w:val="394"/>
          <w:tblHeader/>
        </w:trPr>
        <w:tc>
          <w:tcPr>
            <w:tcW w:w="5665" w:type="dxa"/>
            <w:shd w:val="clear" w:color="auto" w:fill="000000" w:themeFill="text1"/>
          </w:tcPr>
          <w:p w14:paraId="44CBFEB1" w14:textId="746DB89F" w:rsidR="00001362" w:rsidRPr="004C1DA2" w:rsidRDefault="00001362" w:rsidP="009973B3">
            <w:pPr>
              <w:spacing w:after="120"/>
              <w:rPr>
                <w:rFonts w:cstheme="minorHAnsi"/>
                <w:b/>
              </w:rPr>
            </w:pPr>
            <w:r w:rsidRPr="004C1DA2">
              <w:rPr>
                <w:rFonts w:cstheme="minorHAnsi"/>
                <w:b/>
              </w:rPr>
              <w:t>Question</w:t>
            </w:r>
          </w:p>
        </w:tc>
        <w:tc>
          <w:tcPr>
            <w:tcW w:w="7797" w:type="dxa"/>
            <w:shd w:val="clear" w:color="auto" w:fill="000000" w:themeFill="text1"/>
          </w:tcPr>
          <w:p w14:paraId="60F69FD8" w14:textId="72850AB5" w:rsidR="00001362" w:rsidRPr="004C1DA2" w:rsidRDefault="00FE652D" w:rsidP="009973B3">
            <w:pPr>
              <w:spacing w:after="120"/>
              <w:rPr>
                <w:rFonts w:cstheme="minorHAnsi"/>
                <w:b/>
              </w:rPr>
            </w:pPr>
            <w:r w:rsidRPr="004C1DA2">
              <w:rPr>
                <w:rFonts w:cstheme="minorHAnsi"/>
                <w:b/>
              </w:rPr>
              <w:t>Response</w:t>
            </w:r>
          </w:p>
        </w:tc>
      </w:tr>
      <w:tr w:rsidR="00B61571" w:rsidRPr="004C1DA2" w14:paraId="43568EB2" w14:textId="77777777" w:rsidTr="045764E4">
        <w:trPr>
          <w:trHeight w:val="555"/>
        </w:trPr>
        <w:tc>
          <w:tcPr>
            <w:tcW w:w="5665" w:type="dxa"/>
            <w:shd w:val="clear" w:color="auto" w:fill="8EAADB" w:themeFill="accent1" w:themeFillTint="99"/>
            <w:vAlign w:val="center"/>
          </w:tcPr>
          <w:p w14:paraId="5A576453" w14:textId="63668ACF" w:rsidR="00B61571" w:rsidRPr="004C1DA2" w:rsidRDefault="00B61571" w:rsidP="00F03CB9">
            <w:pPr>
              <w:spacing w:after="120"/>
              <w:rPr>
                <w:rFonts w:cstheme="minorHAnsi"/>
                <w:b/>
              </w:rPr>
            </w:pPr>
            <w:r w:rsidRPr="004C1DA2">
              <w:rPr>
                <w:rFonts w:cstheme="minorHAnsi"/>
                <w:b/>
              </w:rPr>
              <w:t>STAR RATINGS</w:t>
            </w:r>
          </w:p>
        </w:tc>
        <w:tc>
          <w:tcPr>
            <w:tcW w:w="7797" w:type="dxa"/>
            <w:shd w:val="clear" w:color="auto" w:fill="8EAADB" w:themeFill="accent1" w:themeFillTint="99"/>
          </w:tcPr>
          <w:p w14:paraId="65B09BD1" w14:textId="77777777" w:rsidR="00B61571" w:rsidRPr="004C1DA2" w:rsidRDefault="00B61571" w:rsidP="009973B3">
            <w:pPr>
              <w:spacing w:after="120"/>
              <w:rPr>
                <w:rFonts w:cstheme="minorHAnsi"/>
              </w:rPr>
            </w:pPr>
          </w:p>
        </w:tc>
      </w:tr>
      <w:tr w:rsidR="00001362" w:rsidRPr="004C1DA2" w14:paraId="332C6CA5" w14:textId="77777777" w:rsidTr="045764E4">
        <w:trPr>
          <w:trHeight w:val="1547"/>
        </w:trPr>
        <w:tc>
          <w:tcPr>
            <w:tcW w:w="5665" w:type="dxa"/>
            <w:hideMark/>
          </w:tcPr>
          <w:p w14:paraId="48294364" w14:textId="485DEBF7" w:rsidR="00001362" w:rsidRPr="004C1DA2" w:rsidRDefault="00001362" w:rsidP="009973B3">
            <w:pPr>
              <w:spacing w:after="120"/>
              <w:rPr>
                <w:rFonts w:cstheme="minorHAnsi"/>
              </w:rPr>
            </w:pPr>
            <w:r w:rsidRPr="004C1DA2">
              <w:rPr>
                <w:rFonts w:cstheme="minorHAnsi"/>
              </w:rPr>
              <w:t xml:space="preserve">We have had no non-compliance for 3 years, and at our last site audit we were accredited for 3 years. Why haven’t we received a </w:t>
            </w:r>
            <w:r w:rsidR="002A2C96" w:rsidRPr="004C1DA2">
              <w:rPr>
                <w:rFonts w:cstheme="minorHAnsi"/>
              </w:rPr>
              <w:t>5-star</w:t>
            </w:r>
            <w:r w:rsidRPr="004C1DA2">
              <w:rPr>
                <w:rFonts w:cstheme="minorHAnsi"/>
              </w:rPr>
              <w:t xml:space="preserve"> Compliance rating?</w:t>
            </w:r>
            <w:r w:rsidR="00B407CB">
              <w:rPr>
                <w:rFonts w:cstheme="minorHAnsi"/>
              </w:rPr>
              <w:t xml:space="preserve"> </w:t>
            </w:r>
          </w:p>
        </w:tc>
        <w:tc>
          <w:tcPr>
            <w:tcW w:w="7797" w:type="dxa"/>
            <w:hideMark/>
          </w:tcPr>
          <w:p w14:paraId="05CB4A9D" w14:textId="0C8DCCF9" w:rsidR="00FE652D" w:rsidRPr="004C1DA2" w:rsidRDefault="00FE652D" w:rsidP="009973B3">
            <w:pPr>
              <w:spacing w:after="120"/>
              <w:rPr>
                <w:rFonts w:cstheme="minorHAnsi"/>
              </w:rPr>
            </w:pPr>
            <w:r w:rsidRPr="004C1DA2">
              <w:rPr>
                <w:rFonts w:cstheme="minorHAnsi"/>
              </w:rPr>
              <w:t xml:space="preserve">Services </w:t>
            </w:r>
            <w:r w:rsidR="00B33C85" w:rsidRPr="004C1DA2">
              <w:rPr>
                <w:rFonts w:cstheme="minorHAnsi"/>
              </w:rPr>
              <w:t xml:space="preserve">are entitled to a </w:t>
            </w:r>
            <w:hyperlink r:id="rId8" w:history="1">
              <w:r w:rsidR="00B33C85" w:rsidRPr="004C1DA2">
                <w:rPr>
                  <w:rStyle w:val="Hyperlink"/>
                  <w:rFonts w:cstheme="minorHAnsi"/>
                </w:rPr>
                <w:t>5-star compliance</w:t>
              </w:r>
            </w:hyperlink>
            <w:r w:rsidR="00B33C85" w:rsidRPr="004C1DA2">
              <w:rPr>
                <w:rFonts w:cstheme="minorHAnsi"/>
              </w:rPr>
              <w:t xml:space="preserve"> rating under the Star Ratings </w:t>
            </w:r>
            <w:r w:rsidR="009E376E">
              <w:rPr>
                <w:rFonts w:cstheme="minorHAnsi"/>
              </w:rPr>
              <w:t>if they</w:t>
            </w:r>
            <w:r w:rsidRPr="004C1DA2">
              <w:rPr>
                <w:rFonts w:cstheme="minorHAnsi"/>
              </w:rPr>
              <w:t xml:space="preserve"> have: </w:t>
            </w:r>
          </w:p>
          <w:p w14:paraId="199B412B" w14:textId="098F5289" w:rsidR="0082147B" w:rsidRPr="004C1DA2" w:rsidRDefault="00FE652D" w:rsidP="009973B3">
            <w:pPr>
              <w:spacing w:after="120"/>
              <w:rPr>
                <w:rFonts w:cstheme="minorHAnsi"/>
              </w:rPr>
            </w:pPr>
            <w:r w:rsidRPr="004C1DA2">
              <w:rPr>
                <w:rFonts w:cstheme="minorHAnsi"/>
              </w:rPr>
              <w:t>•</w:t>
            </w:r>
            <w:r w:rsidR="00B33C85" w:rsidRPr="004C1DA2">
              <w:rPr>
                <w:rFonts w:cstheme="minorHAnsi"/>
              </w:rPr>
              <w:t xml:space="preserve"> </w:t>
            </w:r>
            <w:r w:rsidRPr="004C1DA2">
              <w:rPr>
                <w:rFonts w:cstheme="minorHAnsi"/>
              </w:rPr>
              <w:t xml:space="preserve">received a </w:t>
            </w:r>
            <w:r w:rsidR="00334036" w:rsidRPr="004C1DA2">
              <w:rPr>
                <w:rFonts w:cstheme="minorHAnsi"/>
              </w:rPr>
              <w:t>3-year</w:t>
            </w:r>
            <w:r w:rsidRPr="004C1DA2">
              <w:rPr>
                <w:rFonts w:cstheme="minorHAnsi"/>
              </w:rPr>
              <w:t xml:space="preserve"> accreditation from their last site audit</w:t>
            </w:r>
            <w:r w:rsidR="00853A70">
              <w:rPr>
                <w:rFonts w:cstheme="minorHAnsi"/>
              </w:rPr>
              <w:t>, and have been</w:t>
            </w:r>
            <w:r w:rsidRPr="004C1DA2">
              <w:rPr>
                <w:rFonts w:cstheme="minorHAnsi"/>
              </w:rPr>
              <w:t xml:space="preserve"> </w:t>
            </w:r>
            <w:r w:rsidR="00853A70">
              <w:rPr>
                <w:rFonts w:cstheme="minorHAnsi"/>
              </w:rPr>
              <w:t>operated by the same approved provider for a least that same duration</w:t>
            </w:r>
          </w:p>
          <w:p w14:paraId="23D1EDE5" w14:textId="79E1807B" w:rsidR="009973B3" w:rsidRPr="004C1DA2" w:rsidRDefault="00FE652D" w:rsidP="009973B3">
            <w:pPr>
              <w:spacing w:after="120"/>
              <w:rPr>
                <w:rFonts w:cstheme="minorHAnsi"/>
              </w:rPr>
            </w:pPr>
            <w:r w:rsidRPr="004C1DA2">
              <w:rPr>
                <w:rFonts w:cstheme="minorHAnsi"/>
              </w:rPr>
              <w:t>•</w:t>
            </w:r>
            <w:r w:rsidR="00B33C85" w:rsidRPr="004C1DA2">
              <w:rPr>
                <w:rFonts w:cstheme="minorHAnsi"/>
              </w:rPr>
              <w:t xml:space="preserve"> </w:t>
            </w:r>
            <w:r w:rsidRPr="004C1DA2">
              <w:rPr>
                <w:rFonts w:cstheme="minorHAnsi"/>
              </w:rPr>
              <w:t xml:space="preserve">have </w:t>
            </w:r>
            <w:r w:rsidR="006B4122" w:rsidRPr="004C1DA2">
              <w:rPr>
                <w:rFonts w:cstheme="minorHAnsi"/>
              </w:rPr>
              <w:t xml:space="preserve">not had any </w:t>
            </w:r>
            <w:r w:rsidRPr="004C1DA2">
              <w:rPr>
                <w:rFonts w:cstheme="minorHAnsi"/>
              </w:rPr>
              <w:t>non</w:t>
            </w:r>
            <w:r w:rsidR="00A03582" w:rsidRPr="004C1DA2">
              <w:rPr>
                <w:rFonts w:cstheme="minorHAnsi"/>
              </w:rPr>
              <w:t>-</w:t>
            </w:r>
            <w:r w:rsidRPr="004C1DA2">
              <w:rPr>
                <w:rFonts w:cstheme="minorHAnsi"/>
              </w:rPr>
              <w:t>compliance for 3 years</w:t>
            </w:r>
            <w:r w:rsidR="61166774" w:rsidRPr="004C1DA2">
              <w:rPr>
                <w:rFonts w:cstheme="minorHAnsi"/>
              </w:rPr>
              <w:t xml:space="preserve">. </w:t>
            </w:r>
          </w:p>
          <w:p w14:paraId="3F5677DF" w14:textId="60B57F02" w:rsidR="00DE5604" w:rsidRPr="004C1DA2" w:rsidRDefault="318ADCDF" w:rsidP="009973B3">
            <w:pPr>
              <w:spacing w:after="120"/>
              <w:rPr>
                <w:rFonts w:cstheme="minorHAnsi"/>
              </w:rPr>
            </w:pPr>
            <w:r w:rsidRPr="004C1DA2">
              <w:rPr>
                <w:rFonts w:cstheme="minorHAnsi"/>
              </w:rPr>
              <w:t xml:space="preserve">This applies </w:t>
            </w:r>
            <w:r w:rsidR="61166774" w:rsidRPr="004C1DA2">
              <w:rPr>
                <w:rFonts w:cstheme="minorHAnsi"/>
              </w:rPr>
              <w:t>even if the</w:t>
            </w:r>
            <w:r w:rsidR="00E008DD" w:rsidRPr="004C1DA2">
              <w:rPr>
                <w:rFonts w:cstheme="minorHAnsi"/>
              </w:rPr>
              <w:t xml:space="preserve"> service was </w:t>
            </w:r>
            <w:r w:rsidR="61166774" w:rsidRPr="004C1DA2">
              <w:rPr>
                <w:rFonts w:cstheme="minorHAnsi"/>
              </w:rPr>
              <w:t xml:space="preserve">issued a </w:t>
            </w:r>
            <w:r w:rsidR="1F37DF2A" w:rsidRPr="004C1DA2">
              <w:rPr>
                <w:rFonts w:cstheme="minorHAnsi"/>
              </w:rPr>
              <w:t>12-month</w:t>
            </w:r>
            <w:r w:rsidR="61166774" w:rsidRPr="004C1DA2">
              <w:rPr>
                <w:rFonts w:cstheme="minorHAnsi"/>
              </w:rPr>
              <w:t xml:space="preserve"> exceptional circumstances accreditation</w:t>
            </w:r>
            <w:r w:rsidR="2B722EB1" w:rsidRPr="004C1DA2">
              <w:rPr>
                <w:rFonts w:cstheme="minorHAnsi"/>
              </w:rPr>
              <w:t>.</w:t>
            </w:r>
          </w:p>
          <w:p w14:paraId="720B363B" w14:textId="1A8FC8DF" w:rsidR="00001362" w:rsidRPr="004C1DA2" w:rsidRDefault="00001362" w:rsidP="009973B3">
            <w:pPr>
              <w:spacing w:after="120"/>
              <w:rPr>
                <w:rFonts w:cstheme="minorHAnsi"/>
              </w:rPr>
            </w:pPr>
          </w:p>
        </w:tc>
      </w:tr>
      <w:tr w:rsidR="00B61571" w:rsidRPr="004C1DA2" w14:paraId="0810442D" w14:textId="77777777" w:rsidTr="045764E4">
        <w:trPr>
          <w:trHeight w:val="360"/>
        </w:trPr>
        <w:tc>
          <w:tcPr>
            <w:tcW w:w="5665" w:type="dxa"/>
          </w:tcPr>
          <w:p w14:paraId="243FFFA7" w14:textId="56324ABB" w:rsidR="00B61571" w:rsidRPr="004C1DA2" w:rsidRDefault="00B61571" w:rsidP="009973B3">
            <w:pPr>
              <w:spacing w:after="120"/>
              <w:rPr>
                <w:rFonts w:cstheme="minorHAnsi"/>
              </w:rPr>
            </w:pPr>
            <w:r w:rsidRPr="004C1DA2">
              <w:rPr>
                <w:rFonts w:cstheme="minorHAnsi"/>
              </w:rPr>
              <w:t xml:space="preserve">We still have an open non-compliance notice on My Aged Care, but the issue was resolved. When will this be fixed?  </w:t>
            </w:r>
          </w:p>
        </w:tc>
        <w:tc>
          <w:tcPr>
            <w:tcW w:w="7797" w:type="dxa"/>
          </w:tcPr>
          <w:p w14:paraId="105A39DE" w14:textId="7375935E" w:rsidR="004C1DA2" w:rsidRPr="004C1DA2" w:rsidRDefault="629CF8DF" w:rsidP="009973B3">
            <w:pPr>
              <w:spacing w:after="120"/>
              <w:rPr>
                <w:rFonts w:cstheme="minorHAnsi"/>
              </w:rPr>
            </w:pPr>
            <w:r w:rsidRPr="004C1DA2">
              <w:rPr>
                <w:rFonts w:cstheme="minorHAnsi"/>
              </w:rPr>
              <w:t>D</w:t>
            </w:r>
            <w:r w:rsidR="20F1AB10" w:rsidRPr="004C1DA2">
              <w:rPr>
                <w:rFonts w:cstheme="minorHAnsi"/>
              </w:rPr>
              <w:t xml:space="preserve">ata relating to </w:t>
            </w:r>
            <w:hyperlink r:id="rId9" w:history="1">
              <w:r w:rsidR="20F1AB10" w:rsidRPr="004C1DA2">
                <w:rPr>
                  <w:rStyle w:val="Hyperlink"/>
                  <w:rFonts w:cstheme="minorHAnsi"/>
                </w:rPr>
                <w:t>Compliance ratings</w:t>
              </w:r>
            </w:hyperlink>
            <w:r w:rsidR="20F1AB10" w:rsidRPr="004C1DA2">
              <w:rPr>
                <w:rFonts w:cstheme="minorHAnsi"/>
              </w:rPr>
              <w:t xml:space="preserve"> is updated daily on </w:t>
            </w:r>
            <w:hyperlink r:id="rId10" w:history="1">
              <w:r w:rsidR="20F1AB10" w:rsidRPr="00AD63B8">
                <w:rPr>
                  <w:rStyle w:val="Hyperlink"/>
                  <w:rFonts w:cstheme="minorHAnsi"/>
                </w:rPr>
                <w:t>My Aged Care</w:t>
              </w:r>
            </w:hyperlink>
            <w:r w:rsidR="20F1AB10" w:rsidRPr="004C1DA2">
              <w:rPr>
                <w:rFonts w:cstheme="minorHAnsi"/>
              </w:rPr>
              <w:t>.</w:t>
            </w:r>
          </w:p>
          <w:p w14:paraId="18BF924E" w14:textId="3BBA62C5" w:rsidR="00712C0A" w:rsidRPr="009973B3" w:rsidRDefault="004C1DA2" w:rsidP="009973B3">
            <w:pPr>
              <w:pStyle w:val="CommentText"/>
              <w:spacing w:after="120"/>
              <w:rPr>
                <w:rFonts w:cstheme="minorHAnsi"/>
                <w:bCs/>
                <w:sz w:val="22"/>
                <w:szCs w:val="22"/>
              </w:rPr>
            </w:pPr>
            <w:r w:rsidRPr="004C1DA2">
              <w:rPr>
                <w:rFonts w:cstheme="minorHAnsi"/>
                <w:sz w:val="22"/>
                <w:szCs w:val="22"/>
              </w:rPr>
              <w:t xml:space="preserve">Once the Commission is satisfied that </w:t>
            </w:r>
            <w:r w:rsidR="005D49BD">
              <w:rPr>
                <w:rFonts w:cstheme="minorHAnsi"/>
                <w:sz w:val="22"/>
                <w:szCs w:val="22"/>
              </w:rPr>
              <w:t xml:space="preserve">the </w:t>
            </w:r>
            <w:r w:rsidRPr="004C1DA2">
              <w:rPr>
                <w:rFonts w:cstheme="minorHAnsi"/>
                <w:sz w:val="22"/>
                <w:szCs w:val="22"/>
              </w:rPr>
              <w:t xml:space="preserve">non-compliance identified in a notice has been resolved and the provider has received the letter of decision from the </w:t>
            </w:r>
            <w:r w:rsidR="00AC77AF">
              <w:rPr>
                <w:rFonts w:cstheme="minorHAnsi"/>
                <w:sz w:val="22"/>
                <w:szCs w:val="22"/>
              </w:rPr>
              <w:t xml:space="preserve">Commission’s </w:t>
            </w:r>
            <w:r w:rsidRPr="004C1DA2">
              <w:rPr>
                <w:rFonts w:cstheme="minorHAnsi"/>
                <w:sz w:val="22"/>
                <w:szCs w:val="22"/>
              </w:rPr>
              <w:t>Compliance delegate to support this, the compliance rating will be updated. If this has not occurred, please contact the Commission at</w:t>
            </w:r>
            <w:r w:rsidRPr="004C1DA2">
              <w:rPr>
                <w:rFonts w:cstheme="minorHAnsi"/>
                <w:bCs/>
                <w:sz w:val="22"/>
                <w:szCs w:val="22"/>
              </w:rPr>
              <w:t xml:space="preserve"> </w:t>
            </w:r>
            <w:hyperlink r:id="rId11" w:history="1">
              <w:r w:rsidRPr="004C1DA2">
                <w:rPr>
                  <w:rStyle w:val="Hyperlink"/>
                  <w:rFonts w:cstheme="minorHAnsi"/>
                  <w:bCs/>
                  <w:sz w:val="22"/>
                  <w:szCs w:val="22"/>
                </w:rPr>
                <w:t>info@agedcarequality.gov.au</w:t>
              </w:r>
            </w:hyperlink>
            <w:r w:rsidRPr="004C1DA2">
              <w:rPr>
                <w:rFonts w:cstheme="minorHAnsi"/>
                <w:bCs/>
                <w:sz w:val="22"/>
                <w:szCs w:val="22"/>
              </w:rPr>
              <w:t xml:space="preserve"> </w:t>
            </w:r>
          </w:p>
          <w:p w14:paraId="193FFD24" w14:textId="6269C644" w:rsidR="00B80E12" w:rsidRPr="004C1DA2" w:rsidRDefault="00B61571" w:rsidP="00FE1DBF">
            <w:pPr>
              <w:rPr>
                <w:rFonts w:cstheme="minorHAnsi"/>
              </w:rPr>
            </w:pPr>
            <w:r w:rsidRPr="004C1DA2">
              <w:rPr>
                <w:rFonts w:cstheme="minorHAnsi"/>
              </w:rPr>
              <w:t>The Commission expects providers to engage in ongoing communication with the Commission about their non-compliance, the steps required to address it and the path forward to continued compliance.</w:t>
            </w:r>
            <w:r w:rsidR="00B407CB">
              <w:rPr>
                <w:rFonts w:cstheme="minorHAnsi"/>
              </w:rPr>
              <w:t xml:space="preserve"> </w:t>
            </w:r>
          </w:p>
          <w:p w14:paraId="78D1E223" w14:textId="77777777" w:rsidR="00B80E12" w:rsidRPr="004C1DA2" w:rsidRDefault="00B80E12" w:rsidP="00FE1DBF">
            <w:pPr>
              <w:rPr>
                <w:rFonts w:cstheme="minorHAnsi"/>
              </w:rPr>
            </w:pPr>
          </w:p>
          <w:p w14:paraId="20AE9554" w14:textId="6E21178E" w:rsidR="004C1DA2" w:rsidRPr="004C1DA2" w:rsidRDefault="00B61571" w:rsidP="00FE1DBF">
            <w:pPr>
              <w:rPr>
                <w:rFonts w:cstheme="minorHAnsi"/>
              </w:rPr>
            </w:pPr>
            <w:r w:rsidRPr="004C1DA2">
              <w:rPr>
                <w:rFonts w:cstheme="minorHAnsi"/>
              </w:rPr>
              <w:t>Approved providers should</w:t>
            </w:r>
            <w:r w:rsidR="001C0C22" w:rsidRPr="004C1DA2">
              <w:rPr>
                <w:rFonts w:cstheme="minorHAnsi"/>
              </w:rPr>
              <w:t>:</w:t>
            </w:r>
          </w:p>
          <w:p w14:paraId="6ED046F9" w14:textId="15CCC7D7" w:rsidR="004C1DA2" w:rsidRPr="009973B3" w:rsidRDefault="00B61571" w:rsidP="009973B3">
            <w:pPr>
              <w:pStyle w:val="ListParagraph"/>
              <w:numPr>
                <w:ilvl w:val="0"/>
                <w:numId w:val="7"/>
              </w:numPr>
              <w:spacing w:after="120"/>
              <w:contextualSpacing w:val="0"/>
              <w:rPr>
                <w:rFonts w:cstheme="minorHAnsi"/>
              </w:rPr>
            </w:pPr>
            <w:r w:rsidRPr="004C1DA2">
              <w:rPr>
                <w:rFonts w:cstheme="minorHAnsi"/>
              </w:rPr>
              <w:t>proactively provide the Commission with new information and supporting evidence, especially if the non-compliance has been resolved, or if there are issues with its resolution</w:t>
            </w:r>
            <w:r w:rsidR="00B80E12" w:rsidRPr="004C1DA2">
              <w:rPr>
                <w:rFonts w:cstheme="minorHAnsi"/>
              </w:rPr>
              <w:t>, and</w:t>
            </w:r>
          </w:p>
          <w:p w14:paraId="463F5E45" w14:textId="4B544E46" w:rsidR="00B61571" w:rsidRPr="004C1DA2" w:rsidRDefault="00B61571" w:rsidP="009973B3">
            <w:pPr>
              <w:spacing w:after="120"/>
              <w:ind w:left="720"/>
              <w:rPr>
                <w:rFonts w:cstheme="minorHAnsi"/>
              </w:rPr>
            </w:pPr>
            <w:r w:rsidRPr="004C1DA2">
              <w:rPr>
                <w:rFonts w:cstheme="minorHAnsi"/>
              </w:rPr>
              <w:lastRenderedPageBreak/>
              <w:t>(2) engage with the Commission if they have questions about their regulatory obligations.</w:t>
            </w:r>
          </w:p>
        </w:tc>
      </w:tr>
      <w:tr w:rsidR="00712C0A" w:rsidRPr="004C1DA2" w14:paraId="390627BD" w14:textId="77777777" w:rsidTr="045764E4">
        <w:trPr>
          <w:trHeight w:val="360"/>
        </w:trPr>
        <w:tc>
          <w:tcPr>
            <w:tcW w:w="5665" w:type="dxa"/>
          </w:tcPr>
          <w:p w14:paraId="5244CE7C" w14:textId="5431D36A" w:rsidR="00712C0A" w:rsidRPr="004C1DA2" w:rsidRDefault="00712C0A" w:rsidP="009973B3">
            <w:pPr>
              <w:spacing w:after="120"/>
              <w:rPr>
                <w:rFonts w:cstheme="minorHAnsi"/>
              </w:rPr>
            </w:pPr>
            <w:r w:rsidRPr="004C1DA2">
              <w:rPr>
                <w:rFonts w:cstheme="minorHAnsi"/>
              </w:rPr>
              <w:lastRenderedPageBreak/>
              <w:t xml:space="preserve">How is the Quality </w:t>
            </w:r>
            <w:r w:rsidR="00037BA5">
              <w:rPr>
                <w:rFonts w:cstheme="minorHAnsi"/>
              </w:rPr>
              <w:t>Measures</w:t>
            </w:r>
            <w:r w:rsidR="00037BA5" w:rsidRPr="004C1DA2">
              <w:rPr>
                <w:rFonts w:cstheme="minorHAnsi"/>
              </w:rPr>
              <w:t xml:space="preserve"> </w:t>
            </w:r>
            <w:r w:rsidRPr="004C1DA2">
              <w:rPr>
                <w:rFonts w:cstheme="minorHAnsi"/>
              </w:rPr>
              <w:t>sub-category calculated?</w:t>
            </w:r>
            <w:r w:rsidR="00B407CB">
              <w:rPr>
                <w:rFonts w:cstheme="minorHAnsi"/>
              </w:rPr>
              <w:t xml:space="preserve"> </w:t>
            </w:r>
          </w:p>
        </w:tc>
        <w:tc>
          <w:tcPr>
            <w:tcW w:w="7797" w:type="dxa"/>
          </w:tcPr>
          <w:p w14:paraId="34B258D1" w14:textId="55D8EE3C" w:rsidR="00251D01" w:rsidRPr="004C1DA2" w:rsidRDefault="00712C0A" w:rsidP="009973B3">
            <w:pPr>
              <w:spacing w:after="120"/>
              <w:rPr>
                <w:rFonts w:cstheme="minorHAnsi"/>
              </w:rPr>
            </w:pPr>
            <w:r w:rsidRPr="004C1DA2">
              <w:rPr>
                <w:rFonts w:cstheme="minorHAnsi"/>
              </w:rPr>
              <w:t xml:space="preserve">The Commission is responsible for the </w:t>
            </w:r>
            <w:hyperlink r:id="rId12" w:history="1">
              <w:r w:rsidRPr="004C1DA2">
                <w:rPr>
                  <w:rStyle w:val="Hyperlink"/>
                  <w:rFonts w:cstheme="minorHAnsi"/>
                </w:rPr>
                <w:t>Compliance rating</w:t>
              </w:r>
            </w:hyperlink>
            <w:r w:rsidR="00F10C2A" w:rsidRPr="004C1DA2">
              <w:rPr>
                <w:rFonts w:cstheme="minorHAnsi"/>
              </w:rPr>
              <w:t xml:space="preserve"> under the Star Ratings.</w:t>
            </w:r>
            <w:r w:rsidRPr="004C1DA2">
              <w:rPr>
                <w:rFonts w:cstheme="minorHAnsi"/>
              </w:rPr>
              <w:t xml:space="preserve"> Questions relating to the other </w:t>
            </w:r>
            <w:r w:rsidR="00E35BBB">
              <w:rPr>
                <w:rFonts w:cstheme="minorHAnsi"/>
              </w:rPr>
              <w:t>3</w:t>
            </w:r>
            <w:r w:rsidR="00E35BBB" w:rsidRPr="004C1DA2">
              <w:rPr>
                <w:rFonts w:cstheme="minorHAnsi"/>
              </w:rPr>
              <w:t xml:space="preserve"> </w:t>
            </w:r>
            <w:r w:rsidRPr="004C1DA2">
              <w:rPr>
                <w:rFonts w:cstheme="minorHAnsi"/>
              </w:rPr>
              <w:t xml:space="preserve">sub-categories – Residents’ Experience, Quality </w:t>
            </w:r>
            <w:r w:rsidR="000904CB">
              <w:rPr>
                <w:rFonts w:cstheme="minorHAnsi"/>
              </w:rPr>
              <w:t>Measures</w:t>
            </w:r>
            <w:r w:rsidR="000904CB" w:rsidRPr="004C1DA2">
              <w:rPr>
                <w:rFonts w:cstheme="minorHAnsi"/>
              </w:rPr>
              <w:t xml:space="preserve"> </w:t>
            </w:r>
            <w:r w:rsidRPr="004C1DA2">
              <w:rPr>
                <w:rFonts w:cstheme="minorHAnsi"/>
              </w:rPr>
              <w:t xml:space="preserve">and Staffing – should be directed to the Department </w:t>
            </w:r>
            <w:r w:rsidR="00F50429" w:rsidRPr="004C1DA2">
              <w:rPr>
                <w:rFonts w:cstheme="minorHAnsi"/>
              </w:rPr>
              <w:t xml:space="preserve">of Health and Aged Care </w:t>
            </w:r>
            <w:r w:rsidRPr="004C1DA2">
              <w:rPr>
                <w:rFonts w:cstheme="minorHAnsi"/>
              </w:rPr>
              <w:t xml:space="preserve">at </w:t>
            </w:r>
            <w:hyperlink r:id="rId13">
              <w:r w:rsidR="004861C5" w:rsidRPr="004C1DA2">
                <w:rPr>
                  <w:rStyle w:val="Hyperlink"/>
                  <w:rFonts w:cstheme="minorHAnsi"/>
                </w:rPr>
                <w:t>starratings@health.gov.au</w:t>
              </w:r>
            </w:hyperlink>
          </w:p>
        </w:tc>
      </w:tr>
      <w:tr w:rsidR="00D4749C" w:rsidRPr="004C1DA2" w14:paraId="7FACC6B7" w14:textId="77777777" w:rsidTr="045764E4">
        <w:trPr>
          <w:trHeight w:val="360"/>
        </w:trPr>
        <w:tc>
          <w:tcPr>
            <w:tcW w:w="5665" w:type="dxa"/>
          </w:tcPr>
          <w:p w14:paraId="6DDA0A14" w14:textId="0EE812D8" w:rsidR="00D4749C" w:rsidRPr="004C1DA2" w:rsidRDefault="00D4749C" w:rsidP="009973B3">
            <w:pPr>
              <w:spacing w:after="120"/>
              <w:rPr>
                <w:rFonts w:cstheme="minorHAnsi"/>
              </w:rPr>
            </w:pPr>
            <w:r w:rsidRPr="004C1DA2">
              <w:rPr>
                <w:rFonts w:cstheme="minorHAnsi"/>
              </w:rPr>
              <w:t>Regarding the S</w:t>
            </w:r>
            <w:r w:rsidR="003956BA" w:rsidRPr="004C1DA2">
              <w:rPr>
                <w:rFonts w:cstheme="minorHAnsi"/>
              </w:rPr>
              <w:t>tar R</w:t>
            </w:r>
            <w:r w:rsidRPr="004C1DA2">
              <w:rPr>
                <w:rFonts w:cstheme="minorHAnsi"/>
              </w:rPr>
              <w:t>ating methodology, how can providers gain further information on the risk adjustment process for the Quality Measures?</w:t>
            </w:r>
            <w:r w:rsidR="00B407CB">
              <w:rPr>
                <w:rFonts w:cstheme="minorHAnsi"/>
              </w:rPr>
              <w:t xml:space="preserve"> </w:t>
            </w:r>
            <w:r w:rsidRPr="004C1DA2">
              <w:rPr>
                <w:rFonts w:cstheme="minorHAnsi"/>
              </w:rPr>
              <w:t xml:space="preserve">It is not very clear in the provider manual. </w:t>
            </w:r>
          </w:p>
        </w:tc>
        <w:tc>
          <w:tcPr>
            <w:tcW w:w="7797" w:type="dxa"/>
          </w:tcPr>
          <w:p w14:paraId="60C1A390" w14:textId="0D5770F8" w:rsidR="00D4749C" w:rsidRPr="004C1DA2" w:rsidRDefault="001E4ACE" w:rsidP="009973B3">
            <w:pPr>
              <w:spacing w:after="120"/>
              <w:rPr>
                <w:rFonts w:cstheme="minorHAnsi"/>
              </w:rPr>
            </w:pPr>
            <w:r>
              <w:rPr>
                <w:rFonts w:cstheme="minorHAnsi"/>
              </w:rPr>
              <w:t xml:space="preserve">The </w:t>
            </w:r>
            <w:r w:rsidR="5B64CAE3" w:rsidRPr="004C1DA2">
              <w:rPr>
                <w:rFonts w:cstheme="minorHAnsi"/>
              </w:rPr>
              <w:t xml:space="preserve">Quality </w:t>
            </w:r>
            <w:r w:rsidR="00F55326">
              <w:rPr>
                <w:rFonts w:cstheme="minorHAnsi"/>
              </w:rPr>
              <w:t>M</w:t>
            </w:r>
            <w:r w:rsidR="00F55326" w:rsidRPr="004C1DA2">
              <w:rPr>
                <w:rFonts w:cstheme="minorHAnsi"/>
              </w:rPr>
              <w:t xml:space="preserve">easures </w:t>
            </w:r>
            <w:r>
              <w:rPr>
                <w:rFonts w:cstheme="minorHAnsi"/>
              </w:rPr>
              <w:t xml:space="preserve">sub-category </w:t>
            </w:r>
            <w:r w:rsidR="004C19F9">
              <w:rPr>
                <w:rFonts w:cstheme="minorHAnsi"/>
              </w:rPr>
              <w:t>is</w:t>
            </w:r>
            <w:r w:rsidR="5B64CAE3" w:rsidRPr="004C1DA2">
              <w:rPr>
                <w:rFonts w:cstheme="minorHAnsi"/>
              </w:rPr>
              <w:t xml:space="preserve"> managed by the Department of Health and Aged Care</w:t>
            </w:r>
            <w:r w:rsidR="7C12584A" w:rsidRPr="004C1DA2">
              <w:rPr>
                <w:rFonts w:cstheme="minorHAnsi"/>
              </w:rPr>
              <w:t>. Any questions or request</w:t>
            </w:r>
            <w:r w:rsidR="00A873DE" w:rsidRPr="004C1DA2">
              <w:rPr>
                <w:rFonts w:cstheme="minorHAnsi"/>
              </w:rPr>
              <w:t>s</w:t>
            </w:r>
            <w:r w:rsidR="7C12584A" w:rsidRPr="004C1DA2">
              <w:rPr>
                <w:rFonts w:cstheme="minorHAnsi"/>
              </w:rPr>
              <w:t xml:space="preserve"> for further information can be sent to </w:t>
            </w:r>
            <w:hyperlink r:id="rId14">
              <w:r w:rsidR="7C12584A" w:rsidRPr="004C1DA2">
                <w:rPr>
                  <w:rStyle w:val="Hyperlink"/>
                  <w:rFonts w:cstheme="minorHAnsi"/>
                </w:rPr>
                <w:t>starratings@health.gov.au</w:t>
              </w:r>
            </w:hyperlink>
          </w:p>
        </w:tc>
      </w:tr>
      <w:tr w:rsidR="00D4749C" w:rsidRPr="004C1DA2" w14:paraId="29C201C1" w14:textId="77777777" w:rsidTr="045764E4">
        <w:trPr>
          <w:trHeight w:val="360"/>
        </w:trPr>
        <w:tc>
          <w:tcPr>
            <w:tcW w:w="5665" w:type="dxa"/>
          </w:tcPr>
          <w:p w14:paraId="4BB990C5" w14:textId="21B13638" w:rsidR="00D4749C" w:rsidRPr="004C1DA2" w:rsidRDefault="00D4749C" w:rsidP="009973B3">
            <w:pPr>
              <w:spacing w:after="120"/>
              <w:rPr>
                <w:rFonts w:cstheme="minorHAnsi"/>
              </w:rPr>
            </w:pPr>
            <w:r w:rsidRPr="004C1DA2">
              <w:rPr>
                <w:rFonts w:cstheme="minorHAnsi"/>
              </w:rPr>
              <w:t xml:space="preserve">Our issue with Star Ratings is quality indicators. Our rating is 1 based on missing data. </w:t>
            </w:r>
            <w:r w:rsidR="007468E9" w:rsidRPr="004C1DA2">
              <w:rPr>
                <w:rFonts w:cstheme="minorHAnsi"/>
              </w:rPr>
              <w:t>However,</w:t>
            </w:r>
            <w:r w:rsidRPr="004C1DA2">
              <w:rPr>
                <w:rFonts w:cstheme="minorHAnsi"/>
              </w:rPr>
              <w:t xml:space="preserve"> P</w:t>
            </w:r>
            <w:r w:rsidR="00AC364B">
              <w:rPr>
                <w:rFonts w:cstheme="minorHAnsi"/>
              </w:rPr>
              <w:t xml:space="preserve">ublic Sector Residential Aged Care Services </w:t>
            </w:r>
            <w:r w:rsidRPr="004C1DA2">
              <w:rPr>
                <w:rFonts w:cstheme="minorHAnsi"/>
              </w:rPr>
              <w:t>submitted on our behalf.</w:t>
            </w:r>
          </w:p>
        </w:tc>
        <w:tc>
          <w:tcPr>
            <w:tcW w:w="7797" w:type="dxa"/>
          </w:tcPr>
          <w:p w14:paraId="28F3BDB8" w14:textId="2A4EBC47" w:rsidR="00D4749C" w:rsidRPr="004C1DA2" w:rsidRDefault="00661639" w:rsidP="009973B3">
            <w:pPr>
              <w:spacing w:after="120"/>
              <w:rPr>
                <w:rFonts w:cstheme="minorHAnsi"/>
              </w:rPr>
            </w:pPr>
            <w:r>
              <w:rPr>
                <w:rFonts w:cstheme="minorHAnsi"/>
              </w:rPr>
              <w:t xml:space="preserve">The </w:t>
            </w:r>
            <w:r w:rsidR="00A873DE" w:rsidRPr="004C1DA2">
              <w:rPr>
                <w:rFonts w:cstheme="minorHAnsi"/>
              </w:rPr>
              <w:t xml:space="preserve">Quality </w:t>
            </w:r>
            <w:r w:rsidR="00F55326">
              <w:rPr>
                <w:rFonts w:cstheme="minorHAnsi"/>
              </w:rPr>
              <w:t>Measures</w:t>
            </w:r>
            <w:r w:rsidR="00F55326" w:rsidRPr="004C1DA2">
              <w:rPr>
                <w:rFonts w:cstheme="minorHAnsi"/>
              </w:rPr>
              <w:t xml:space="preserve"> </w:t>
            </w:r>
            <w:r w:rsidR="00C3467A">
              <w:rPr>
                <w:rFonts w:cstheme="minorHAnsi"/>
              </w:rPr>
              <w:t xml:space="preserve">sub-category </w:t>
            </w:r>
            <w:r w:rsidR="004C19F9">
              <w:rPr>
                <w:rFonts w:cstheme="minorHAnsi"/>
              </w:rPr>
              <w:t>is</w:t>
            </w:r>
            <w:r w:rsidR="00A873DE" w:rsidRPr="004C1DA2">
              <w:rPr>
                <w:rFonts w:cstheme="minorHAnsi"/>
              </w:rPr>
              <w:t xml:space="preserve"> managed by the Department of Health and Aged Care. Any questions or requests for further information can be sent to </w:t>
            </w:r>
            <w:hyperlink r:id="rId15">
              <w:r w:rsidR="059588B8" w:rsidRPr="004C1DA2">
                <w:rPr>
                  <w:rStyle w:val="Hyperlink"/>
                  <w:rFonts w:cstheme="minorHAnsi"/>
                </w:rPr>
                <w:t>starratings@health.gov.au</w:t>
              </w:r>
            </w:hyperlink>
          </w:p>
        </w:tc>
      </w:tr>
      <w:tr w:rsidR="008A66D2" w:rsidRPr="004C1DA2" w14:paraId="2299E84F" w14:textId="77777777" w:rsidTr="045764E4">
        <w:trPr>
          <w:trHeight w:val="360"/>
        </w:trPr>
        <w:tc>
          <w:tcPr>
            <w:tcW w:w="5665" w:type="dxa"/>
          </w:tcPr>
          <w:p w14:paraId="32F52DE8" w14:textId="04D29406" w:rsidR="008A66D2" w:rsidRPr="004C1DA2" w:rsidRDefault="008A66D2" w:rsidP="009973B3">
            <w:pPr>
              <w:spacing w:after="120"/>
              <w:rPr>
                <w:rFonts w:cstheme="minorHAnsi"/>
              </w:rPr>
            </w:pPr>
            <w:r w:rsidRPr="004C1DA2">
              <w:rPr>
                <w:rFonts w:cstheme="minorHAnsi"/>
              </w:rPr>
              <w:t xml:space="preserve">When will providers get </w:t>
            </w:r>
            <w:r w:rsidR="00A873DE" w:rsidRPr="004C1DA2">
              <w:rPr>
                <w:rFonts w:cstheme="minorHAnsi"/>
              </w:rPr>
              <w:t>S</w:t>
            </w:r>
            <w:r w:rsidRPr="004C1DA2">
              <w:rPr>
                <w:rFonts w:cstheme="minorHAnsi"/>
              </w:rPr>
              <w:t xml:space="preserve">tar </w:t>
            </w:r>
            <w:r w:rsidR="00A873DE" w:rsidRPr="004C1DA2">
              <w:rPr>
                <w:rFonts w:cstheme="minorHAnsi"/>
              </w:rPr>
              <w:t>R</w:t>
            </w:r>
            <w:r w:rsidRPr="004C1DA2">
              <w:rPr>
                <w:rFonts w:cstheme="minorHAnsi"/>
              </w:rPr>
              <w:t>atings and how will we receive</w:t>
            </w:r>
            <w:r w:rsidR="00A873DE" w:rsidRPr="004C1DA2">
              <w:rPr>
                <w:rFonts w:cstheme="minorHAnsi"/>
              </w:rPr>
              <w:t xml:space="preserve"> them</w:t>
            </w:r>
            <w:r w:rsidRPr="004C1DA2">
              <w:rPr>
                <w:rFonts w:cstheme="minorHAnsi"/>
              </w:rPr>
              <w:t>. e.g. will they just appear on M</w:t>
            </w:r>
            <w:r w:rsidR="007663C6" w:rsidRPr="004C1DA2">
              <w:rPr>
                <w:rFonts w:cstheme="minorHAnsi"/>
              </w:rPr>
              <w:t>y Aged Care?</w:t>
            </w:r>
          </w:p>
        </w:tc>
        <w:tc>
          <w:tcPr>
            <w:tcW w:w="7797" w:type="dxa"/>
          </w:tcPr>
          <w:p w14:paraId="02EEEA29" w14:textId="78CB7324" w:rsidR="008A66D2" w:rsidRPr="004C1DA2" w:rsidRDefault="4CD307C8" w:rsidP="009973B3">
            <w:pPr>
              <w:spacing w:after="120"/>
              <w:rPr>
                <w:rFonts w:cstheme="minorHAnsi"/>
              </w:rPr>
            </w:pPr>
            <w:r w:rsidRPr="004C1DA2">
              <w:rPr>
                <w:rFonts w:cstheme="minorHAnsi"/>
              </w:rPr>
              <w:t xml:space="preserve">Star </w:t>
            </w:r>
            <w:r w:rsidR="02361304" w:rsidRPr="004C1DA2">
              <w:rPr>
                <w:rFonts w:cstheme="minorHAnsi"/>
              </w:rPr>
              <w:t>R</w:t>
            </w:r>
            <w:r w:rsidRPr="004C1DA2">
              <w:rPr>
                <w:rFonts w:cstheme="minorHAnsi"/>
              </w:rPr>
              <w:t xml:space="preserve">atings went live on </w:t>
            </w:r>
            <w:hyperlink r:id="rId16" w:history="1">
              <w:r w:rsidRPr="004C1DA2">
                <w:rPr>
                  <w:rStyle w:val="Hyperlink"/>
                  <w:rFonts w:cstheme="minorHAnsi"/>
                </w:rPr>
                <w:t>My Aged Care</w:t>
              </w:r>
            </w:hyperlink>
            <w:r w:rsidRPr="004C1DA2">
              <w:rPr>
                <w:rFonts w:cstheme="minorHAnsi"/>
              </w:rPr>
              <w:t xml:space="preserve"> on 19 December 2022. The Department of Health and Age</w:t>
            </w:r>
            <w:r w:rsidR="12D64244" w:rsidRPr="004C1DA2">
              <w:rPr>
                <w:rFonts w:cstheme="minorHAnsi"/>
              </w:rPr>
              <w:t>d Care</w:t>
            </w:r>
            <w:r w:rsidRPr="004C1DA2">
              <w:rPr>
                <w:rFonts w:cstheme="minorHAnsi"/>
              </w:rPr>
              <w:t xml:space="preserve"> sent an email to all service providers on 12 December 20</w:t>
            </w:r>
            <w:r w:rsidR="42423912" w:rsidRPr="004C1DA2">
              <w:rPr>
                <w:rFonts w:cstheme="minorHAnsi"/>
              </w:rPr>
              <w:t xml:space="preserve">22 with a preview copy of their ratings. </w:t>
            </w:r>
            <w:r w:rsidR="008A1ABA">
              <w:rPr>
                <w:rFonts w:cstheme="minorHAnsi"/>
              </w:rPr>
              <w:t>The Department typically contacts providers on their Star Ratings before they are published. For more information y</w:t>
            </w:r>
            <w:r w:rsidR="42423912" w:rsidRPr="004C1DA2">
              <w:rPr>
                <w:rFonts w:cstheme="minorHAnsi"/>
              </w:rPr>
              <w:t xml:space="preserve">ou may wish to contact the </w:t>
            </w:r>
            <w:r w:rsidR="001077E4" w:rsidRPr="004C1DA2">
              <w:rPr>
                <w:rFonts w:cstheme="minorHAnsi"/>
              </w:rPr>
              <w:t>d</w:t>
            </w:r>
            <w:r w:rsidR="42423912" w:rsidRPr="004C1DA2">
              <w:rPr>
                <w:rFonts w:cstheme="minorHAnsi"/>
              </w:rPr>
              <w:t xml:space="preserve">epartment </w:t>
            </w:r>
            <w:r w:rsidR="006257F9" w:rsidRPr="004C1DA2">
              <w:rPr>
                <w:rFonts w:cstheme="minorHAnsi"/>
              </w:rPr>
              <w:t xml:space="preserve">by emailing </w:t>
            </w:r>
            <w:hyperlink r:id="rId17">
              <w:r w:rsidR="006257F9" w:rsidRPr="004C1DA2">
                <w:rPr>
                  <w:rStyle w:val="Hyperlink"/>
                  <w:rFonts w:cstheme="minorHAnsi"/>
                </w:rPr>
                <w:t>starratings@health.gov.au</w:t>
              </w:r>
            </w:hyperlink>
            <w:r w:rsidR="00AC364B">
              <w:rPr>
                <w:rFonts w:cstheme="minorHAnsi"/>
              </w:rPr>
              <w:t>.</w:t>
            </w:r>
            <w:r w:rsidR="001077E4" w:rsidRPr="004C1DA2">
              <w:rPr>
                <w:rFonts w:cstheme="minorHAnsi"/>
              </w:rPr>
              <w:t xml:space="preserve"> </w:t>
            </w:r>
          </w:p>
        </w:tc>
      </w:tr>
      <w:tr w:rsidR="00506131" w:rsidRPr="004C1DA2" w14:paraId="2EBDD8BD" w14:textId="77777777" w:rsidTr="045764E4">
        <w:trPr>
          <w:trHeight w:val="360"/>
        </w:trPr>
        <w:tc>
          <w:tcPr>
            <w:tcW w:w="5665" w:type="dxa"/>
          </w:tcPr>
          <w:p w14:paraId="67B48207" w14:textId="51015A83" w:rsidR="00506131" w:rsidRPr="004C1DA2" w:rsidRDefault="001077E4" w:rsidP="009973B3">
            <w:pPr>
              <w:spacing w:after="120"/>
              <w:rPr>
                <w:rFonts w:cstheme="minorHAnsi"/>
              </w:rPr>
            </w:pPr>
            <w:r w:rsidRPr="004C1DA2">
              <w:rPr>
                <w:rFonts w:cstheme="minorHAnsi"/>
              </w:rPr>
              <w:t>R</w:t>
            </w:r>
            <w:r w:rsidR="00506131" w:rsidRPr="004C1DA2">
              <w:rPr>
                <w:rFonts w:cstheme="minorHAnsi"/>
              </w:rPr>
              <w:t>e S</w:t>
            </w:r>
            <w:r w:rsidRPr="004C1DA2">
              <w:rPr>
                <w:rFonts w:cstheme="minorHAnsi"/>
              </w:rPr>
              <w:t>tar Ratings</w:t>
            </w:r>
            <w:r w:rsidR="00506131" w:rsidRPr="004C1DA2">
              <w:rPr>
                <w:rFonts w:cstheme="minorHAnsi"/>
              </w:rPr>
              <w:t>, question</w:t>
            </w:r>
            <w:r w:rsidR="00E71872" w:rsidRPr="004C1DA2">
              <w:rPr>
                <w:rFonts w:cstheme="minorHAnsi"/>
              </w:rPr>
              <w:t>ing the</w:t>
            </w:r>
            <w:r w:rsidR="00506131" w:rsidRPr="004C1DA2">
              <w:rPr>
                <w:rFonts w:cstheme="minorHAnsi"/>
              </w:rPr>
              <w:t xml:space="preserve"> fairness of including hospital acquired pressure injuries for respite care recipients impacting on rating. I would appreciate your consideration.</w:t>
            </w:r>
          </w:p>
        </w:tc>
        <w:tc>
          <w:tcPr>
            <w:tcW w:w="7797" w:type="dxa"/>
          </w:tcPr>
          <w:p w14:paraId="12ED2555" w14:textId="41793DB5" w:rsidR="00506131" w:rsidRPr="004C1DA2" w:rsidRDefault="222D960A" w:rsidP="009973B3">
            <w:pPr>
              <w:spacing w:after="120"/>
              <w:rPr>
                <w:rFonts w:cstheme="minorHAnsi"/>
              </w:rPr>
            </w:pPr>
            <w:r w:rsidRPr="004C1DA2">
              <w:rPr>
                <w:rFonts w:cstheme="minorHAnsi"/>
              </w:rPr>
              <w:t>As the Department of Health and Age</w:t>
            </w:r>
            <w:r w:rsidR="4B155132" w:rsidRPr="004C1DA2">
              <w:rPr>
                <w:rFonts w:cstheme="minorHAnsi"/>
              </w:rPr>
              <w:t>d Care</w:t>
            </w:r>
            <w:r w:rsidRPr="004C1DA2">
              <w:rPr>
                <w:rFonts w:cstheme="minorHAnsi"/>
              </w:rPr>
              <w:t xml:space="preserve"> manage</w:t>
            </w:r>
            <w:r w:rsidR="00A543E0">
              <w:rPr>
                <w:rFonts w:cstheme="minorHAnsi"/>
              </w:rPr>
              <w:t>s</w:t>
            </w:r>
            <w:r w:rsidRPr="004C1DA2">
              <w:rPr>
                <w:rFonts w:cstheme="minorHAnsi"/>
              </w:rPr>
              <w:t xml:space="preserve"> the </w:t>
            </w:r>
            <w:r w:rsidR="448F41E1" w:rsidRPr="004C1DA2">
              <w:rPr>
                <w:rFonts w:cstheme="minorHAnsi"/>
              </w:rPr>
              <w:t>S</w:t>
            </w:r>
            <w:r w:rsidRPr="004C1DA2">
              <w:rPr>
                <w:rFonts w:cstheme="minorHAnsi"/>
              </w:rPr>
              <w:t xml:space="preserve">tar </w:t>
            </w:r>
            <w:r w:rsidR="1C972315" w:rsidRPr="004C1DA2">
              <w:rPr>
                <w:rFonts w:cstheme="minorHAnsi"/>
              </w:rPr>
              <w:t>R</w:t>
            </w:r>
            <w:r w:rsidRPr="004C1DA2">
              <w:rPr>
                <w:rFonts w:cstheme="minorHAnsi"/>
              </w:rPr>
              <w:t xml:space="preserve">atings, you will need to contact them </w:t>
            </w:r>
            <w:r w:rsidR="00D86C83" w:rsidRPr="004C1DA2">
              <w:rPr>
                <w:rFonts w:cstheme="minorHAnsi"/>
              </w:rPr>
              <w:t xml:space="preserve">to discuss this issue </w:t>
            </w:r>
            <w:r w:rsidRPr="004C1DA2">
              <w:rPr>
                <w:rFonts w:cstheme="minorHAnsi"/>
              </w:rPr>
              <w:t xml:space="preserve">at </w:t>
            </w:r>
            <w:hyperlink r:id="rId18">
              <w:r w:rsidRPr="004C1DA2">
                <w:rPr>
                  <w:rStyle w:val="Hyperlink"/>
                  <w:rFonts w:cstheme="minorHAnsi"/>
                </w:rPr>
                <w:t>starratings@health.gov.au</w:t>
              </w:r>
            </w:hyperlink>
          </w:p>
        </w:tc>
      </w:tr>
      <w:tr w:rsidR="00506131" w:rsidRPr="004C1DA2" w14:paraId="0DCCB159" w14:textId="77777777" w:rsidTr="045764E4">
        <w:trPr>
          <w:trHeight w:val="360"/>
        </w:trPr>
        <w:tc>
          <w:tcPr>
            <w:tcW w:w="5665" w:type="dxa"/>
            <w:hideMark/>
          </w:tcPr>
          <w:p w14:paraId="2F9C6B48" w14:textId="77777777" w:rsidR="00B82BC5" w:rsidRPr="004C1DA2" w:rsidRDefault="00506131" w:rsidP="009973B3">
            <w:pPr>
              <w:spacing w:after="120"/>
              <w:rPr>
                <w:rFonts w:cstheme="minorHAnsi"/>
              </w:rPr>
            </w:pPr>
            <w:r w:rsidRPr="004C1DA2">
              <w:rPr>
                <w:rFonts w:cstheme="minorHAnsi"/>
              </w:rPr>
              <w:t>How do we change a Star Rating that is incorrect? Who do we contact?</w:t>
            </w:r>
            <w:r w:rsidR="00B82BC5" w:rsidRPr="004C1DA2">
              <w:rPr>
                <w:rFonts w:cstheme="minorHAnsi"/>
              </w:rPr>
              <w:t xml:space="preserve"> </w:t>
            </w:r>
          </w:p>
          <w:p w14:paraId="262389D0" w14:textId="77777777" w:rsidR="00B82BC5" w:rsidRPr="004C1DA2" w:rsidRDefault="00B82BC5" w:rsidP="009973B3">
            <w:pPr>
              <w:spacing w:after="120"/>
              <w:rPr>
                <w:rFonts w:cstheme="minorHAnsi"/>
              </w:rPr>
            </w:pPr>
          </w:p>
          <w:p w14:paraId="4A50CF7B" w14:textId="7218C33B" w:rsidR="00506131" w:rsidRPr="004C1DA2" w:rsidRDefault="00B82BC5" w:rsidP="009973B3">
            <w:pPr>
              <w:spacing w:after="120"/>
              <w:rPr>
                <w:rFonts w:cstheme="minorHAnsi"/>
              </w:rPr>
            </w:pPr>
            <w:r w:rsidRPr="004C1DA2">
              <w:rPr>
                <w:rFonts w:cstheme="minorHAnsi"/>
              </w:rPr>
              <w:t xml:space="preserve">We received our </w:t>
            </w:r>
            <w:r w:rsidR="00C32178" w:rsidRPr="004C1DA2">
              <w:rPr>
                <w:rFonts w:cstheme="minorHAnsi"/>
              </w:rPr>
              <w:t>S</w:t>
            </w:r>
            <w:r w:rsidRPr="004C1DA2">
              <w:rPr>
                <w:rFonts w:cstheme="minorHAnsi"/>
              </w:rPr>
              <w:t xml:space="preserve">tar </w:t>
            </w:r>
            <w:r w:rsidR="00C32178" w:rsidRPr="004C1DA2">
              <w:rPr>
                <w:rFonts w:cstheme="minorHAnsi"/>
              </w:rPr>
              <w:t>R</w:t>
            </w:r>
            <w:r w:rsidRPr="004C1DA2">
              <w:rPr>
                <w:rFonts w:cstheme="minorHAnsi"/>
              </w:rPr>
              <w:t xml:space="preserve">atings for one of our homes and the compliance rating is incorrect. We have been unable to </w:t>
            </w:r>
            <w:r w:rsidRPr="004C1DA2">
              <w:rPr>
                <w:rFonts w:cstheme="minorHAnsi"/>
              </w:rPr>
              <w:lastRenderedPageBreak/>
              <w:t>speak with anyone and no-one has responded to our emails regarding this. What do you suggest we do?</w:t>
            </w:r>
          </w:p>
        </w:tc>
        <w:tc>
          <w:tcPr>
            <w:tcW w:w="7797" w:type="dxa"/>
            <w:hideMark/>
          </w:tcPr>
          <w:p w14:paraId="30F8378F" w14:textId="79EDA2F7" w:rsidR="00497A25" w:rsidRDefault="0089099B" w:rsidP="009973B3">
            <w:pPr>
              <w:spacing w:after="120"/>
              <w:rPr>
                <w:rFonts w:cstheme="minorHAnsi"/>
              </w:rPr>
            </w:pPr>
            <w:r w:rsidRPr="004C1DA2">
              <w:rPr>
                <w:rFonts w:cstheme="minorHAnsi"/>
              </w:rPr>
              <w:lastRenderedPageBreak/>
              <w:t xml:space="preserve">The Star Ratings system and the </w:t>
            </w:r>
            <w:hyperlink r:id="rId19" w:history="1">
              <w:r w:rsidRPr="004C1DA2">
                <w:rPr>
                  <w:rStyle w:val="Hyperlink"/>
                  <w:rFonts w:cstheme="minorHAnsi"/>
                </w:rPr>
                <w:t>My Aged Care</w:t>
              </w:r>
            </w:hyperlink>
            <w:r w:rsidRPr="004C1DA2">
              <w:rPr>
                <w:rFonts w:cstheme="minorHAnsi"/>
              </w:rPr>
              <w:t xml:space="preserve"> website is owned and managed by the Department of Health and Aged Care. </w:t>
            </w:r>
          </w:p>
          <w:p w14:paraId="35C9B143" w14:textId="52DE9930" w:rsidR="00603A61" w:rsidRPr="004C1DA2" w:rsidRDefault="00497A25" w:rsidP="009973B3">
            <w:pPr>
              <w:spacing w:after="120"/>
              <w:rPr>
                <w:rFonts w:cstheme="minorHAnsi"/>
              </w:rPr>
            </w:pPr>
            <w:r w:rsidRPr="00497A25">
              <w:rPr>
                <w:rFonts w:cstheme="minorHAnsi"/>
              </w:rPr>
              <w:t>If you are concerned that incorrect data was used to calculate your Star Rating, you can call the My Aged Care service provider and assessor helpline on 1800 836 799 to request a review of the rating. The helpline is available from 8:00</w:t>
            </w:r>
            <w:r w:rsidR="00706BBB">
              <w:rPr>
                <w:rFonts w:cstheme="minorHAnsi"/>
              </w:rPr>
              <w:t xml:space="preserve"> </w:t>
            </w:r>
            <w:r w:rsidRPr="00497A25">
              <w:rPr>
                <w:rFonts w:cstheme="minorHAnsi"/>
              </w:rPr>
              <w:t>am to 8:00</w:t>
            </w:r>
            <w:r w:rsidR="00706BBB">
              <w:rPr>
                <w:rFonts w:cstheme="minorHAnsi"/>
              </w:rPr>
              <w:t xml:space="preserve"> </w:t>
            </w:r>
            <w:r w:rsidRPr="00497A25">
              <w:rPr>
                <w:rFonts w:cstheme="minorHAnsi"/>
              </w:rPr>
              <w:t>pm Monday to Friday and 10:00</w:t>
            </w:r>
            <w:r w:rsidR="00706BBB">
              <w:rPr>
                <w:rFonts w:cstheme="minorHAnsi"/>
              </w:rPr>
              <w:t xml:space="preserve"> </w:t>
            </w:r>
            <w:r w:rsidRPr="00497A25">
              <w:rPr>
                <w:rFonts w:cstheme="minorHAnsi"/>
              </w:rPr>
              <w:t>am to 2:00</w:t>
            </w:r>
            <w:r w:rsidR="00706BBB">
              <w:rPr>
                <w:rFonts w:cstheme="minorHAnsi"/>
              </w:rPr>
              <w:t xml:space="preserve"> </w:t>
            </w:r>
            <w:r w:rsidRPr="00497A25">
              <w:rPr>
                <w:rFonts w:cstheme="minorHAnsi"/>
              </w:rPr>
              <w:t>pm Saturday, local time across Australia.</w:t>
            </w:r>
          </w:p>
          <w:p w14:paraId="430EDA11" w14:textId="30CD1BC2" w:rsidR="004C1DA2" w:rsidRPr="004C1DA2" w:rsidRDefault="0089099B" w:rsidP="009973B3">
            <w:pPr>
              <w:spacing w:after="120"/>
              <w:rPr>
                <w:rFonts w:cstheme="minorHAnsi"/>
              </w:rPr>
            </w:pPr>
            <w:r w:rsidRPr="004C1DA2">
              <w:rPr>
                <w:rFonts w:cstheme="minorHAnsi"/>
              </w:rPr>
              <w:lastRenderedPageBreak/>
              <w:t xml:space="preserve">The Commission is responsible for </w:t>
            </w:r>
            <w:r w:rsidR="009E376E">
              <w:rPr>
                <w:rFonts w:cstheme="minorHAnsi"/>
              </w:rPr>
              <w:t xml:space="preserve">the </w:t>
            </w:r>
            <w:r w:rsidRPr="004C1DA2">
              <w:rPr>
                <w:rFonts w:cstheme="minorHAnsi"/>
              </w:rPr>
              <w:t xml:space="preserve">management of the </w:t>
            </w:r>
            <w:hyperlink r:id="rId20" w:history="1">
              <w:r w:rsidRPr="004C1DA2">
                <w:rPr>
                  <w:rStyle w:val="Hyperlink"/>
                  <w:rFonts w:cstheme="minorHAnsi"/>
                </w:rPr>
                <w:t>Compliance ratings</w:t>
              </w:r>
            </w:hyperlink>
            <w:r w:rsidRPr="004C1DA2">
              <w:rPr>
                <w:rFonts w:cstheme="minorHAnsi"/>
              </w:rPr>
              <w:t xml:space="preserve"> sub-category of the Star Ratings system, which is driven by non-compliance activity. </w:t>
            </w:r>
          </w:p>
          <w:p w14:paraId="79FD7ECC" w14:textId="351BAE58" w:rsidR="004C1DA2" w:rsidRPr="004C1DA2" w:rsidRDefault="007555E6" w:rsidP="009973B3">
            <w:pPr>
              <w:spacing w:after="120"/>
              <w:rPr>
                <w:rFonts w:cstheme="minorHAnsi"/>
              </w:rPr>
            </w:pPr>
            <w:r w:rsidRPr="004C1DA2">
              <w:rPr>
                <w:rFonts w:cstheme="minorHAnsi"/>
              </w:rPr>
              <w:t xml:space="preserve">All queries regarding Star Ratings should be sent to </w:t>
            </w:r>
            <w:hyperlink r:id="rId21" w:history="1">
              <w:r w:rsidRPr="004C1DA2">
                <w:rPr>
                  <w:rStyle w:val="Hyperlink"/>
                  <w:rFonts w:cstheme="minorHAnsi"/>
                </w:rPr>
                <w:t>starratings@health.gov.au</w:t>
              </w:r>
            </w:hyperlink>
            <w:r w:rsidRPr="004C1DA2">
              <w:rPr>
                <w:rFonts w:cstheme="minorHAnsi"/>
              </w:rPr>
              <w:t xml:space="preserve"> in </w:t>
            </w:r>
            <w:r w:rsidRPr="004C1DA2">
              <w:rPr>
                <w:rFonts w:cstheme="minorHAnsi"/>
                <w:b/>
              </w:rPr>
              <w:t>the first instance</w:t>
            </w:r>
            <w:r w:rsidRPr="004C1DA2">
              <w:rPr>
                <w:rFonts w:cstheme="minorHAnsi"/>
              </w:rPr>
              <w:t xml:space="preserve"> for response. </w:t>
            </w:r>
          </w:p>
          <w:p w14:paraId="77D1634A" w14:textId="7827B0C5" w:rsidR="007F22FC" w:rsidRPr="004C1DA2" w:rsidRDefault="0089099B" w:rsidP="009973B3">
            <w:pPr>
              <w:spacing w:after="120"/>
              <w:rPr>
                <w:rFonts w:cstheme="minorHAnsi"/>
              </w:rPr>
            </w:pPr>
            <w:r w:rsidRPr="004C1DA2">
              <w:rPr>
                <w:rFonts w:cstheme="minorHAnsi"/>
              </w:rPr>
              <w:t xml:space="preserve">If a provider has concerns regarding the </w:t>
            </w:r>
            <w:r w:rsidRPr="004C1DA2">
              <w:rPr>
                <w:rFonts w:cstheme="minorHAnsi"/>
                <w:b/>
              </w:rPr>
              <w:t xml:space="preserve">Compliance </w:t>
            </w:r>
            <w:r w:rsidRPr="004C1DA2">
              <w:rPr>
                <w:rFonts w:cstheme="minorHAnsi"/>
              </w:rPr>
              <w:t xml:space="preserve">Star Rating, please email </w:t>
            </w:r>
            <w:hyperlink r:id="rId22" w:history="1">
              <w:r w:rsidRPr="004C1DA2">
                <w:rPr>
                  <w:rStyle w:val="Hyperlink"/>
                  <w:rFonts w:cstheme="minorHAnsi"/>
                </w:rPr>
                <w:t>info@agedcarequality.gov.au</w:t>
              </w:r>
            </w:hyperlink>
            <w:r w:rsidR="00B407CB">
              <w:rPr>
                <w:rFonts w:cstheme="minorHAnsi"/>
              </w:rPr>
              <w:t xml:space="preserve"> </w:t>
            </w:r>
          </w:p>
          <w:p w14:paraId="19347DD9" w14:textId="18BBCDC3" w:rsidR="007F22FC" w:rsidRPr="004C1DA2" w:rsidRDefault="007F22FC" w:rsidP="009973B3">
            <w:pPr>
              <w:spacing w:after="120"/>
              <w:rPr>
                <w:rFonts w:cstheme="minorHAnsi"/>
              </w:rPr>
            </w:pPr>
          </w:p>
        </w:tc>
      </w:tr>
      <w:tr w:rsidR="00506131" w:rsidRPr="004C1DA2" w14:paraId="25CD3A5A" w14:textId="77777777" w:rsidTr="045764E4">
        <w:trPr>
          <w:trHeight w:val="482"/>
        </w:trPr>
        <w:tc>
          <w:tcPr>
            <w:tcW w:w="5665" w:type="dxa"/>
            <w:shd w:val="clear" w:color="auto" w:fill="8EAADB" w:themeFill="accent1" w:themeFillTint="99"/>
            <w:vAlign w:val="center"/>
          </w:tcPr>
          <w:p w14:paraId="5D04DA9D" w14:textId="26CFACC3" w:rsidR="00506131" w:rsidRPr="004C1DA2" w:rsidRDefault="00506131" w:rsidP="00F03CB9">
            <w:pPr>
              <w:spacing w:after="120"/>
              <w:rPr>
                <w:rFonts w:cstheme="minorHAnsi"/>
                <w:b/>
              </w:rPr>
            </w:pPr>
            <w:r w:rsidRPr="004C1DA2">
              <w:rPr>
                <w:rFonts w:cstheme="minorHAnsi"/>
                <w:b/>
              </w:rPr>
              <w:lastRenderedPageBreak/>
              <w:t xml:space="preserve">PROVIDER GOVERNANCE </w:t>
            </w:r>
          </w:p>
        </w:tc>
        <w:tc>
          <w:tcPr>
            <w:tcW w:w="7797" w:type="dxa"/>
            <w:shd w:val="clear" w:color="auto" w:fill="8EAADB" w:themeFill="accent1" w:themeFillTint="99"/>
          </w:tcPr>
          <w:p w14:paraId="1E43B040" w14:textId="77777777" w:rsidR="00506131" w:rsidRPr="004C1DA2" w:rsidRDefault="00506131" w:rsidP="009973B3">
            <w:pPr>
              <w:spacing w:after="120"/>
              <w:rPr>
                <w:rFonts w:cstheme="minorHAnsi"/>
              </w:rPr>
            </w:pPr>
          </w:p>
        </w:tc>
      </w:tr>
      <w:tr w:rsidR="00506131" w:rsidRPr="004C1DA2" w14:paraId="631A2589" w14:textId="77777777" w:rsidTr="045764E4">
        <w:trPr>
          <w:trHeight w:val="975"/>
        </w:trPr>
        <w:tc>
          <w:tcPr>
            <w:tcW w:w="5665" w:type="dxa"/>
            <w:hideMark/>
          </w:tcPr>
          <w:p w14:paraId="00BC49B3" w14:textId="25B580A3" w:rsidR="00506131" w:rsidRPr="004C1DA2" w:rsidRDefault="00506131" w:rsidP="009973B3">
            <w:pPr>
              <w:spacing w:after="120"/>
              <w:rPr>
                <w:rFonts w:cstheme="minorHAnsi"/>
              </w:rPr>
            </w:pPr>
            <w:r w:rsidRPr="004C1DA2">
              <w:rPr>
                <w:rFonts w:cstheme="minorHAnsi"/>
              </w:rPr>
              <w:t xml:space="preserve">Has any consideration been given to the practicability of the </w:t>
            </w:r>
            <w:r w:rsidR="00C32178" w:rsidRPr="004C1DA2">
              <w:rPr>
                <w:rFonts w:cstheme="minorHAnsi"/>
              </w:rPr>
              <w:t>Commission’s</w:t>
            </w:r>
            <w:r w:rsidRPr="004C1DA2">
              <w:rPr>
                <w:rFonts w:cstheme="minorHAnsi"/>
              </w:rPr>
              <w:t xml:space="preserve"> Notification Form</w:t>
            </w:r>
            <w:r w:rsidR="00513FFE">
              <w:rPr>
                <w:rFonts w:cstheme="minorHAnsi"/>
              </w:rPr>
              <w:t>?</w:t>
            </w:r>
            <w:r w:rsidR="00513FFE" w:rsidRPr="004C1DA2">
              <w:rPr>
                <w:rFonts w:cstheme="minorHAnsi"/>
              </w:rPr>
              <w:t xml:space="preserve"> </w:t>
            </w:r>
            <w:r w:rsidRPr="004C1DA2">
              <w:rPr>
                <w:rFonts w:cstheme="minorHAnsi"/>
              </w:rPr>
              <w:t>At 26 pages</w:t>
            </w:r>
            <w:r w:rsidR="00513FFE">
              <w:rPr>
                <w:rFonts w:cstheme="minorHAnsi"/>
              </w:rPr>
              <w:t>,</w:t>
            </w:r>
            <w:r w:rsidRPr="004C1DA2">
              <w:rPr>
                <w:rFonts w:cstheme="minorHAnsi"/>
              </w:rPr>
              <w:t xml:space="preserve"> it appears unworkable for reporting changes which will occur periodically for organisational details?</w:t>
            </w:r>
          </w:p>
        </w:tc>
        <w:tc>
          <w:tcPr>
            <w:tcW w:w="7797" w:type="dxa"/>
            <w:hideMark/>
          </w:tcPr>
          <w:p w14:paraId="51F70125" w14:textId="053DCD29" w:rsidR="00506131" w:rsidRPr="004C1DA2" w:rsidRDefault="77ADDDB7" w:rsidP="009973B3">
            <w:pPr>
              <w:spacing w:after="120" w:line="259" w:lineRule="auto"/>
              <w:rPr>
                <w:rFonts w:eastAsia="Calibri" w:cstheme="minorHAnsi"/>
                <w:color w:val="000000" w:themeColor="text1"/>
              </w:rPr>
            </w:pPr>
            <w:r w:rsidRPr="004C1DA2">
              <w:rPr>
                <w:rFonts w:eastAsia="Calibri" w:cstheme="minorHAnsi"/>
                <w:color w:val="000000" w:themeColor="text1"/>
              </w:rPr>
              <w:t xml:space="preserve">The Commission is working with the Department of Health and Aged Care to build an online process to make it easier for </w:t>
            </w:r>
            <w:r w:rsidR="5E706501" w:rsidRPr="004C1DA2">
              <w:rPr>
                <w:rFonts w:eastAsia="Calibri" w:cstheme="minorHAnsi"/>
                <w:color w:val="000000" w:themeColor="text1"/>
              </w:rPr>
              <w:t>a</w:t>
            </w:r>
            <w:r w:rsidRPr="004C1DA2">
              <w:rPr>
                <w:rFonts w:eastAsia="Calibri" w:cstheme="minorHAnsi"/>
                <w:color w:val="000000" w:themeColor="text1"/>
              </w:rPr>
              <w:t xml:space="preserve">pproved </w:t>
            </w:r>
            <w:r w:rsidR="47D29E67" w:rsidRPr="004C1DA2">
              <w:rPr>
                <w:rFonts w:eastAsia="Calibri" w:cstheme="minorHAnsi"/>
                <w:color w:val="000000" w:themeColor="text1"/>
              </w:rPr>
              <w:t>p</w:t>
            </w:r>
            <w:r w:rsidRPr="004C1DA2">
              <w:rPr>
                <w:rFonts w:eastAsia="Calibri" w:cstheme="minorHAnsi"/>
                <w:color w:val="000000" w:themeColor="text1"/>
              </w:rPr>
              <w:t xml:space="preserve">roviders to submit notifications of material </w:t>
            </w:r>
            <w:r w:rsidR="724E9C2A" w:rsidRPr="004C1DA2">
              <w:rPr>
                <w:rFonts w:eastAsia="Calibri" w:cstheme="minorHAnsi"/>
                <w:color w:val="000000" w:themeColor="text1"/>
              </w:rPr>
              <w:t xml:space="preserve">and key personnel </w:t>
            </w:r>
            <w:r w:rsidRPr="004C1DA2">
              <w:rPr>
                <w:rFonts w:eastAsia="Calibri" w:cstheme="minorHAnsi"/>
                <w:color w:val="000000" w:themeColor="text1"/>
              </w:rPr>
              <w:t>changes, making the process more efficient for both providers and the Commission.</w:t>
            </w:r>
          </w:p>
          <w:p w14:paraId="5FEAA32E" w14:textId="5F65F636" w:rsidR="00506131" w:rsidRPr="004C1DA2" w:rsidRDefault="77ADDDB7" w:rsidP="009973B3">
            <w:pPr>
              <w:spacing w:after="120" w:line="259" w:lineRule="auto"/>
              <w:rPr>
                <w:rFonts w:eastAsia="Calibri" w:cstheme="minorHAnsi"/>
                <w:color w:val="000000" w:themeColor="text1"/>
              </w:rPr>
            </w:pPr>
            <w:r w:rsidRPr="004C1DA2">
              <w:rPr>
                <w:rFonts w:eastAsia="Calibri" w:cstheme="minorHAnsi"/>
                <w:color w:val="000000" w:themeColor="text1"/>
              </w:rPr>
              <w:t xml:space="preserve">This work has included a consultation process with </w:t>
            </w:r>
            <w:r w:rsidR="0608D43E" w:rsidRPr="004C1DA2">
              <w:rPr>
                <w:rFonts w:eastAsia="Calibri" w:cstheme="minorHAnsi"/>
                <w:color w:val="000000" w:themeColor="text1"/>
              </w:rPr>
              <w:t>a</w:t>
            </w:r>
            <w:r w:rsidRPr="004C1DA2">
              <w:rPr>
                <w:rFonts w:eastAsia="Calibri" w:cstheme="minorHAnsi"/>
                <w:color w:val="000000" w:themeColor="text1"/>
              </w:rPr>
              <w:t xml:space="preserve">pproved </w:t>
            </w:r>
            <w:r w:rsidR="6934CC6C" w:rsidRPr="004C1DA2">
              <w:rPr>
                <w:rFonts w:eastAsia="Calibri" w:cstheme="minorHAnsi"/>
                <w:color w:val="000000" w:themeColor="text1"/>
              </w:rPr>
              <w:t>p</w:t>
            </w:r>
            <w:r w:rsidRPr="004C1DA2">
              <w:rPr>
                <w:rFonts w:eastAsia="Calibri" w:cstheme="minorHAnsi"/>
                <w:color w:val="000000" w:themeColor="text1"/>
              </w:rPr>
              <w:t xml:space="preserve">roviders led by the Department of Health and Aged Care. </w:t>
            </w:r>
            <w:r w:rsidR="009E376E">
              <w:rPr>
                <w:rFonts w:eastAsia="Calibri" w:cstheme="minorHAnsi"/>
                <w:color w:val="000000" w:themeColor="text1"/>
              </w:rPr>
              <w:t>The</w:t>
            </w:r>
            <w:r w:rsidRPr="004C1DA2">
              <w:rPr>
                <w:rFonts w:eastAsia="Calibri" w:cstheme="minorHAnsi"/>
                <w:color w:val="000000" w:themeColor="text1"/>
              </w:rPr>
              <w:t xml:space="preserve"> Commission is working to ensure the new online system is streamlined and easy to use.</w:t>
            </w:r>
          </w:p>
          <w:p w14:paraId="52640B81" w14:textId="16F1388D" w:rsidR="00506131" w:rsidRPr="004C1DA2" w:rsidRDefault="00506131" w:rsidP="009973B3">
            <w:pPr>
              <w:spacing w:after="120"/>
              <w:rPr>
                <w:rFonts w:cstheme="minorHAnsi"/>
              </w:rPr>
            </w:pPr>
          </w:p>
        </w:tc>
      </w:tr>
      <w:tr w:rsidR="00506131" w:rsidRPr="004C1DA2" w14:paraId="2D9C3AE1" w14:textId="77777777" w:rsidTr="045764E4">
        <w:trPr>
          <w:trHeight w:val="2826"/>
        </w:trPr>
        <w:tc>
          <w:tcPr>
            <w:tcW w:w="5665" w:type="dxa"/>
            <w:hideMark/>
          </w:tcPr>
          <w:p w14:paraId="27BA2653" w14:textId="3F14A57D" w:rsidR="00506131" w:rsidRPr="004C1DA2" w:rsidRDefault="00506131" w:rsidP="009973B3">
            <w:pPr>
              <w:spacing w:after="120"/>
              <w:rPr>
                <w:rFonts w:cstheme="minorHAnsi"/>
              </w:rPr>
            </w:pPr>
            <w:r w:rsidRPr="004C1DA2">
              <w:rPr>
                <w:rFonts w:cstheme="minorHAnsi"/>
              </w:rPr>
              <w:t xml:space="preserve">As a provider of only </w:t>
            </w:r>
            <w:r w:rsidR="00C32178" w:rsidRPr="004C1DA2">
              <w:rPr>
                <w:rFonts w:cstheme="minorHAnsi"/>
              </w:rPr>
              <w:t>Commonwealth Home Support Programme (</w:t>
            </w:r>
            <w:r w:rsidRPr="004C1DA2">
              <w:rPr>
                <w:rFonts w:cstheme="minorHAnsi"/>
              </w:rPr>
              <w:t>CHSP</w:t>
            </w:r>
            <w:r w:rsidR="00C32178" w:rsidRPr="004C1DA2">
              <w:rPr>
                <w:rFonts w:cstheme="minorHAnsi"/>
              </w:rPr>
              <w:t>)</w:t>
            </w:r>
            <w:r w:rsidRPr="004C1DA2">
              <w:rPr>
                <w:rFonts w:cstheme="minorHAnsi"/>
              </w:rPr>
              <w:t xml:space="preserve"> funded services, my understanding is that consideration of suitability of key personnel and the new Code of Conduct are not applicable, please confirm.  </w:t>
            </w:r>
          </w:p>
        </w:tc>
        <w:tc>
          <w:tcPr>
            <w:tcW w:w="7797" w:type="dxa"/>
            <w:hideMark/>
          </w:tcPr>
          <w:p w14:paraId="07250B03" w14:textId="0252DDDA" w:rsidR="004C351B" w:rsidRPr="004C1DA2" w:rsidRDefault="008D39B0" w:rsidP="009973B3">
            <w:pPr>
              <w:spacing w:after="120"/>
              <w:rPr>
                <w:rFonts w:eastAsia="Calibri" w:cstheme="minorHAnsi"/>
              </w:rPr>
            </w:pPr>
            <w:r w:rsidRPr="004C1DA2">
              <w:rPr>
                <w:rFonts w:cstheme="minorHAnsi"/>
              </w:rPr>
              <w:t xml:space="preserve">That is correct. </w:t>
            </w:r>
            <w:r w:rsidR="00456E4C" w:rsidRPr="004C1DA2">
              <w:rPr>
                <w:rFonts w:cstheme="minorHAnsi"/>
              </w:rPr>
              <w:t>T</w:t>
            </w:r>
            <w:r w:rsidR="1AA16F56" w:rsidRPr="004C1DA2">
              <w:rPr>
                <w:rFonts w:cstheme="minorHAnsi"/>
              </w:rPr>
              <w:t xml:space="preserve">he </w:t>
            </w:r>
            <w:r w:rsidR="40D5A48F" w:rsidRPr="004C1DA2">
              <w:rPr>
                <w:rFonts w:cstheme="minorHAnsi"/>
              </w:rPr>
              <w:t xml:space="preserve">suitability of key personnel and the new Code of Conduct </w:t>
            </w:r>
            <w:r w:rsidR="1AA16F56" w:rsidRPr="004C1DA2">
              <w:rPr>
                <w:rFonts w:cstheme="minorHAnsi"/>
              </w:rPr>
              <w:t>requirements</w:t>
            </w:r>
            <w:r w:rsidR="46ABE22C" w:rsidRPr="004C1DA2">
              <w:rPr>
                <w:rFonts w:cstheme="minorHAnsi"/>
              </w:rPr>
              <w:t xml:space="preserve"> in the </w:t>
            </w:r>
            <w:r w:rsidR="46ABE22C" w:rsidRPr="004C1DA2">
              <w:rPr>
                <w:rFonts w:cstheme="minorHAnsi"/>
                <w:i/>
                <w:iCs/>
              </w:rPr>
              <w:t>Aged Care Act 1997</w:t>
            </w:r>
            <w:r w:rsidR="4D78C6F0" w:rsidRPr="004C1DA2">
              <w:rPr>
                <w:rFonts w:cstheme="minorHAnsi"/>
                <w:i/>
                <w:iCs/>
              </w:rPr>
              <w:t xml:space="preserve"> </w:t>
            </w:r>
            <w:r w:rsidR="4D78C6F0" w:rsidRPr="004C1DA2">
              <w:rPr>
                <w:rFonts w:cstheme="minorHAnsi"/>
              </w:rPr>
              <w:t>(Aged Care Act)</w:t>
            </w:r>
            <w:r w:rsidR="46ABE22C" w:rsidRPr="004C1DA2">
              <w:rPr>
                <w:rFonts w:cstheme="minorHAnsi"/>
              </w:rPr>
              <w:t xml:space="preserve"> and </w:t>
            </w:r>
            <w:r w:rsidR="46ABE22C" w:rsidRPr="004C1DA2">
              <w:rPr>
                <w:rFonts w:cstheme="minorHAnsi"/>
                <w:i/>
                <w:iCs/>
              </w:rPr>
              <w:t>Aged Care Quality and Safety Commission Act 201</w:t>
            </w:r>
            <w:r w:rsidR="4D78C6F0" w:rsidRPr="004C1DA2">
              <w:rPr>
                <w:rFonts w:cstheme="minorHAnsi"/>
                <w:i/>
                <w:iCs/>
              </w:rPr>
              <w:t>8</w:t>
            </w:r>
            <w:r w:rsidR="1AA16F56" w:rsidRPr="004C1DA2">
              <w:rPr>
                <w:rFonts w:cstheme="minorHAnsi"/>
              </w:rPr>
              <w:t xml:space="preserve">, </w:t>
            </w:r>
            <w:r w:rsidR="262EF16C" w:rsidRPr="004C1DA2">
              <w:rPr>
                <w:rFonts w:cstheme="minorHAnsi"/>
              </w:rPr>
              <w:t xml:space="preserve">currently </w:t>
            </w:r>
            <w:r w:rsidR="6CD2A16E" w:rsidRPr="004C1DA2">
              <w:rPr>
                <w:rFonts w:cstheme="minorHAnsi"/>
              </w:rPr>
              <w:t xml:space="preserve">apply only to approved providers </w:t>
            </w:r>
            <w:r w:rsidR="234C1C56" w:rsidRPr="004C1DA2">
              <w:rPr>
                <w:rFonts w:cstheme="minorHAnsi"/>
              </w:rPr>
              <w:t>of</w:t>
            </w:r>
            <w:r w:rsidR="5595FCFE" w:rsidRPr="004C1DA2">
              <w:rPr>
                <w:rFonts w:cstheme="minorHAnsi"/>
              </w:rPr>
              <w:t xml:space="preserve"> </w:t>
            </w:r>
            <w:r w:rsidR="48C21668" w:rsidRPr="004C1DA2">
              <w:rPr>
                <w:rFonts w:eastAsia="Calibri" w:cstheme="minorHAnsi"/>
              </w:rPr>
              <w:t>residential, home, and flexible care</w:t>
            </w:r>
            <w:r w:rsidR="234C1C56" w:rsidRPr="004C1DA2">
              <w:rPr>
                <w:rFonts w:eastAsia="Calibri" w:cstheme="minorHAnsi"/>
              </w:rPr>
              <w:t xml:space="preserve"> under the Aged Care Act.</w:t>
            </w:r>
          </w:p>
          <w:p w14:paraId="2B5D1931" w14:textId="0759752E" w:rsidR="00052D08" w:rsidRPr="004C1DA2" w:rsidRDefault="00E16BE9" w:rsidP="009973B3">
            <w:pPr>
              <w:spacing w:after="120"/>
              <w:rPr>
                <w:rFonts w:cstheme="minorHAnsi"/>
              </w:rPr>
            </w:pPr>
            <w:r w:rsidRPr="004C1DA2">
              <w:rPr>
                <w:rFonts w:cstheme="minorHAnsi"/>
              </w:rPr>
              <w:t>However, providers of</w:t>
            </w:r>
            <w:r w:rsidR="0031282A" w:rsidRPr="004C1DA2">
              <w:rPr>
                <w:rFonts w:cstheme="minorHAnsi"/>
              </w:rPr>
              <w:t xml:space="preserve"> government</w:t>
            </w:r>
            <w:r w:rsidR="5D4C7281" w:rsidRPr="004C1DA2">
              <w:rPr>
                <w:rFonts w:cstheme="minorHAnsi"/>
              </w:rPr>
              <w:t>-</w:t>
            </w:r>
            <w:r w:rsidR="0031282A" w:rsidRPr="004C1DA2">
              <w:rPr>
                <w:rFonts w:cstheme="minorHAnsi"/>
              </w:rPr>
              <w:t>subsidised CHSP service</w:t>
            </w:r>
            <w:r w:rsidRPr="004C1DA2">
              <w:rPr>
                <w:rFonts w:cstheme="minorHAnsi"/>
              </w:rPr>
              <w:t>s</w:t>
            </w:r>
            <w:r w:rsidR="0031282A" w:rsidRPr="004C1DA2">
              <w:rPr>
                <w:rFonts w:cstheme="minorHAnsi"/>
              </w:rPr>
              <w:t xml:space="preserve">, </w:t>
            </w:r>
            <w:r w:rsidR="00CF2CE5" w:rsidRPr="004C1DA2">
              <w:rPr>
                <w:rFonts w:cstheme="minorHAnsi"/>
              </w:rPr>
              <w:t>are required to</w:t>
            </w:r>
            <w:r w:rsidR="0031282A" w:rsidRPr="004C1DA2">
              <w:rPr>
                <w:rFonts w:cstheme="minorHAnsi"/>
              </w:rPr>
              <w:t xml:space="preserve"> </w:t>
            </w:r>
            <w:r w:rsidR="00EB481D" w:rsidRPr="004C1DA2">
              <w:rPr>
                <w:rFonts w:cstheme="minorHAnsi"/>
              </w:rPr>
              <w:t xml:space="preserve">meet </w:t>
            </w:r>
            <w:r w:rsidR="00CF2CE5" w:rsidRPr="004C1DA2">
              <w:rPr>
                <w:rFonts w:cstheme="minorHAnsi"/>
              </w:rPr>
              <w:t xml:space="preserve">the </w:t>
            </w:r>
            <w:r w:rsidR="006964AA" w:rsidRPr="004C1DA2">
              <w:rPr>
                <w:rFonts w:cstheme="minorHAnsi"/>
              </w:rPr>
              <w:t xml:space="preserve">Aged Care </w:t>
            </w:r>
            <w:r w:rsidR="002D676B" w:rsidRPr="004C1DA2">
              <w:rPr>
                <w:rFonts w:cstheme="minorHAnsi"/>
              </w:rPr>
              <w:t>Q</w:t>
            </w:r>
            <w:r w:rsidR="00EB481D" w:rsidRPr="004C1DA2">
              <w:rPr>
                <w:rFonts w:cstheme="minorHAnsi"/>
              </w:rPr>
              <w:t xml:space="preserve">uality </w:t>
            </w:r>
            <w:r w:rsidR="002D676B" w:rsidRPr="004C1DA2">
              <w:rPr>
                <w:rFonts w:cstheme="minorHAnsi"/>
              </w:rPr>
              <w:t>S</w:t>
            </w:r>
            <w:r w:rsidR="00EB481D" w:rsidRPr="004C1DA2">
              <w:rPr>
                <w:rFonts w:cstheme="minorHAnsi"/>
              </w:rPr>
              <w:t xml:space="preserve">tandards, comply with the Charter of Aged Care Rights, and meet </w:t>
            </w:r>
            <w:r w:rsidR="00CF2CE5" w:rsidRPr="004C1DA2">
              <w:rPr>
                <w:rFonts w:cstheme="minorHAnsi"/>
              </w:rPr>
              <w:t xml:space="preserve">conditions of </w:t>
            </w:r>
            <w:r w:rsidR="47A662AA" w:rsidRPr="004C1DA2">
              <w:rPr>
                <w:rFonts w:cstheme="minorHAnsi"/>
              </w:rPr>
              <w:t>their</w:t>
            </w:r>
            <w:r w:rsidR="000C40AF" w:rsidRPr="004C1DA2">
              <w:rPr>
                <w:rFonts w:cstheme="minorHAnsi"/>
              </w:rPr>
              <w:t xml:space="preserve"> </w:t>
            </w:r>
            <w:r w:rsidR="00EB481D" w:rsidRPr="004C1DA2">
              <w:rPr>
                <w:rFonts w:cstheme="minorHAnsi"/>
              </w:rPr>
              <w:t>grant agreement.</w:t>
            </w:r>
          </w:p>
        </w:tc>
      </w:tr>
      <w:tr w:rsidR="00A87B89" w:rsidRPr="004C1DA2" w14:paraId="01D78404" w14:textId="77777777" w:rsidTr="045764E4">
        <w:trPr>
          <w:trHeight w:val="975"/>
        </w:trPr>
        <w:tc>
          <w:tcPr>
            <w:tcW w:w="5665" w:type="dxa"/>
          </w:tcPr>
          <w:p w14:paraId="2DBAA01B" w14:textId="1E04FD1F" w:rsidR="00A87B89" w:rsidRPr="004C1DA2" w:rsidRDefault="00A87B89" w:rsidP="009973B3">
            <w:pPr>
              <w:spacing w:after="120"/>
              <w:rPr>
                <w:rFonts w:cstheme="minorHAnsi"/>
              </w:rPr>
            </w:pPr>
            <w:r w:rsidRPr="004C1DA2">
              <w:rPr>
                <w:rFonts w:cstheme="minorHAnsi"/>
              </w:rPr>
              <w:t xml:space="preserve">Are you able to advise </w:t>
            </w:r>
            <w:r w:rsidR="00672E35">
              <w:rPr>
                <w:rFonts w:cstheme="minorHAnsi"/>
              </w:rPr>
              <w:t xml:space="preserve">a </w:t>
            </w:r>
            <w:r w:rsidRPr="004C1DA2">
              <w:rPr>
                <w:rFonts w:cstheme="minorHAnsi"/>
              </w:rPr>
              <w:t>provider</w:t>
            </w:r>
            <w:r w:rsidR="00672E35">
              <w:rPr>
                <w:rFonts w:cstheme="minorHAnsi"/>
              </w:rPr>
              <w:t>’s</w:t>
            </w:r>
            <w:r w:rsidRPr="004C1DA2">
              <w:rPr>
                <w:rFonts w:cstheme="minorHAnsi"/>
              </w:rPr>
              <w:t xml:space="preserve"> obligations to a key personnel employee should there be a case whereby the Commission overrules a provider</w:t>
            </w:r>
            <w:r w:rsidR="16DE148E" w:rsidRPr="004C1DA2">
              <w:rPr>
                <w:rFonts w:cstheme="minorHAnsi"/>
              </w:rPr>
              <w:t>’</w:t>
            </w:r>
            <w:r w:rsidRPr="004C1DA2">
              <w:rPr>
                <w:rFonts w:cstheme="minorHAnsi"/>
              </w:rPr>
              <w:t xml:space="preserve">s decision relating to that </w:t>
            </w:r>
            <w:r w:rsidRPr="004C1DA2">
              <w:rPr>
                <w:rFonts w:cstheme="minorHAnsi"/>
              </w:rPr>
              <w:lastRenderedPageBreak/>
              <w:t xml:space="preserve">individual's suitability criteria? For </w:t>
            </w:r>
            <w:r w:rsidR="14B36240" w:rsidRPr="004C1DA2">
              <w:rPr>
                <w:rFonts w:cstheme="minorHAnsi"/>
              </w:rPr>
              <w:t>instance,</w:t>
            </w:r>
            <w:r w:rsidRPr="004C1DA2">
              <w:rPr>
                <w:rFonts w:cstheme="minorHAnsi"/>
              </w:rPr>
              <w:t xml:space="preserve"> if the individual had been previously insolvent under administration and the provider determined the person was still suitable</w:t>
            </w:r>
            <w:r w:rsidR="006964AA" w:rsidRPr="004C1DA2">
              <w:rPr>
                <w:rFonts w:cstheme="minorHAnsi"/>
              </w:rPr>
              <w:t xml:space="preserve">. </w:t>
            </w:r>
            <w:r w:rsidRPr="004C1DA2">
              <w:rPr>
                <w:rFonts w:cstheme="minorHAnsi"/>
              </w:rPr>
              <w:t xml:space="preserve">If that were to </w:t>
            </w:r>
            <w:r w:rsidR="180EBB3E" w:rsidRPr="004C1DA2">
              <w:rPr>
                <w:rFonts w:cstheme="minorHAnsi"/>
              </w:rPr>
              <w:t>occur,</w:t>
            </w:r>
            <w:r w:rsidRPr="004C1DA2">
              <w:rPr>
                <w:rFonts w:cstheme="minorHAnsi"/>
              </w:rPr>
              <w:t xml:space="preserve"> then the way the legislation and guidance is written it reads that the person is not suitable to work in aged care </w:t>
            </w:r>
            <w:r w:rsidR="00893D95">
              <w:rPr>
                <w:rFonts w:cstheme="minorHAnsi"/>
              </w:rPr>
              <w:t>–</w:t>
            </w:r>
            <w:r w:rsidR="00893D95" w:rsidRPr="004C1DA2">
              <w:rPr>
                <w:rFonts w:cstheme="minorHAnsi"/>
              </w:rPr>
              <w:t xml:space="preserve"> </w:t>
            </w:r>
            <w:r w:rsidRPr="004C1DA2">
              <w:rPr>
                <w:rFonts w:cstheme="minorHAnsi"/>
              </w:rPr>
              <w:t>this seems to then preclude say a redeploy</w:t>
            </w:r>
            <w:r w:rsidR="003C4D7F">
              <w:rPr>
                <w:rFonts w:cstheme="minorHAnsi"/>
              </w:rPr>
              <w:t xml:space="preserve">ment </w:t>
            </w:r>
            <w:r w:rsidRPr="004C1DA2">
              <w:rPr>
                <w:rFonts w:cstheme="minorHAnsi"/>
              </w:rPr>
              <w:t>from management to a nurse on the floor or other role that is not key personnel.</w:t>
            </w:r>
            <w:r w:rsidR="006964AA" w:rsidRPr="004C1DA2">
              <w:rPr>
                <w:rFonts w:cstheme="minorHAnsi"/>
              </w:rPr>
              <w:t xml:space="preserve"> </w:t>
            </w:r>
            <w:r w:rsidRPr="004C1DA2">
              <w:rPr>
                <w:rFonts w:cstheme="minorHAnsi"/>
              </w:rPr>
              <w:t xml:space="preserve">Any overruling could cause possible </w:t>
            </w:r>
            <w:r w:rsidR="003C4D7F">
              <w:rPr>
                <w:rFonts w:cstheme="minorHAnsi"/>
              </w:rPr>
              <w:t>industrial relations</w:t>
            </w:r>
            <w:r w:rsidRPr="004C1DA2">
              <w:rPr>
                <w:rFonts w:cstheme="minorHAnsi"/>
              </w:rPr>
              <w:t xml:space="preserve"> ramifications </w:t>
            </w:r>
            <w:r w:rsidR="003C4D7F">
              <w:rPr>
                <w:rFonts w:cstheme="minorHAnsi"/>
              </w:rPr>
              <w:t>–</w:t>
            </w:r>
            <w:r w:rsidR="003C4D7F" w:rsidRPr="004C1DA2">
              <w:rPr>
                <w:rFonts w:cstheme="minorHAnsi"/>
              </w:rPr>
              <w:t xml:space="preserve"> </w:t>
            </w:r>
            <w:r w:rsidRPr="004C1DA2">
              <w:rPr>
                <w:rFonts w:cstheme="minorHAnsi"/>
              </w:rPr>
              <w:t xml:space="preserve">can you address this please </w:t>
            </w:r>
            <w:r w:rsidR="1E6A28A5" w:rsidRPr="004C1DA2">
              <w:rPr>
                <w:rFonts w:cstheme="minorHAnsi"/>
              </w:rPr>
              <w:t>and</w:t>
            </w:r>
            <w:r w:rsidRPr="004C1DA2">
              <w:rPr>
                <w:rFonts w:cstheme="minorHAnsi"/>
              </w:rPr>
              <w:t xml:space="preserve"> clarify if it would be possible to redeploy an individual?</w:t>
            </w:r>
          </w:p>
        </w:tc>
        <w:tc>
          <w:tcPr>
            <w:tcW w:w="7797" w:type="dxa"/>
          </w:tcPr>
          <w:p w14:paraId="46F2DB9B" w14:textId="2D09BD22" w:rsidR="004F5061" w:rsidRPr="004C1DA2" w:rsidRDefault="5E2A5649" w:rsidP="009973B3">
            <w:pPr>
              <w:spacing w:after="120"/>
              <w:rPr>
                <w:rFonts w:cstheme="minorHAnsi"/>
              </w:rPr>
            </w:pPr>
            <w:r w:rsidRPr="004C1DA2">
              <w:rPr>
                <w:rFonts w:cstheme="minorHAnsi"/>
              </w:rPr>
              <w:lastRenderedPageBreak/>
              <w:t>An approved provider is responsible for</w:t>
            </w:r>
            <w:r w:rsidR="009066AF" w:rsidRPr="004C1DA2">
              <w:rPr>
                <w:rFonts w:cstheme="minorHAnsi"/>
              </w:rPr>
              <w:t xml:space="preserve"> determining whether key personnel </w:t>
            </w:r>
            <w:r w:rsidR="00015009" w:rsidRPr="004C1DA2">
              <w:rPr>
                <w:rFonts w:cstheme="minorHAnsi"/>
              </w:rPr>
              <w:t xml:space="preserve">can be redeployed to </w:t>
            </w:r>
            <w:r w:rsidR="7C9EAFD7" w:rsidRPr="004C1DA2">
              <w:rPr>
                <w:rFonts w:cstheme="minorHAnsi"/>
              </w:rPr>
              <w:t xml:space="preserve">another role </w:t>
            </w:r>
            <w:r w:rsidR="00015009" w:rsidRPr="004C1DA2">
              <w:rPr>
                <w:rFonts w:cstheme="minorHAnsi"/>
              </w:rPr>
              <w:t>within the organisation</w:t>
            </w:r>
            <w:r w:rsidR="0BA51079" w:rsidRPr="004C1DA2">
              <w:rPr>
                <w:rFonts w:cstheme="minorHAnsi"/>
              </w:rPr>
              <w:t>, if the individual has been found to not meet the suitability matters at s</w:t>
            </w:r>
            <w:r w:rsidR="00184C28" w:rsidRPr="004C1DA2">
              <w:rPr>
                <w:rFonts w:cstheme="minorHAnsi"/>
              </w:rPr>
              <w:t xml:space="preserve">ection </w:t>
            </w:r>
            <w:r w:rsidR="0BA51079" w:rsidRPr="004C1DA2">
              <w:rPr>
                <w:rFonts w:cstheme="minorHAnsi"/>
              </w:rPr>
              <w:t xml:space="preserve">8C </w:t>
            </w:r>
            <w:r w:rsidR="00B80245" w:rsidRPr="004C1DA2">
              <w:rPr>
                <w:rFonts w:cstheme="minorHAnsi"/>
              </w:rPr>
              <w:t xml:space="preserve">of the </w:t>
            </w:r>
            <w:r w:rsidR="00B80245" w:rsidRPr="004C1DA2">
              <w:rPr>
                <w:rFonts w:cstheme="minorHAnsi"/>
                <w:i/>
                <w:iCs/>
              </w:rPr>
              <w:t xml:space="preserve">Aged Care Quality and Safety </w:t>
            </w:r>
            <w:r w:rsidR="00B80245" w:rsidRPr="004C1DA2">
              <w:rPr>
                <w:rFonts w:cstheme="minorHAnsi"/>
                <w:i/>
                <w:iCs/>
              </w:rPr>
              <w:lastRenderedPageBreak/>
              <w:t xml:space="preserve">Commission Act 2018 </w:t>
            </w:r>
            <w:r w:rsidR="0BA51079" w:rsidRPr="004C1DA2">
              <w:rPr>
                <w:rFonts w:cstheme="minorHAnsi"/>
              </w:rPr>
              <w:t>but is not subject to a banning order barring them from</w:t>
            </w:r>
            <w:r w:rsidR="00485B8A" w:rsidRPr="004C1DA2">
              <w:rPr>
                <w:rFonts w:cstheme="minorHAnsi"/>
              </w:rPr>
              <w:t xml:space="preserve"> working in</w:t>
            </w:r>
            <w:r w:rsidR="0BA51079" w:rsidRPr="004C1DA2">
              <w:rPr>
                <w:rFonts w:cstheme="minorHAnsi"/>
              </w:rPr>
              <w:t xml:space="preserve"> the sector</w:t>
            </w:r>
            <w:r w:rsidR="00701AC3" w:rsidRPr="004C1DA2">
              <w:rPr>
                <w:rFonts w:cstheme="minorHAnsi"/>
              </w:rPr>
              <w:t xml:space="preserve">, or </w:t>
            </w:r>
            <w:r w:rsidR="00E11FE9" w:rsidRPr="004C1DA2">
              <w:rPr>
                <w:rFonts w:cstheme="minorHAnsi"/>
              </w:rPr>
              <w:t xml:space="preserve">from </w:t>
            </w:r>
            <w:r w:rsidR="00413DCF" w:rsidRPr="004C1DA2">
              <w:rPr>
                <w:rFonts w:cstheme="minorHAnsi"/>
              </w:rPr>
              <w:t xml:space="preserve">undertaking </w:t>
            </w:r>
            <w:r w:rsidR="00701AC3" w:rsidRPr="004C1DA2">
              <w:rPr>
                <w:rFonts w:cstheme="minorHAnsi"/>
              </w:rPr>
              <w:t xml:space="preserve">specified </w:t>
            </w:r>
            <w:r w:rsidR="00E11FE9" w:rsidRPr="004C1DA2">
              <w:rPr>
                <w:rFonts w:cstheme="minorHAnsi"/>
              </w:rPr>
              <w:t xml:space="preserve">roles </w:t>
            </w:r>
            <w:r w:rsidR="00023685" w:rsidRPr="004C1DA2">
              <w:rPr>
                <w:rFonts w:cstheme="minorHAnsi"/>
              </w:rPr>
              <w:t>and/</w:t>
            </w:r>
            <w:r w:rsidR="00E11FE9" w:rsidRPr="004C1DA2">
              <w:rPr>
                <w:rFonts w:cstheme="minorHAnsi"/>
              </w:rPr>
              <w:t>or activities</w:t>
            </w:r>
            <w:r w:rsidR="0BA51079" w:rsidRPr="004C1DA2">
              <w:rPr>
                <w:rFonts w:cstheme="minorHAnsi"/>
              </w:rPr>
              <w:t>.</w:t>
            </w:r>
          </w:p>
          <w:p w14:paraId="41C0C78F" w14:textId="176C3457" w:rsidR="00015009" w:rsidRPr="004C1DA2" w:rsidRDefault="0BA51079" w:rsidP="009973B3">
            <w:pPr>
              <w:spacing w:after="120"/>
              <w:rPr>
                <w:rFonts w:cstheme="minorHAnsi"/>
              </w:rPr>
            </w:pPr>
            <w:r w:rsidRPr="004C1DA2">
              <w:rPr>
                <w:rFonts w:cstheme="minorHAnsi"/>
              </w:rPr>
              <w:t>It is important for the</w:t>
            </w:r>
            <w:r w:rsidR="581ACE88" w:rsidRPr="004C1DA2">
              <w:rPr>
                <w:rFonts w:cstheme="minorHAnsi"/>
              </w:rPr>
              <w:t xml:space="preserve"> approved provider’s</w:t>
            </w:r>
            <w:r w:rsidRPr="004C1DA2">
              <w:rPr>
                <w:rFonts w:cstheme="minorHAnsi"/>
              </w:rPr>
              <w:t xml:space="preserve"> </w:t>
            </w:r>
            <w:r w:rsidR="492D4137" w:rsidRPr="004C1DA2">
              <w:rPr>
                <w:rFonts w:cstheme="minorHAnsi"/>
              </w:rPr>
              <w:t>decision-making</w:t>
            </w:r>
            <w:r w:rsidRPr="004C1DA2">
              <w:rPr>
                <w:rFonts w:cstheme="minorHAnsi"/>
              </w:rPr>
              <w:t xml:space="preserve"> processes to be well-documented and </w:t>
            </w:r>
            <w:r w:rsidR="30A2BE57" w:rsidRPr="004C1DA2">
              <w:rPr>
                <w:rFonts w:cstheme="minorHAnsi"/>
              </w:rPr>
              <w:t>to be accompanied by any supporting evidence that was used to make the decision.</w:t>
            </w:r>
          </w:p>
          <w:p w14:paraId="6B9D050C" w14:textId="1A4801E4" w:rsidR="00EF7D02" w:rsidRPr="004C1DA2" w:rsidRDefault="00C27B42" w:rsidP="009973B3">
            <w:pPr>
              <w:spacing w:after="120"/>
              <w:rPr>
                <w:rFonts w:cstheme="minorHAnsi"/>
              </w:rPr>
            </w:pPr>
            <w:r w:rsidRPr="004C1DA2">
              <w:rPr>
                <w:rFonts w:cstheme="minorHAnsi"/>
              </w:rPr>
              <w:t xml:space="preserve"> </w:t>
            </w:r>
          </w:p>
        </w:tc>
      </w:tr>
      <w:tr w:rsidR="00E93FE9" w:rsidRPr="004C1DA2" w14:paraId="13428051" w14:textId="77777777" w:rsidTr="00FE1DBF">
        <w:trPr>
          <w:trHeight w:val="2591"/>
        </w:trPr>
        <w:tc>
          <w:tcPr>
            <w:tcW w:w="5665" w:type="dxa"/>
          </w:tcPr>
          <w:p w14:paraId="66431258" w14:textId="6345A854" w:rsidR="00E93FE9" w:rsidRPr="004C1DA2" w:rsidRDefault="00E93FE9" w:rsidP="009973B3">
            <w:pPr>
              <w:spacing w:after="120"/>
              <w:rPr>
                <w:rFonts w:cstheme="minorHAnsi"/>
              </w:rPr>
            </w:pPr>
            <w:r w:rsidRPr="004C1DA2">
              <w:rPr>
                <w:rFonts w:cstheme="minorHAnsi"/>
              </w:rPr>
              <w:lastRenderedPageBreak/>
              <w:t xml:space="preserve">We have a resident executive which meets monthly and then reports </w:t>
            </w:r>
            <w:proofErr w:type="gramStart"/>
            <w:r w:rsidRPr="004C1DA2">
              <w:rPr>
                <w:rFonts w:cstheme="minorHAnsi"/>
              </w:rPr>
              <w:t>in to</w:t>
            </w:r>
            <w:proofErr w:type="gramEnd"/>
            <w:r w:rsidRPr="004C1DA2">
              <w:rPr>
                <w:rFonts w:cstheme="minorHAnsi"/>
              </w:rPr>
              <w:t xml:space="preserve"> the monthly resident </w:t>
            </w:r>
            <w:r w:rsidR="00180352" w:rsidRPr="004C1DA2">
              <w:rPr>
                <w:rFonts w:cstheme="minorHAnsi"/>
              </w:rPr>
              <w:t>meeting</w:t>
            </w:r>
            <w:r w:rsidR="005E1355">
              <w:rPr>
                <w:rFonts w:cstheme="minorHAnsi"/>
              </w:rPr>
              <w:t>.</w:t>
            </w:r>
            <w:r w:rsidRPr="004C1DA2">
              <w:rPr>
                <w:rFonts w:cstheme="minorHAnsi"/>
              </w:rPr>
              <w:t xml:space="preserve"> Does this meet the requirements for a </w:t>
            </w:r>
            <w:r w:rsidR="0060661A">
              <w:rPr>
                <w:rFonts w:cstheme="minorHAnsi"/>
              </w:rPr>
              <w:t>c</w:t>
            </w:r>
            <w:r w:rsidR="0060661A" w:rsidRPr="004C1DA2">
              <w:rPr>
                <w:rFonts w:cstheme="minorHAnsi"/>
              </w:rPr>
              <w:t xml:space="preserve">onsumer </w:t>
            </w:r>
            <w:r w:rsidR="0060661A">
              <w:rPr>
                <w:rFonts w:cstheme="minorHAnsi"/>
              </w:rPr>
              <w:t>a</w:t>
            </w:r>
            <w:r w:rsidR="0060661A" w:rsidRPr="004C1DA2">
              <w:rPr>
                <w:rFonts w:cstheme="minorHAnsi"/>
              </w:rPr>
              <w:t xml:space="preserve">dvisory </w:t>
            </w:r>
            <w:r w:rsidR="0060661A">
              <w:rPr>
                <w:rFonts w:cstheme="minorHAnsi"/>
              </w:rPr>
              <w:t>b</w:t>
            </w:r>
            <w:r w:rsidRPr="004C1DA2">
              <w:rPr>
                <w:rFonts w:cstheme="minorHAnsi"/>
              </w:rPr>
              <w:t>ody</w:t>
            </w:r>
            <w:r w:rsidR="00C27B42" w:rsidRPr="004C1DA2">
              <w:rPr>
                <w:rFonts w:cstheme="minorHAnsi"/>
              </w:rPr>
              <w:t>?</w:t>
            </w:r>
          </w:p>
        </w:tc>
        <w:tc>
          <w:tcPr>
            <w:tcW w:w="7797" w:type="dxa"/>
          </w:tcPr>
          <w:p w14:paraId="04224A62" w14:textId="1BA88DD3" w:rsidR="00EF4427" w:rsidRDefault="6F9E3FB5" w:rsidP="009973B3">
            <w:pPr>
              <w:tabs>
                <w:tab w:val="left" w:pos="1320"/>
                <w:tab w:val="left" w:pos="3720"/>
              </w:tabs>
              <w:spacing w:after="120"/>
              <w:rPr>
                <w:rFonts w:cstheme="minorHAnsi"/>
              </w:rPr>
            </w:pPr>
            <w:r w:rsidRPr="004C1DA2">
              <w:rPr>
                <w:rFonts w:cstheme="minorHAnsi"/>
              </w:rPr>
              <w:t>No</w:t>
            </w:r>
            <w:r w:rsidR="00BC5C29" w:rsidRPr="004C1DA2">
              <w:rPr>
                <w:rFonts w:cstheme="minorHAnsi"/>
              </w:rPr>
              <w:t xml:space="preserve">. A </w:t>
            </w:r>
            <w:r w:rsidR="3D3979B4" w:rsidRPr="004C1DA2">
              <w:rPr>
                <w:rFonts w:cstheme="minorHAnsi"/>
              </w:rPr>
              <w:t xml:space="preserve">written offer to establish a consumer advisory body must be made to consumers and their </w:t>
            </w:r>
            <w:r w:rsidR="6DBDE5CB" w:rsidRPr="004C1DA2">
              <w:rPr>
                <w:rFonts w:cstheme="minorHAnsi"/>
              </w:rPr>
              <w:t>representatives</w:t>
            </w:r>
            <w:r w:rsidR="3D3979B4" w:rsidRPr="004C1DA2">
              <w:rPr>
                <w:rFonts w:cstheme="minorHAnsi"/>
              </w:rPr>
              <w:t xml:space="preserve"> every 12 month</w:t>
            </w:r>
            <w:r w:rsidR="3CB78592" w:rsidRPr="004C1DA2">
              <w:rPr>
                <w:rFonts w:cstheme="minorHAnsi"/>
              </w:rPr>
              <w:t>s</w:t>
            </w:r>
            <w:r w:rsidR="3D3979B4" w:rsidRPr="004C1DA2">
              <w:rPr>
                <w:rFonts w:cstheme="minorHAnsi"/>
              </w:rPr>
              <w:t>, regardless of whether</w:t>
            </w:r>
            <w:r w:rsidR="18555D77" w:rsidRPr="004C1DA2">
              <w:rPr>
                <w:rFonts w:cstheme="minorHAnsi"/>
              </w:rPr>
              <w:t xml:space="preserve"> such a body (or multiple) already</w:t>
            </w:r>
            <w:r w:rsidR="393BB610" w:rsidRPr="004C1DA2">
              <w:rPr>
                <w:rFonts w:cstheme="minorHAnsi"/>
              </w:rPr>
              <w:t xml:space="preserve"> exist.</w:t>
            </w:r>
            <w:r w:rsidR="00B407CB">
              <w:rPr>
                <w:rFonts w:cstheme="minorHAnsi"/>
              </w:rPr>
              <w:t xml:space="preserve"> </w:t>
            </w:r>
          </w:p>
          <w:p w14:paraId="3D6AB4B1" w14:textId="4D4FA964" w:rsidR="0010372A" w:rsidRPr="004C1DA2" w:rsidRDefault="393BB610" w:rsidP="009973B3">
            <w:pPr>
              <w:tabs>
                <w:tab w:val="left" w:pos="1320"/>
                <w:tab w:val="left" w:pos="3720"/>
              </w:tabs>
              <w:spacing w:after="120"/>
              <w:rPr>
                <w:rFonts w:cstheme="minorHAnsi"/>
              </w:rPr>
            </w:pPr>
            <w:r w:rsidRPr="004C1DA2">
              <w:rPr>
                <w:rFonts w:cstheme="minorHAnsi"/>
              </w:rPr>
              <w:t xml:space="preserve">In making the offer you should actively </w:t>
            </w:r>
            <w:r w:rsidR="6DBDE5CB" w:rsidRPr="004C1DA2">
              <w:rPr>
                <w:rFonts w:cstheme="minorHAnsi"/>
              </w:rPr>
              <w:t xml:space="preserve">engage and advise consumers and their representatives of the purpose and functions of the consumer advisory body and how they can be </w:t>
            </w:r>
            <w:r w:rsidR="3CB78592" w:rsidRPr="004C1DA2">
              <w:rPr>
                <w:rFonts w:cstheme="minorHAnsi"/>
              </w:rPr>
              <w:t xml:space="preserve">involved with the </w:t>
            </w:r>
            <w:r w:rsidR="6DBDE5CB" w:rsidRPr="004C1DA2">
              <w:rPr>
                <w:rFonts w:cstheme="minorHAnsi"/>
              </w:rPr>
              <w:t>body.</w:t>
            </w:r>
          </w:p>
          <w:p w14:paraId="5CA79D64" w14:textId="44B98AA4" w:rsidR="00C27B42" w:rsidRPr="004C1DA2" w:rsidRDefault="00C27B42" w:rsidP="009973B3">
            <w:pPr>
              <w:tabs>
                <w:tab w:val="left" w:pos="1320"/>
                <w:tab w:val="left" w:pos="3720"/>
              </w:tabs>
              <w:spacing w:after="120"/>
              <w:rPr>
                <w:rFonts w:cstheme="minorHAnsi"/>
              </w:rPr>
            </w:pPr>
            <w:r w:rsidRPr="004C1DA2">
              <w:rPr>
                <w:rFonts w:cstheme="minorHAnsi"/>
              </w:rPr>
              <w:t xml:space="preserve">Further </w:t>
            </w:r>
            <w:hyperlink r:id="rId23" w:history="1">
              <w:r w:rsidRPr="005F4F13">
                <w:rPr>
                  <w:rStyle w:val="Hyperlink"/>
                  <w:rFonts w:cstheme="minorHAnsi"/>
                </w:rPr>
                <w:t xml:space="preserve">guidance </w:t>
              </w:r>
              <w:r w:rsidR="005F4F13" w:rsidRPr="005F4F13">
                <w:rPr>
                  <w:rStyle w:val="Hyperlink"/>
                  <w:rFonts w:cstheme="minorHAnsi"/>
                </w:rPr>
                <w:t>about provider governance</w:t>
              </w:r>
            </w:hyperlink>
            <w:r w:rsidR="005F4F13">
              <w:rPr>
                <w:rFonts w:cstheme="minorHAnsi"/>
              </w:rPr>
              <w:t xml:space="preserve"> </w:t>
            </w:r>
            <w:r w:rsidRPr="004C1DA2">
              <w:rPr>
                <w:rFonts w:cstheme="minorHAnsi"/>
              </w:rPr>
              <w:t xml:space="preserve">is available on the </w:t>
            </w:r>
            <w:r w:rsidR="005F4F13" w:rsidRPr="005F4F13">
              <w:rPr>
                <w:rFonts w:cstheme="minorHAnsi"/>
              </w:rPr>
              <w:t>Commission’s website</w:t>
            </w:r>
            <w:r w:rsidR="003A5039">
              <w:rPr>
                <w:rFonts w:cstheme="minorHAnsi"/>
              </w:rPr>
              <w:t>.</w:t>
            </w:r>
            <w:r w:rsidRPr="004C1DA2">
              <w:rPr>
                <w:rFonts w:cstheme="minorHAnsi"/>
              </w:rPr>
              <w:t xml:space="preserve"> </w:t>
            </w:r>
            <w:r w:rsidR="00B407CB">
              <w:rPr>
                <w:rFonts w:cstheme="minorHAnsi"/>
              </w:rPr>
              <w:t xml:space="preserve"> </w:t>
            </w:r>
          </w:p>
        </w:tc>
      </w:tr>
      <w:tr w:rsidR="00C55FCE" w:rsidRPr="004C1DA2" w14:paraId="7DF97077" w14:textId="77777777" w:rsidTr="045764E4">
        <w:trPr>
          <w:trHeight w:val="1687"/>
        </w:trPr>
        <w:tc>
          <w:tcPr>
            <w:tcW w:w="5665" w:type="dxa"/>
          </w:tcPr>
          <w:p w14:paraId="57E90569" w14:textId="6CEB881C" w:rsidR="00C55FCE" w:rsidRPr="004C1DA2" w:rsidRDefault="3E2B340B" w:rsidP="009973B3">
            <w:pPr>
              <w:spacing w:after="120"/>
              <w:rPr>
                <w:rFonts w:cstheme="minorHAnsi"/>
              </w:rPr>
            </w:pPr>
            <w:r w:rsidRPr="004C1DA2">
              <w:rPr>
                <w:rFonts w:cstheme="minorHAnsi"/>
              </w:rPr>
              <w:t>Are all the clinical governance items applied to H</w:t>
            </w:r>
            <w:r w:rsidR="008E4DA5" w:rsidRPr="004C1DA2">
              <w:rPr>
                <w:rFonts w:cstheme="minorHAnsi"/>
              </w:rPr>
              <w:t>ome Care Packages</w:t>
            </w:r>
            <w:r w:rsidRPr="004C1DA2">
              <w:rPr>
                <w:rFonts w:cstheme="minorHAnsi"/>
              </w:rPr>
              <w:t xml:space="preserve"> going to be applied to the new </w:t>
            </w:r>
            <w:r w:rsidR="008E4DA5" w:rsidRPr="004C1DA2">
              <w:rPr>
                <w:rFonts w:cstheme="minorHAnsi"/>
              </w:rPr>
              <w:t>reforms</w:t>
            </w:r>
            <w:r w:rsidRPr="004C1DA2">
              <w:rPr>
                <w:rFonts w:cstheme="minorHAnsi"/>
              </w:rPr>
              <w:t xml:space="preserve"> </w:t>
            </w:r>
            <w:r w:rsidR="419811AB" w:rsidRPr="004C1DA2">
              <w:rPr>
                <w:rFonts w:cstheme="minorHAnsi"/>
              </w:rPr>
              <w:t>i.e.</w:t>
            </w:r>
            <w:r w:rsidRPr="004C1DA2">
              <w:rPr>
                <w:rFonts w:cstheme="minorHAnsi"/>
              </w:rPr>
              <w:t xml:space="preserve"> Code of Conduct and provider governance and </w:t>
            </w:r>
            <w:r w:rsidR="00915694">
              <w:rPr>
                <w:rFonts w:cstheme="minorHAnsi"/>
              </w:rPr>
              <w:t>l</w:t>
            </w:r>
            <w:r w:rsidR="00915694" w:rsidRPr="004C1DA2">
              <w:rPr>
                <w:rFonts w:cstheme="minorHAnsi"/>
              </w:rPr>
              <w:t xml:space="preserve">ocal </w:t>
            </w:r>
            <w:r w:rsidR="00915694">
              <w:rPr>
                <w:rFonts w:cstheme="minorHAnsi"/>
              </w:rPr>
              <w:t>g</w:t>
            </w:r>
            <w:r w:rsidR="00915694" w:rsidRPr="004C1DA2">
              <w:rPr>
                <w:rFonts w:cstheme="minorHAnsi"/>
              </w:rPr>
              <w:t xml:space="preserve">overnment </w:t>
            </w:r>
            <w:r w:rsidRPr="004C1DA2">
              <w:rPr>
                <w:rFonts w:cstheme="minorHAnsi"/>
              </w:rPr>
              <w:t>providers or is this going to be taken out?</w:t>
            </w:r>
          </w:p>
        </w:tc>
        <w:tc>
          <w:tcPr>
            <w:tcW w:w="7797" w:type="dxa"/>
          </w:tcPr>
          <w:p w14:paraId="145E2259" w14:textId="5B2381CE" w:rsidR="00C55FCE" w:rsidRPr="004C1DA2" w:rsidRDefault="7C02C3AE" w:rsidP="009973B3">
            <w:pPr>
              <w:spacing w:after="120"/>
              <w:rPr>
                <w:rFonts w:eastAsiaTheme="minorEastAsia" w:cstheme="minorHAnsi"/>
                <w:color w:val="313131"/>
              </w:rPr>
            </w:pPr>
            <w:r w:rsidRPr="004C1DA2">
              <w:rPr>
                <w:rFonts w:eastAsia="Calibri" w:cstheme="minorHAnsi"/>
              </w:rPr>
              <w:t>All aged care providers who receive an Australian Govern</w:t>
            </w:r>
            <w:r w:rsidRPr="004C1DA2">
              <w:rPr>
                <w:rFonts w:eastAsiaTheme="minorEastAsia" w:cstheme="minorHAnsi"/>
              </w:rPr>
              <w:t>ment subsidy to deliver aged care and services</w:t>
            </w:r>
            <w:r w:rsidR="006A5ED5" w:rsidRPr="004C1DA2">
              <w:rPr>
                <w:rFonts w:eastAsiaTheme="minorEastAsia" w:cstheme="minorHAnsi"/>
              </w:rPr>
              <w:t xml:space="preserve"> (</w:t>
            </w:r>
            <w:r w:rsidR="7D00FE9D" w:rsidRPr="004C1DA2">
              <w:rPr>
                <w:rFonts w:eastAsiaTheme="minorEastAsia" w:cstheme="minorHAnsi"/>
              </w:rPr>
              <w:t>i.e. home care, residential aged care and flexible care</w:t>
            </w:r>
            <w:r w:rsidR="006A5ED5" w:rsidRPr="004C1DA2">
              <w:rPr>
                <w:rFonts w:eastAsiaTheme="minorEastAsia" w:cstheme="minorHAnsi"/>
              </w:rPr>
              <w:t>),</w:t>
            </w:r>
            <w:r w:rsidRPr="004C1DA2">
              <w:rPr>
                <w:rFonts w:eastAsiaTheme="minorEastAsia" w:cstheme="minorHAnsi"/>
              </w:rPr>
              <w:t xml:space="preserve"> must </w:t>
            </w:r>
            <w:r w:rsidRPr="004C1DA2">
              <w:rPr>
                <w:rFonts w:eastAsiaTheme="minorEastAsia" w:cstheme="minorHAnsi"/>
                <w:color w:val="313131"/>
              </w:rPr>
              <w:t xml:space="preserve">comply with the </w:t>
            </w:r>
            <w:r w:rsidR="6404A44F" w:rsidRPr="004C1DA2">
              <w:rPr>
                <w:rFonts w:eastAsiaTheme="minorEastAsia" w:cstheme="minorHAnsi"/>
                <w:i/>
                <w:iCs/>
                <w:color w:val="313131"/>
              </w:rPr>
              <w:t xml:space="preserve">Aged Care </w:t>
            </w:r>
            <w:r w:rsidRPr="004C1DA2">
              <w:rPr>
                <w:rFonts w:eastAsia="Fira Sans" w:cstheme="minorHAnsi"/>
                <w:i/>
                <w:iCs/>
              </w:rPr>
              <w:t>Quality and Safety Commission Act</w:t>
            </w:r>
            <w:r w:rsidR="7D00FE9D" w:rsidRPr="004C1DA2">
              <w:rPr>
                <w:rFonts w:eastAsia="Fira Sans" w:cstheme="minorHAnsi"/>
                <w:i/>
                <w:iCs/>
              </w:rPr>
              <w:t xml:space="preserve"> 2018</w:t>
            </w:r>
            <w:r w:rsidRPr="004C1DA2">
              <w:rPr>
                <w:rFonts w:eastAsia="Fira Sans" w:cstheme="minorHAnsi"/>
              </w:rPr>
              <w:t>,</w:t>
            </w:r>
            <w:r w:rsidR="6FA33079" w:rsidRPr="004C1DA2">
              <w:rPr>
                <w:rFonts w:eastAsia="Fira Sans" w:cstheme="minorHAnsi"/>
              </w:rPr>
              <w:t xml:space="preserve"> Aged Care Quality and Safety Commissions</w:t>
            </w:r>
            <w:r w:rsidRPr="004C1DA2">
              <w:rPr>
                <w:rFonts w:eastAsia="Fira Sans" w:cstheme="minorHAnsi"/>
              </w:rPr>
              <w:t xml:space="preserve"> Rules</w:t>
            </w:r>
            <w:r w:rsidR="6FA33079" w:rsidRPr="004C1DA2">
              <w:rPr>
                <w:rFonts w:eastAsia="Fira Sans" w:cstheme="minorHAnsi"/>
              </w:rPr>
              <w:t xml:space="preserve"> 2018</w:t>
            </w:r>
            <w:r w:rsidRPr="004C1DA2">
              <w:rPr>
                <w:rFonts w:eastAsia="Fira Sans" w:cstheme="minorHAnsi"/>
              </w:rPr>
              <w:t xml:space="preserve"> and the </w:t>
            </w:r>
            <w:r w:rsidRPr="004C1DA2">
              <w:rPr>
                <w:rFonts w:eastAsia="Fira Sans" w:cstheme="minorHAnsi"/>
                <w:i/>
                <w:iCs/>
              </w:rPr>
              <w:t>Aged Care Act</w:t>
            </w:r>
            <w:r w:rsidR="7D00FE9D" w:rsidRPr="004C1DA2">
              <w:rPr>
                <w:rFonts w:eastAsia="Fira Sans" w:cstheme="minorHAnsi"/>
                <w:i/>
                <w:iCs/>
              </w:rPr>
              <w:t xml:space="preserve"> 1997</w:t>
            </w:r>
            <w:r w:rsidR="65DA2C97" w:rsidRPr="004C1DA2">
              <w:rPr>
                <w:rFonts w:eastAsiaTheme="minorEastAsia" w:cstheme="minorHAnsi"/>
                <w:color w:val="313131"/>
              </w:rPr>
              <w:t>.</w:t>
            </w:r>
          </w:p>
          <w:p w14:paraId="218171DA" w14:textId="300D1F65" w:rsidR="0065012C" w:rsidRPr="004C1DA2" w:rsidRDefault="0065012C" w:rsidP="009973B3">
            <w:pPr>
              <w:spacing w:after="120"/>
              <w:rPr>
                <w:rFonts w:cstheme="minorHAnsi"/>
              </w:rPr>
            </w:pPr>
            <w:r w:rsidRPr="004C1DA2">
              <w:rPr>
                <w:rFonts w:cstheme="minorHAnsi"/>
              </w:rPr>
              <w:t xml:space="preserve">As with all the </w:t>
            </w:r>
            <w:hyperlink r:id="rId24" w:history="1">
              <w:r w:rsidRPr="004C1DA2">
                <w:rPr>
                  <w:rStyle w:val="Hyperlink"/>
                  <w:rFonts w:cstheme="minorHAnsi"/>
                </w:rPr>
                <w:t>reform measures</w:t>
              </w:r>
            </w:hyperlink>
            <w:r w:rsidRPr="004C1DA2">
              <w:rPr>
                <w:rFonts w:cstheme="minorHAnsi"/>
              </w:rPr>
              <w:t>, the Commission is working closely with the Department of Health and Aged Care</w:t>
            </w:r>
            <w:r w:rsidR="0020072F" w:rsidRPr="004C1DA2">
              <w:rPr>
                <w:rFonts w:cstheme="minorHAnsi"/>
              </w:rPr>
              <w:t xml:space="preserve">, </w:t>
            </w:r>
            <w:r w:rsidR="00312EF7">
              <w:rPr>
                <w:rFonts w:cstheme="minorHAnsi"/>
              </w:rPr>
              <w:t xml:space="preserve">who is leading </w:t>
            </w:r>
            <w:r w:rsidR="00663E8C">
              <w:rPr>
                <w:rFonts w:cstheme="minorHAnsi"/>
              </w:rPr>
              <w:t xml:space="preserve">consultation and engagement </w:t>
            </w:r>
            <w:r w:rsidR="0020072F" w:rsidRPr="004C1DA2">
              <w:rPr>
                <w:rFonts w:cstheme="minorHAnsi"/>
              </w:rPr>
              <w:t xml:space="preserve"> with </w:t>
            </w:r>
            <w:r w:rsidR="006D2C21" w:rsidRPr="004C1DA2">
              <w:rPr>
                <w:rFonts w:cstheme="minorHAnsi"/>
              </w:rPr>
              <w:t xml:space="preserve">the </w:t>
            </w:r>
            <w:r w:rsidR="0020072F" w:rsidRPr="004C1DA2">
              <w:rPr>
                <w:rFonts w:cstheme="minorHAnsi"/>
              </w:rPr>
              <w:t>sector</w:t>
            </w:r>
            <w:r w:rsidR="002A2C96" w:rsidRPr="004C1DA2">
              <w:rPr>
                <w:rFonts w:cstheme="minorHAnsi"/>
              </w:rPr>
              <w:t xml:space="preserve"> for any future proposed changes</w:t>
            </w:r>
            <w:r w:rsidR="00663E8C">
              <w:rPr>
                <w:rFonts w:cstheme="minorHAnsi"/>
              </w:rPr>
              <w:t xml:space="preserve"> for Home Care services</w:t>
            </w:r>
            <w:r w:rsidR="002A2C96" w:rsidRPr="004C1DA2">
              <w:rPr>
                <w:rFonts w:cstheme="minorHAnsi"/>
              </w:rPr>
              <w:t>.</w:t>
            </w:r>
          </w:p>
        </w:tc>
      </w:tr>
      <w:tr w:rsidR="00E93FE9" w:rsidRPr="004C1DA2" w14:paraId="19D753B4" w14:textId="77777777" w:rsidTr="045764E4">
        <w:trPr>
          <w:trHeight w:val="408"/>
        </w:trPr>
        <w:tc>
          <w:tcPr>
            <w:tcW w:w="5665" w:type="dxa"/>
            <w:shd w:val="clear" w:color="auto" w:fill="8EAADB" w:themeFill="accent1" w:themeFillTint="99"/>
            <w:vAlign w:val="center"/>
          </w:tcPr>
          <w:p w14:paraId="7AA4E81B" w14:textId="07451877" w:rsidR="00E93FE9" w:rsidRPr="004C1DA2" w:rsidRDefault="00DF07AF" w:rsidP="00F03CB9">
            <w:pPr>
              <w:spacing w:after="120"/>
              <w:rPr>
                <w:rFonts w:cstheme="minorHAnsi"/>
                <w:b/>
              </w:rPr>
            </w:pPr>
            <w:r w:rsidRPr="004C1DA2">
              <w:rPr>
                <w:rFonts w:cstheme="minorHAnsi"/>
                <w:b/>
              </w:rPr>
              <w:t>QUALITY STANDARDS</w:t>
            </w:r>
          </w:p>
        </w:tc>
        <w:tc>
          <w:tcPr>
            <w:tcW w:w="7797" w:type="dxa"/>
            <w:shd w:val="clear" w:color="auto" w:fill="8EAADB" w:themeFill="accent1" w:themeFillTint="99"/>
          </w:tcPr>
          <w:p w14:paraId="23694DB8" w14:textId="6F55580F" w:rsidR="00E93FE9" w:rsidRPr="004C1DA2" w:rsidRDefault="00E93FE9" w:rsidP="009973B3">
            <w:pPr>
              <w:spacing w:after="120"/>
              <w:rPr>
                <w:rFonts w:cstheme="minorHAnsi"/>
                <w:b/>
              </w:rPr>
            </w:pPr>
          </w:p>
        </w:tc>
      </w:tr>
      <w:tr w:rsidR="00506131" w:rsidRPr="004C1DA2" w14:paraId="00F55604" w14:textId="77777777" w:rsidTr="045764E4">
        <w:trPr>
          <w:trHeight w:val="975"/>
        </w:trPr>
        <w:tc>
          <w:tcPr>
            <w:tcW w:w="5665" w:type="dxa"/>
            <w:hideMark/>
          </w:tcPr>
          <w:p w14:paraId="3331E1A8" w14:textId="2C5585E2" w:rsidR="00506131" w:rsidRPr="004C1DA2" w:rsidRDefault="00506131" w:rsidP="009973B3">
            <w:pPr>
              <w:spacing w:after="120"/>
              <w:rPr>
                <w:rFonts w:cstheme="minorHAnsi"/>
              </w:rPr>
            </w:pPr>
            <w:r w:rsidRPr="004C1DA2">
              <w:rPr>
                <w:rFonts w:cstheme="minorHAnsi"/>
              </w:rPr>
              <w:lastRenderedPageBreak/>
              <w:t>Can you give any feedback on the current cycle of quality assessments against the current Aged Care Standards?</w:t>
            </w:r>
            <w:r w:rsidR="00B407CB">
              <w:rPr>
                <w:rFonts w:cstheme="minorHAnsi"/>
              </w:rPr>
              <w:t xml:space="preserve"> </w:t>
            </w:r>
            <w:r w:rsidRPr="004C1DA2">
              <w:rPr>
                <w:rFonts w:cstheme="minorHAnsi"/>
              </w:rPr>
              <w:t>Can you advise what the notification timeframes for a review currently are for home services?</w:t>
            </w:r>
          </w:p>
        </w:tc>
        <w:tc>
          <w:tcPr>
            <w:tcW w:w="7797" w:type="dxa"/>
          </w:tcPr>
          <w:p w14:paraId="6C3F511E" w14:textId="39432055" w:rsidR="00B76A4E" w:rsidRPr="004C1DA2" w:rsidRDefault="006435EE" w:rsidP="009973B3">
            <w:pPr>
              <w:spacing w:after="120"/>
              <w:rPr>
                <w:rFonts w:cstheme="minorHAnsi"/>
              </w:rPr>
            </w:pPr>
            <w:r w:rsidRPr="004C1DA2">
              <w:rPr>
                <w:rFonts w:cstheme="minorHAnsi"/>
              </w:rPr>
              <w:t>The Commission undertakes</w:t>
            </w:r>
            <w:r w:rsidR="00E01F0A" w:rsidRPr="004C1DA2">
              <w:rPr>
                <w:rFonts w:cstheme="minorHAnsi"/>
              </w:rPr>
              <w:t xml:space="preserve"> both</w:t>
            </w:r>
            <w:r w:rsidRPr="004C1DA2">
              <w:rPr>
                <w:rFonts w:cstheme="minorHAnsi"/>
              </w:rPr>
              <w:t xml:space="preserve"> announced and </w:t>
            </w:r>
            <w:r w:rsidR="006C58A2" w:rsidRPr="004C1DA2">
              <w:rPr>
                <w:rFonts w:cstheme="minorHAnsi"/>
              </w:rPr>
              <w:t>unannounced</w:t>
            </w:r>
            <w:r w:rsidRPr="004C1DA2">
              <w:rPr>
                <w:rFonts w:cstheme="minorHAnsi"/>
              </w:rPr>
              <w:t xml:space="preserve"> quality reviews and assessment contacts of home service providers. </w:t>
            </w:r>
            <w:r w:rsidR="007E0861" w:rsidRPr="004C1DA2">
              <w:rPr>
                <w:rFonts w:cstheme="minorHAnsi"/>
              </w:rPr>
              <w:t xml:space="preserve">Where quality reviews are announced, providers may receive up to </w:t>
            </w:r>
            <w:r w:rsidR="004C1DA2" w:rsidRPr="004C1DA2">
              <w:rPr>
                <w:rFonts w:cstheme="minorHAnsi"/>
              </w:rPr>
              <w:t>2 weeks</w:t>
            </w:r>
            <w:r w:rsidR="60EB6629" w:rsidRPr="004C1DA2">
              <w:rPr>
                <w:rFonts w:cstheme="minorHAnsi"/>
              </w:rPr>
              <w:t>’</w:t>
            </w:r>
            <w:r w:rsidR="007E0861" w:rsidRPr="004C1DA2">
              <w:rPr>
                <w:rFonts w:cstheme="minorHAnsi"/>
              </w:rPr>
              <w:t xml:space="preserve"> notice</w:t>
            </w:r>
            <w:r w:rsidR="006C58A2" w:rsidRPr="004C1DA2">
              <w:rPr>
                <w:rFonts w:cstheme="minorHAnsi"/>
              </w:rPr>
              <w:t xml:space="preserve"> of an upcoming review</w:t>
            </w:r>
            <w:r w:rsidR="0040768E" w:rsidRPr="004C1DA2">
              <w:rPr>
                <w:rFonts w:cstheme="minorHAnsi"/>
              </w:rPr>
              <w:t xml:space="preserve">. It should be noted that </w:t>
            </w:r>
            <w:r w:rsidR="009B74A7" w:rsidRPr="004C1DA2">
              <w:rPr>
                <w:rFonts w:cstheme="minorHAnsi"/>
              </w:rPr>
              <w:t xml:space="preserve">notification timeframes do vary depending on </w:t>
            </w:r>
            <w:r w:rsidR="00280883" w:rsidRPr="004C1DA2">
              <w:rPr>
                <w:rFonts w:cstheme="minorHAnsi"/>
              </w:rPr>
              <w:t>the level of assessed risk to consumers or where operational constraints require</w:t>
            </w:r>
            <w:r w:rsidR="6B1F2F33" w:rsidRPr="004C1DA2">
              <w:rPr>
                <w:rFonts w:cstheme="minorHAnsi"/>
              </w:rPr>
              <w:t xml:space="preserve"> a shorter</w:t>
            </w:r>
            <w:r w:rsidR="25279319" w:rsidRPr="004C1DA2">
              <w:rPr>
                <w:rFonts w:cstheme="minorHAnsi"/>
              </w:rPr>
              <w:t xml:space="preserve"> or longer</w:t>
            </w:r>
            <w:r w:rsidR="6B1F2F33" w:rsidRPr="004C1DA2">
              <w:rPr>
                <w:rFonts w:cstheme="minorHAnsi"/>
              </w:rPr>
              <w:t xml:space="preserve"> notice period</w:t>
            </w:r>
            <w:r w:rsidR="00280883" w:rsidRPr="004C1DA2">
              <w:rPr>
                <w:rFonts w:cstheme="minorHAnsi"/>
              </w:rPr>
              <w:t>.</w:t>
            </w:r>
          </w:p>
          <w:p w14:paraId="78FF4835" w14:textId="18143271" w:rsidR="00B407CB" w:rsidRDefault="4B29BD12" w:rsidP="009973B3">
            <w:pPr>
              <w:spacing w:after="120"/>
              <w:rPr>
                <w:rFonts w:cstheme="minorHAnsi"/>
              </w:rPr>
            </w:pPr>
            <w:r w:rsidRPr="004C1DA2">
              <w:rPr>
                <w:rFonts w:cstheme="minorHAnsi"/>
              </w:rPr>
              <w:t xml:space="preserve">Details on </w:t>
            </w:r>
            <w:r w:rsidR="4A4A16E7" w:rsidRPr="004C1DA2">
              <w:rPr>
                <w:rFonts w:cstheme="minorHAnsi"/>
              </w:rPr>
              <w:t xml:space="preserve">the Commission’s approach to </w:t>
            </w:r>
            <w:r w:rsidRPr="004C1DA2">
              <w:rPr>
                <w:rFonts w:cstheme="minorHAnsi"/>
              </w:rPr>
              <w:t>assessments against the current Aged Care Standards</w:t>
            </w:r>
            <w:r w:rsidR="1E7ECBAD" w:rsidRPr="004C1DA2">
              <w:rPr>
                <w:rFonts w:cstheme="minorHAnsi"/>
              </w:rPr>
              <w:t xml:space="preserve"> </w:t>
            </w:r>
            <w:r w:rsidRPr="004C1DA2">
              <w:rPr>
                <w:rFonts w:cstheme="minorHAnsi"/>
              </w:rPr>
              <w:t>are set out in the Commission’s</w:t>
            </w:r>
            <w:r w:rsidR="00B407CB">
              <w:rPr>
                <w:rFonts w:cstheme="minorHAnsi"/>
              </w:rPr>
              <w:t xml:space="preserve"> </w:t>
            </w:r>
            <w:hyperlink r:id="rId25" w:history="1">
              <w:r w:rsidR="445D0233" w:rsidRPr="001573AD">
                <w:rPr>
                  <w:rStyle w:val="Hyperlink"/>
                </w:rPr>
                <w:t>Regulatory Bulletin RB 2019-</w:t>
              </w:r>
              <w:r w:rsidR="2A0B5674" w:rsidRPr="001573AD">
                <w:rPr>
                  <w:rStyle w:val="Hyperlink"/>
                </w:rPr>
                <w:t xml:space="preserve">05 Aged Care Quality Standards performance assessment </w:t>
              </w:r>
              <w:hyperlink r:id="rId26" w:history="1">
                <w:r w:rsidR="2A0B5674" w:rsidRPr="001573AD">
                  <w:rPr>
                    <w:rStyle w:val="Hyperlink"/>
                  </w:rPr>
                  <w:t>methodology</w:t>
                </w:r>
              </w:hyperlink>
            </w:hyperlink>
            <w:r w:rsidR="7B89AAAC" w:rsidRPr="004C1DA2">
              <w:rPr>
                <w:rFonts w:cstheme="minorHAnsi"/>
              </w:rPr>
              <w:t xml:space="preserve">. </w:t>
            </w:r>
          </w:p>
          <w:p w14:paraId="1BAAC286" w14:textId="177B8739" w:rsidR="001737B5" w:rsidRPr="004C1DA2" w:rsidRDefault="7B89AAAC" w:rsidP="009973B3">
            <w:pPr>
              <w:spacing w:after="120"/>
              <w:rPr>
                <w:rFonts w:cstheme="minorHAnsi"/>
              </w:rPr>
            </w:pPr>
            <w:r w:rsidRPr="004C1DA2">
              <w:rPr>
                <w:rFonts w:cstheme="minorHAnsi"/>
              </w:rPr>
              <w:t>You can also find more information on assessment contacts in the Commission’s</w:t>
            </w:r>
            <w:r w:rsidR="004C1DA2">
              <w:rPr>
                <w:rFonts w:cstheme="minorHAnsi"/>
              </w:rPr>
              <w:t xml:space="preserve"> </w:t>
            </w:r>
            <w:hyperlink r:id="rId27">
              <w:r w:rsidR="76E9752A" w:rsidRPr="004C1DA2">
                <w:rPr>
                  <w:rStyle w:val="Hyperlink"/>
                  <w:rFonts w:cstheme="minorHAnsi"/>
                </w:rPr>
                <w:t>Regulatory Bulletin RB 2020-09 Assessment Contacts in Residential and Home Services</w:t>
              </w:r>
            </w:hyperlink>
            <w:r w:rsidR="76E9752A" w:rsidRPr="004C1DA2">
              <w:rPr>
                <w:rFonts w:cstheme="minorHAnsi"/>
              </w:rPr>
              <w:t>.</w:t>
            </w:r>
            <w:r w:rsidR="1E7ECBAD" w:rsidRPr="004C1DA2">
              <w:rPr>
                <w:rFonts w:cstheme="minorHAnsi"/>
              </w:rPr>
              <w:t xml:space="preserve"> </w:t>
            </w:r>
          </w:p>
        </w:tc>
      </w:tr>
      <w:tr w:rsidR="00506131" w:rsidRPr="004C1DA2" w14:paraId="2C2D4D19" w14:textId="77777777" w:rsidTr="045764E4">
        <w:trPr>
          <w:trHeight w:val="511"/>
        </w:trPr>
        <w:tc>
          <w:tcPr>
            <w:tcW w:w="5665" w:type="dxa"/>
            <w:shd w:val="clear" w:color="auto" w:fill="8EAADB" w:themeFill="accent1" w:themeFillTint="99"/>
            <w:vAlign w:val="center"/>
          </w:tcPr>
          <w:p w14:paraId="56FFCCB1" w14:textId="1E570376" w:rsidR="00506131" w:rsidRPr="004C1DA2" w:rsidRDefault="00506131" w:rsidP="00F03CB9">
            <w:pPr>
              <w:spacing w:after="120"/>
              <w:rPr>
                <w:rFonts w:cstheme="minorHAnsi"/>
                <w:b/>
              </w:rPr>
            </w:pPr>
            <w:r w:rsidRPr="004C1DA2">
              <w:rPr>
                <w:rFonts w:cstheme="minorHAnsi"/>
                <w:b/>
              </w:rPr>
              <w:t xml:space="preserve">RESTRICTIVE PRACTICES </w:t>
            </w:r>
          </w:p>
        </w:tc>
        <w:tc>
          <w:tcPr>
            <w:tcW w:w="7797" w:type="dxa"/>
            <w:shd w:val="clear" w:color="auto" w:fill="8EAADB" w:themeFill="accent1" w:themeFillTint="99"/>
          </w:tcPr>
          <w:p w14:paraId="2E5C7626" w14:textId="77777777" w:rsidR="00506131" w:rsidRPr="004C1DA2" w:rsidRDefault="00506131" w:rsidP="009973B3">
            <w:pPr>
              <w:spacing w:after="120"/>
              <w:rPr>
                <w:rFonts w:cstheme="minorHAnsi"/>
              </w:rPr>
            </w:pPr>
          </w:p>
        </w:tc>
      </w:tr>
      <w:tr w:rsidR="00506131" w:rsidRPr="004C1DA2" w14:paraId="366BF8B8" w14:textId="77777777" w:rsidTr="045764E4">
        <w:trPr>
          <w:trHeight w:val="1056"/>
        </w:trPr>
        <w:tc>
          <w:tcPr>
            <w:tcW w:w="5665" w:type="dxa"/>
            <w:hideMark/>
          </w:tcPr>
          <w:p w14:paraId="28DE382A" w14:textId="074BA76D" w:rsidR="00506131" w:rsidRPr="004C1DA2" w:rsidRDefault="00506131" w:rsidP="009973B3">
            <w:pPr>
              <w:spacing w:after="120"/>
              <w:rPr>
                <w:rFonts w:cstheme="minorHAnsi"/>
              </w:rPr>
            </w:pPr>
            <w:r w:rsidRPr="004C1DA2">
              <w:rPr>
                <w:rFonts w:cstheme="minorHAnsi"/>
              </w:rPr>
              <w:t xml:space="preserve">Do the </w:t>
            </w:r>
            <w:r w:rsidR="00B407CB">
              <w:rPr>
                <w:rFonts w:cstheme="minorHAnsi"/>
              </w:rPr>
              <w:t>r</w:t>
            </w:r>
            <w:r w:rsidR="00B407CB" w:rsidRPr="004C1DA2">
              <w:rPr>
                <w:rFonts w:cstheme="minorHAnsi"/>
              </w:rPr>
              <w:t>estrictive</w:t>
            </w:r>
            <w:r w:rsidR="0012693B">
              <w:rPr>
                <w:rFonts w:cstheme="minorHAnsi"/>
              </w:rPr>
              <w:t xml:space="preserve"> </w:t>
            </w:r>
            <w:r w:rsidR="00B407CB">
              <w:rPr>
                <w:rFonts w:cstheme="minorHAnsi"/>
              </w:rPr>
              <w:t>p</w:t>
            </w:r>
            <w:r w:rsidRPr="004C1DA2">
              <w:rPr>
                <w:rFonts w:cstheme="minorHAnsi"/>
              </w:rPr>
              <w:t xml:space="preserve"> requirement</w:t>
            </w:r>
            <w:r w:rsidR="00A83F76" w:rsidRPr="004C1DA2">
              <w:rPr>
                <w:rFonts w:cstheme="minorHAnsi"/>
              </w:rPr>
              <w:t>s</w:t>
            </w:r>
            <w:r w:rsidRPr="004C1DA2">
              <w:rPr>
                <w:rFonts w:cstheme="minorHAnsi"/>
              </w:rPr>
              <w:t xml:space="preserve"> apply to home care services?</w:t>
            </w:r>
            <w:r w:rsidR="00B407CB">
              <w:rPr>
                <w:rFonts w:cstheme="minorHAnsi"/>
              </w:rPr>
              <w:t xml:space="preserve"> </w:t>
            </w:r>
          </w:p>
        </w:tc>
        <w:tc>
          <w:tcPr>
            <w:tcW w:w="7797" w:type="dxa"/>
            <w:hideMark/>
          </w:tcPr>
          <w:p w14:paraId="2C40816C" w14:textId="562BA191" w:rsidR="00B8670E" w:rsidRPr="004C1DA2" w:rsidRDefault="73BFC83F" w:rsidP="009973B3">
            <w:pPr>
              <w:spacing w:after="120"/>
              <w:rPr>
                <w:rFonts w:cstheme="minorHAnsi"/>
              </w:rPr>
            </w:pPr>
            <w:r w:rsidRPr="004C1DA2">
              <w:rPr>
                <w:rFonts w:cstheme="minorHAnsi"/>
              </w:rPr>
              <w:t xml:space="preserve">The </w:t>
            </w:r>
            <w:r w:rsidR="406DCE54" w:rsidRPr="004C1DA2">
              <w:rPr>
                <w:rFonts w:cstheme="minorHAnsi"/>
              </w:rPr>
              <w:t>legislative requirements</w:t>
            </w:r>
            <w:r w:rsidR="5FA3BC37" w:rsidRPr="004C1DA2">
              <w:rPr>
                <w:rFonts w:cstheme="minorHAnsi"/>
              </w:rPr>
              <w:t xml:space="preserve"> contained in the Quality of Care Principles 2014</w:t>
            </w:r>
            <w:r w:rsidR="406DCE54" w:rsidRPr="004C1DA2">
              <w:rPr>
                <w:rFonts w:cstheme="minorHAnsi"/>
              </w:rPr>
              <w:t xml:space="preserve"> regarding restrictive practices</w:t>
            </w:r>
            <w:r w:rsidR="5FA3BC37" w:rsidRPr="004C1DA2">
              <w:rPr>
                <w:rFonts w:cstheme="minorHAnsi"/>
              </w:rPr>
              <w:t xml:space="preserve"> apply to resid</w:t>
            </w:r>
            <w:r w:rsidR="1EBCCE2A" w:rsidRPr="004C1DA2">
              <w:rPr>
                <w:rFonts w:cstheme="minorHAnsi"/>
              </w:rPr>
              <w:t xml:space="preserve">ential care and </w:t>
            </w:r>
            <w:r w:rsidR="1F52C65B" w:rsidRPr="004C1DA2">
              <w:rPr>
                <w:rFonts w:cstheme="minorHAnsi"/>
              </w:rPr>
              <w:t>flexible care in the form of short</w:t>
            </w:r>
            <w:r w:rsidR="1F52C65B" w:rsidRPr="004C1DA2">
              <w:rPr>
                <w:rFonts w:ascii="Cambria Math" w:hAnsi="Cambria Math" w:cs="Cambria Math"/>
              </w:rPr>
              <w:t>‑</w:t>
            </w:r>
            <w:r w:rsidR="1F52C65B" w:rsidRPr="004C1DA2">
              <w:rPr>
                <w:rFonts w:cstheme="minorHAnsi"/>
              </w:rPr>
              <w:t>term restorative care provided in a residential care setting</w:t>
            </w:r>
            <w:r w:rsidR="3E37FACD" w:rsidRPr="004C1DA2">
              <w:rPr>
                <w:rFonts w:cstheme="minorHAnsi"/>
              </w:rPr>
              <w:t xml:space="preserve">. They do not currently apply to home </w:t>
            </w:r>
            <w:r w:rsidR="0B0363DF" w:rsidRPr="004C1DA2">
              <w:rPr>
                <w:rFonts w:cstheme="minorHAnsi"/>
              </w:rPr>
              <w:t xml:space="preserve">care </w:t>
            </w:r>
            <w:r w:rsidR="3E37FACD" w:rsidRPr="004C1DA2">
              <w:rPr>
                <w:rFonts w:cstheme="minorHAnsi"/>
              </w:rPr>
              <w:t xml:space="preserve">settings. </w:t>
            </w:r>
          </w:p>
          <w:p w14:paraId="16DC2641" w14:textId="73A7D415" w:rsidR="006F2918" w:rsidRPr="004C1DA2" w:rsidRDefault="556195A4" w:rsidP="009973B3">
            <w:pPr>
              <w:spacing w:after="120"/>
              <w:rPr>
                <w:rFonts w:cstheme="minorHAnsi"/>
              </w:rPr>
            </w:pPr>
            <w:r w:rsidRPr="004C1DA2">
              <w:rPr>
                <w:rFonts w:cstheme="minorHAnsi"/>
              </w:rPr>
              <w:t xml:space="preserve">Home </w:t>
            </w:r>
            <w:r w:rsidR="566EEA8D" w:rsidRPr="004C1DA2">
              <w:rPr>
                <w:rFonts w:cstheme="minorHAnsi"/>
              </w:rPr>
              <w:t>services are still required to meet the requirements of the Aged Care Quality Standards</w:t>
            </w:r>
            <w:r w:rsidR="0DC2CEFD" w:rsidRPr="004C1DA2">
              <w:rPr>
                <w:rFonts w:cstheme="minorHAnsi"/>
              </w:rPr>
              <w:t xml:space="preserve">, including treating consumers with dignity and respect (Standard 1), ongoing assessment and planning with consumers (Standard 2), delivering care and services which are safe </w:t>
            </w:r>
            <w:r w:rsidR="36FD656D" w:rsidRPr="004C1DA2">
              <w:rPr>
                <w:rFonts w:cstheme="minorHAnsi"/>
              </w:rPr>
              <w:t>and</w:t>
            </w:r>
            <w:r w:rsidR="17FA55FC" w:rsidRPr="004C1DA2">
              <w:rPr>
                <w:rFonts w:cstheme="minorHAnsi"/>
              </w:rPr>
              <w:t xml:space="preserve"> </w:t>
            </w:r>
            <w:r w:rsidR="36FD656D" w:rsidRPr="004C1DA2">
              <w:rPr>
                <w:rFonts w:cstheme="minorHAnsi"/>
              </w:rPr>
              <w:t xml:space="preserve">responsive to consumers’ changing needs </w:t>
            </w:r>
            <w:r w:rsidR="0DC2CEFD" w:rsidRPr="004C1DA2">
              <w:rPr>
                <w:rFonts w:cstheme="minorHAnsi"/>
              </w:rPr>
              <w:t>(Standard 3) and providing a</w:t>
            </w:r>
            <w:r w:rsidR="17FA55FC" w:rsidRPr="004C1DA2">
              <w:rPr>
                <w:rFonts w:cstheme="minorHAnsi"/>
              </w:rPr>
              <w:t xml:space="preserve">n </w:t>
            </w:r>
            <w:r w:rsidR="0DC2CEFD" w:rsidRPr="004C1DA2">
              <w:rPr>
                <w:rFonts w:cstheme="minorHAnsi"/>
              </w:rPr>
              <w:t xml:space="preserve">environment which encourages free movement (Standard 5). </w:t>
            </w:r>
          </w:p>
          <w:p w14:paraId="7FD2C858" w14:textId="32D35267" w:rsidR="00506131" w:rsidRPr="004C1DA2" w:rsidRDefault="6857B8B2" w:rsidP="009973B3">
            <w:pPr>
              <w:spacing w:after="120"/>
              <w:rPr>
                <w:rFonts w:cstheme="minorHAnsi"/>
              </w:rPr>
            </w:pPr>
            <w:r w:rsidRPr="004C1DA2">
              <w:rPr>
                <w:rFonts w:cstheme="minorHAnsi"/>
              </w:rPr>
              <w:t>U</w:t>
            </w:r>
            <w:r w:rsidR="2433A9B3" w:rsidRPr="004C1DA2">
              <w:rPr>
                <w:rFonts w:cstheme="minorHAnsi"/>
              </w:rPr>
              <w:t xml:space="preserve">nder </w:t>
            </w:r>
            <w:r w:rsidR="00D53FD1" w:rsidRPr="004C1DA2">
              <w:rPr>
                <w:rFonts w:cstheme="minorHAnsi"/>
              </w:rPr>
              <w:t>the Serious Incident Response Scheme (</w:t>
            </w:r>
            <w:r w:rsidR="2433A9B3" w:rsidRPr="004C1DA2">
              <w:rPr>
                <w:rFonts w:cstheme="minorHAnsi"/>
              </w:rPr>
              <w:t>SIRS</w:t>
            </w:r>
            <w:r w:rsidR="00D53FD1" w:rsidRPr="004C1DA2">
              <w:rPr>
                <w:rFonts w:cstheme="minorHAnsi"/>
              </w:rPr>
              <w:t>)</w:t>
            </w:r>
            <w:r w:rsidR="2433A9B3" w:rsidRPr="004C1DA2">
              <w:rPr>
                <w:rFonts w:cstheme="minorHAnsi"/>
              </w:rPr>
              <w:t xml:space="preserve">, there is a responsibility </w:t>
            </w:r>
            <w:r w:rsidRPr="004C1DA2">
              <w:rPr>
                <w:rFonts w:cstheme="minorHAnsi"/>
              </w:rPr>
              <w:t xml:space="preserve">for all providers </w:t>
            </w:r>
            <w:r w:rsidR="2433A9B3" w:rsidRPr="004C1DA2">
              <w:rPr>
                <w:rFonts w:cstheme="minorHAnsi"/>
              </w:rPr>
              <w:t xml:space="preserve">to notify the Commission of reportable incidents related to inappropriate use of restrictive practices. Refer to the </w:t>
            </w:r>
            <w:hyperlink r:id="rId28" w:history="1">
              <w:r w:rsidR="7CF3E6CD" w:rsidRPr="00231140">
                <w:rPr>
                  <w:rStyle w:val="Hyperlink"/>
                  <w:rFonts w:cstheme="minorHAnsi"/>
                </w:rPr>
                <w:t xml:space="preserve">SIRS </w:t>
              </w:r>
              <w:r w:rsidR="2433A9B3" w:rsidRPr="00231140">
                <w:rPr>
                  <w:rStyle w:val="Hyperlink"/>
                  <w:rFonts w:cstheme="minorHAnsi"/>
                </w:rPr>
                <w:t>guidance</w:t>
              </w:r>
              <w:r w:rsidR="7CF3E6CD" w:rsidRPr="00231140">
                <w:rPr>
                  <w:rStyle w:val="Hyperlink"/>
                  <w:rFonts w:cstheme="minorHAnsi"/>
                </w:rPr>
                <w:t xml:space="preserve"> on the Commission’s website</w:t>
              </w:r>
            </w:hyperlink>
            <w:r w:rsidR="2433A9B3" w:rsidRPr="004C1DA2">
              <w:rPr>
                <w:rFonts w:cstheme="minorHAnsi"/>
              </w:rPr>
              <w:t xml:space="preserve"> for </w:t>
            </w:r>
            <w:r w:rsidR="00231140">
              <w:rPr>
                <w:rFonts w:cstheme="minorHAnsi"/>
              </w:rPr>
              <w:t xml:space="preserve">more information. </w:t>
            </w:r>
          </w:p>
          <w:p w14:paraId="701D7DB2" w14:textId="0A03148B" w:rsidR="002A2C96" w:rsidRPr="004C1DA2" w:rsidRDefault="002A2C96" w:rsidP="009973B3">
            <w:pPr>
              <w:spacing w:after="120"/>
              <w:rPr>
                <w:rFonts w:cstheme="minorHAnsi"/>
              </w:rPr>
            </w:pPr>
          </w:p>
        </w:tc>
      </w:tr>
      <w:tr w:rsidR="00506131" w:rsidRPr="004C1DA2" w14:paraId="1EF00DD8" w14:textId="77777777" w:rsidTr="045764E4">
        <w:trPr>
          <w:trHeight w:val="1155"/>
        </w:trPr>
        <w:tc>
          <w:tcPr>
            <w:tcW w:w="5665" w:type="dxa"/>
          </w:tcPr>
          <w:p w14:paraId="673189C7" w14:textId="5A5A9769" w:rsidR="00506131" w:rsidRPr="004C1DA2" w:rsidRDefault="00506131" w:rsidP="009973B3">
            <w:pPr>
              <w:spacing w:after="120"/>
              <w:rPr>
                <w:rFonts w:cstheme="minorHAnsi"/>
              </w:rPr>
            </w:pPr>
            <w:r w:rsidRPr="004C1DA2">
              <w:rPr>
                <w:rFonts w:cstheme="minorHAnsi"/>
              </w:rPr>
              <w:lastRenderedPageBreak/>
              <w:t xml:space="preserve">Can we get clearer guidelines about what is needed for documenting </w:t>
            </w:r>
            <w:r w:rsidR="00B97B88" w:rsidRPr="004C1DA2">
              <w:rPr>
                <w:rFonts w:cstheme="minorHAnsi"/>
              </w:rPr>
              <w:t xml:space="preserve">if </w:t>
            </w:r>
            <w:r w:rsidRPr="004C1DA2">
              <w:rPr>
                <w:rFonts w:cstheme="minorHAnsi"/>
              </w:rPr>
              <w:t xml:space="preserve">a person is able to give consent or authority for restrictive </w:t>
            </w:r>
            <w:r w:rsidR="00546C82" w:rsidRPr="004C1DA2">
              <w:rPr>
                <w:rFonts w:cstheme="minorHAnsi"/>
              </w:rPr>
              <w:t>practice</w:t>
            </w:r>
            <w:r w:rsidR="1EB48B4A" w:rsidRPr="004C1DA2">
              <w:rPr>
                <w:rFonts w:cstheme="minorHAnsi"/>
              </w:rPr>
              <w:t xml:space="preserve"> </w:t>
            </w:r>
            <w:r w:rsidRPr="004C1DA2">
              <w:rPr>
                <w:rFonts w:cstheme="minorHAnsi"/>
              </w:rPr>
              <w:t>with new rules and for each state? How does enduring guardian fit in? Will there be proformas for the authority and for accepting the responsibility? When will it happen?</w:t>
            </w:r>
          </w:p>
        </w:tc>
        <w:tc>
          <w:tcPr>
            <w:tcW w:w="7797" w:type="dxa"/>
          </w:tcPr>
          <w:p w14:paraId="019B69C9" w14:textId="23CC0CBF" w:rsidR="002A2C96" w:rsidRPr="004C1DA2" w:rsidRDefault="382259FC" w:rsidP="009973B3">
            <w:pPr>
              <w:spacing w:after="120"/>
              <w:rPr>
                <w:rFonts w:cstheme="minorHAnsi"/>
              </w:rPr>
            </w:pPr>
            <w:r w:rsidRPr="004C1DA2">
              <w:rPr>
                <w:rFonts w:cstheme="minorHAnsi"/>
              </w:rPr>
              <w:t xml:space="preserve">The Commission has </w:t>
            </w:r>
            <w:hyperlink r:id="rId29" w:history="1">
              <w:r w:rsidR="009D0B7B" w:rsidRPr="009D0B7B">
                <w:rPr>
                  <w:rStyle w:val="Hyperlink"/>
                  <w:rFonts w:cstheme="minorHAnsi"/>
                </w:rPr>
                <w:t xml:space="preserve">restrictive practices </w:t>
              </w:r>
              <w:r w:rsidRPr="009D0B7B">
                <w:rPr>
                  <w:rStyle w:val="Hyperlink"/>
                  <w:rFonts w:cstheme="minorHAnsi"/>
                </w:rPr>
                <w:t>resources</w:t>
              </w:r>
            </w:hyperlink>
            <w:r w:rsidRPr="004C1DA2">
              <w:rPr>
                <w:rFonts w:cstheme="minorHAnsi"/>
              </w:rPr>
              <w:t xml:space="preserve"> available </w:t>
            </w:r>
            <w:r w:rsidR="2CC46E94" w:rsidRPr="004C1DA2">
              <w:rPr>
                <w:rFonts w:cstheme="minorHAnsi"/>
              </w:rPr>
              <w:t xml:space="preserve">on </w:t>
            </w:r>
            <w:r w:rsidR="00547C9A">
              <w:rPr>
                <w:rFonts w:cstheme="minorHAnsi"/>
              </w:rPr>
              <w:t xml:space="preserve">our </w:t>
            </w:r>
            <w:r w:rsidRPr="004C1DA2">
              <w:rPr>
                <w:rFonts w:cstheme="minorHAnsi"/>
              </w:rPr>
              <w:t>website</w:t>
            </w:r>
            <w:r w:rsidR="009D0B7B">
              <w:rPr>
                <w:rFonts w:cstheme="minorHAnsi"/>
              </w:rPr>
              <w:t>.</w:t>
            </w:r>
            <w:r w:rsidR="7161DCAF" w:rsidRPr="004C1DA2">
              <w:rPr>
                <w:rFonts w:cstheme="minorHAnsi"/>
              </w:rPr>
              <w:t xml:space="preserve"> </w:t>
            </w:r>
          </w:p>
          <w:p w14:paraId="727F7673" w14:textId="723D0793" w:rsidR="002A2C96" w:rsidRPr="004C1DA2" w:rsidRDefault="4C5DCDD6" w:rsidP="009973B3">
            <w:pPr>
              <w:spacing w:after="120"/>
              <w:rPr>
                <w:rFonts w:cstheme="minorHAnsi"/>
              </w:rPr>
            </w:pPr>
            <w:r w:rsidRPr="004C1DA2">
              <w:rPr>
                <w:rFonts w:cstheme="minorHAnsi"/>
              </w:rPr>
              <w:t>The Department of Health and Aged Care</w:t>
            </w:r>
            <w:r w:rsidR="5F254178" w:rsidRPr="004C1DA2">
              <w:rPr>
                <w:rFonts w:cstheme="minorHAnsi"/>
              </w:rPr>
              <w:t xml:space="preserve"> has </w:t>
            </w:r>
            <w:hyperlink r:id="rId30" w:history="1">
              <w:r w:rsidR="5F254178" w:rsidRPr="009D0B7B">
                <w:rPr>
                  <w:rStyle w:val="Hyperlink"/>
                  <w:rFonts w:cstheme="minorHAnsi"/>
                </w:rPr>
                <w:t>additional information</w:t>
              </w:r>
            </w:hyperlink>
            <w:r w:rsidR="009D0B7B">
              <w:rPr>
                <w:rFonts w:cstheme="minorHAnsi"/>
              </w:rPr>
              <w:t>,</w:t>
            </w:r>
            <w:r w:rsidR="5F254178" w:rsidRPr="004C1DA2">
              <w:rPr>
                <w:rFonts w:cstheme="minorHAnsi"/>
              </w:rPr>
              <w:t xml:space="preserve"> including a fact sheet</w:t>
            </w:r>
            <w:r w:rsidR="009D0B7B">
              <w:rPr>
                <w:rFonts w:cstheme="minorHAnsi"/>
              </w:rPr>
              <w:t>,</w:t>
            </w:r>
            <w:r w:rsidR="5F254178" w:rsidRPr="004C1DA2">
              <w:rPr>
                <w:rFonts w:cstheme="minorHAnsi"/>
              </w:rPr>
              <w:t xml:space="preserve"> on </w:t>
            </w:r>
            <w:r w:rsidR="688B70FB" w:rsidRPr="004C1DA2">
              <w:rPr>
                <w:rFonts w:cstheme="minorHAnsi"/>
              </w:rPr>
              <w:t>its</w:t>
            </w:r>
            <w:r w:rsidR="5F254178" w:rsidRPr="004C1DA2">
              <w:rPr>
                <w:rFonts w:cstheme="minorHAnsi"/>
              </w:rPr>
              <w:t xml:space="preserve"> website</w:t>
            </w:r>
            <w:r w:rsidR="009D0B7B">
              <w:rPr>
                <w:rFonts w:cstheme="minorHAnsi"/>
              </w:rPr>
              <w:t>.</w:t>
            </w:r>
          </w:p>
        </w:tc>
      </w:tr>
      <w:tr w:rsidR="00506131" w:rsidRPr="004C1DA2" w14:paraId="0B067E8C" w14:textId="77777777" w:rsidTr="045764E4">
        <w:trPr>
          <w:trHeight w:val="420"/>
        </w:trPr>
        <w:tc>
          <w:tcPr>
            <w:tcW w:w="5665" w:type="dxa"/>
            <w:shd w:val="clear" w:color="auto" w:fill="8EAADB" w:themeFill="accent1" w:themeFillTint="99"/>
            <w:vAlign w:val="center"/>
          </w:tcPr>
          <w:p w14:paraId="7A4FD8E1" w14:textId="34FEF671" w:rsidR="00506131" w:rsidRPr="004C1DA2" w:rsidRDefault="00F860D1" w:rsidP="00F03CB9">
            <w:pPr>
              <w:spacing w:after="120"/>
              <w:rPr>
                <w:rFonts w:cstheme="minorHAnsi"/>
                <w:b/>
              </w:rPr>
            </w:pPr>
            <w:r w:rsidRPr="004C1DA2">
              <w:rPr>
                <w:rFonts w:cstheme="minorHAnsi"/>
                <w:b/>
              </w:rPr>
              <w:t xml:space="preserve">SERIOUS INCIDENT RESPONSE SCHEME </w:t>
            </w:r>
            <w:r w:rsidR="00D53FD1" w:rsidRPr="004C1DA2">
              <w:rPr>
                <w:rFonts w:cstheme="minorHAnsi"/>
                <w:b/>
              </w:rPr>
              <w:t>(S</w:t>
            </w:r>
            <w:r w:rsidR="00506131" w:rsidRPr="004C1DA2">
              <w:rPr>
                <w:rFonts w:cstheme="minorHAnsi"/>
                <w:b/>
              </w:rPr>
              <w:t>IRS</w:t>
            </w:r>
            <w:r w:rsidR="00D53FD1" w:rsidRPr="004C1DA2">
              <w:rPr>
                <w:rFonts w:cstheme="minorHAnsi"/>
                <w:b/>
              </w:rPr>
              <w:t>)</w:t>
            </w:r>
          </w:p>
        </w:tc>
        <w:tc>
          <w:tcPr>
            <w:tcW w:w="7797" w:type="dxa"/>
            <w:shd w:val="clear" w:color="auto" w:fill="8EAADB" w:themeFill="accent1" w:themeFillTint="99"/>
          </w:tcPr>
          <w:p w14:paraId="64401F88" w14:textId="1861FE64" w:rsidR="00506131" w:rsidRPr="004C1DA2" w:rsidRDefault="00506131" w:rsidP="009973B3">
            <w:pPr>
              <w:spacing w:after="120"/>
              <w:rPr>
                <w:rFonts w:cstheme="minorHAnsi"/>
              </w:rPr>
            </w:pPr>
          </w:p>
        </w:tc>
      </w:tr>
      <w:tr w:rsidR="00506131" w:rsidRPr="004C1DA2" w14:paraId="2F0D2BA5" w14:textId="77777777" w:rsidTr="045764E4">
        <w:trPr>
          <w:trHeight w:val="600"/>
        </w:trPr>
        <w:tc>
          <w:tcPr>
            <w:tcW w:w="5665" w:type="dxa"/>
            <w:hideMark/>
          </w:tcPr>
          <w:p w14:paraId="1331880B" w14:textId="606F6BBD" w:rsidR="00506131" w:rsidRPr="004C1DA2" w:rsidRDefault="00D53FD1" w:rsidP="009973B3">
            <w:pPr>
              <w:spacing w:after="120"/>
              <w:rPr>
                <w:rFonts w:cstheme="minorHAnsi"/>
              </w:rPr>
            </w:pPr>
            <w:r w:rsidRPr="004C1DA2">
              <w:rPr>
                <w:rFonts w:cstheme="minorHAnsi"/>
              </w:rPr>
              <w:t>W</w:t>
            </w:r>
            <w:r w:rsidR="00506131" w:rsidRPr="004C1DA2">
              <w:rPr>
                <w:rFonts w:cstheme="minorHAnsi"/>
              </w:rPr>
              <w:t xml:space="preserve">here do we find the forms discussed </w:t>
            </w:r>
            <w:r w:rsidRPr="004C1DA2">
              <w:rPr>
                <w:rFonts w:cstheme="minorHAnsi"/>
              </w:rPr>
              <w:t xml:space="preserve">in the webinar </w:t>
            </w:r>
            <w:r w:rsidR="0099720D">
              <w:rPr>
                <w:rFonts w:cstheme="minorHAnsi"/>
              </w:rPr>
              <w:t>–</w:t>
            </w:r>
            <w:r w:rsidR="0099720D" w:rsidRPr="004C1DA2">
              <w:rPr>
                <w:rFonts w:cstheme="minorHAnsi"/>
              </w:rPr>
              <w:t xml:space="preserve"> </w:t>
            </w:r>
            <w:r w:rsidR="00506131" w:rsidRPr="004C1DA2">
              <w:rPr>
                <w:rFonts w:cstheme="minorHAnsi"/>
              </w:rPr>
              <w:t>SIRS approved readiness checklist, factsheets etc and A</w:t>
            </w:r>
            <w:r w:rsidRPr="004C1DA2">
              <w:rPr>
                <w:rFonts w:cstheme="minorHAnsi"/>
              </w:rPr>
              <w:t>lis</w:t>
            </w:r>
            <w:r w:rsidR="00506131" w:rsidRPr="004C1DA2">
              <w:rPr>
                <w:rFonts w:cstheme="minorHAnsi"/>
              </w:rPr>
              <w:t xml:space="preserve"> training</w:t>
            </w:r>
            <w:r w:rsidRPr="004C1DA2">
              <w:rPr>
                <w:rFonts w:cstheme="minorHAnsi"/>
              </w:rPr>
              <w:t xml:space="preserve"> modules</w:t>
            </w:r>
            <w:r w:rsidR="00506131" w:rsidRPr="004C1DA2">
              <w:rPr>
                <w:rFonts w:cstheme="minorHAnsi"/>
              </w:rPr>
              <w:t>?</w:t>
            </w:r>
          </w:p>
        </w:tc>
        <w:tc>
          <w:tcPr>
            <w:tcW w:w="7797" w:type="dxa"/>
            <w:hideMark/>
          </w:tcPr>
          <w:p w14:paraId="6E3CD6E6" w14:textId="42DF42BB" w:rsidR="00506131" w:rsidRPr="004C1DA2" w:rsidRDefault="329E7087" w:rsidP="009973B3">
            <w:pPr>
              <w:spacing w:after="120"/>
              <w:rPr>
                <w:rFonts w:cstheme="minorHAnsi"/>
              </w:rPr>
            </w:pPr>
            <w:r w:rsidRPr="004C1DA2">
              <w:rPr>
                <w:rFonts w:cstheme="minorHAnsi"/>
              </w:rPr>
              <w:t xml:space="preserve">Please refer to the </w:t>
            </w:r>
            <w:hyperlink r:id="rId31" w:history="1">
              <w:r w:rsidRPr="0099720D">
                <w:rPr>
                  <w:rStyle w:val="Hyperlink"/>
                  <w:rFonts w:cstheme="minorHAnsi"/>
                </w:rPr>
                <w:t>SIRS provider resources</w:t>
              </w:r>
            </w:hyperlink>
            <w:r w:rsidRPr="004C1DA2">
              <w:rPr>
                <w:rFonts w:cstheme="minorHAnsi"/>
              </w:rPr>
              <w:t xml:space="preserve"> </w:t>
            </w:r>
            <w:r w:rsidR="0099720D">
              <w:rPr>
                <w:rFonts w:cstheme="minorHAnsi"/>
              </w:rPr>
              <w:t>page</w:t>
            </w:r>
            <w:r w:rsidR="0099720D" w:rsidRPr="004C1DA2">
              <w:rPr>
                <w:rFonts w:cstheme="minorHAnsi"/>
              </w:rPr>
              <w:t xml:space="preserve"> </w:t>
            </w:r>
            <w:r w:rsidRPr="004C1DA2">
              <w:rPr>
                <w:rFonts w:cstheme="minorHAnsi"/>
              </w:rPr>
              <w:t>of our website</w:t>
            </w:r>
            <w:r w:rsidR="0099720D">
              <w:rPr>
                <w:rFonts w:cstheme="minorHAnsi"/>
              </w:rPr>
              <w:t>.</w:t>
            </w:r>
            <w:r w:rsidRPr="004C1DA2">
              <w:rPr>
                <w:rFonts w:cstheme="minorHAnsi"/>
              </w:rPr>
              <w:t xml:space="preserve"> </w:t>
            </w:r>
          </w:p>
        </w:tc>
      </w:tr>
      <w:tr w:rsidR="00506131" w:rsidRPr="004C1DA2" w14:paraId="6969F038" w14:textId="77777777" w:rsidTr="045764E4">
        <w:trPr>
          <w:trHeight w:val="1365"/>
        </w:trPr>
        <w:tc>
          <w:tcPr>
            <w:tcW w:w="5665" w:type="dxa"/>
          </w:tcPr>
          <w:p w14:paraId="275843B4" w14:textId="1A08F64C" w:rsidR="00506131" w:rsidRPr="004C1DA2" w:rsidRDefault="00E93FE9" w:rsidP="009973B3">
            <w:pPr>
              <w:spacing w:after="120"/>
              <w:rPr>
                <w:rFonts w:cstheme="minorHAnsi"/>
              </w:rPr>
            </w:pPr>
            <w:r w:rsidRPr="004C1DA2">
              <w:rPr>
                <w:rFonts w:cstheme="minorHAnsi"/>
              </w:rPr>
              <w:t>If a person in</w:t>
            </w:r>
            <w:r w:rsidR="00712381" w:rsidRPr="004C1DA2">
              <w:rPr>
                <w:rFonts w:cstheme="minorHAnsi"/>
              </w:rPr>
              <w:t xml:space="preserve"> residential aged care </w:t>
            </w:r>
            <w:r w:rsidRPr="004C1DA2">
              <w:rPr>
                <w:rFonts w:cstheme="minorHAnsi"/>
              </w:rPr>
              <w:t xml:space="preserve">dies of </w:t>
            </w:r>
            <w:r w:rsidR="00712381" w:rsidRPr="004C1DA2">
              <w:rPr>
                <w:rFonts w:cstheme="minorHAnsi"/>
              </w:rPr>
              <w:t>s</w:t>
            </w:r>
            <w:r w:rsidRPr="004C1DA2">
              <w:rPr>
                <w:rFonts w:cstheme="minorHAnsi"/>
              </w:rPr>
              <w:t xml:space="preserve">epticaemia from a wound that was not dressed for </w:t>
            </w:r>
            <w:r w:rsidR="00712381" w:rsidRPr="004C1DA2">
              <w:rPr>
                <w:rFonts w:cstheme="minorHAnsi"/>
              </w:rPr>
              <w:t xml:space="preserve">5 </w:t>
            </w:r>
            <w:r w:rsidRPr="004C1DA2">
              <w:rPr>
                <w:rFonts w:cstheme="minorHAnsi"/>
              </w:rPr>
              <w:t>days</w:t>
            </w:r>
            <w:r w:rsidR="00712381" w:rsidRPr="004C1DA2">
              <w:rPr>
                <w:rFonts w:cstheme="minorHAnsi"/>
              </w:rPr>
              <w:t xml:space="preserve">, and </w:t>
            </w:r>
            <w:r w:rsidRPr="004C1DA2">
              <w:rPr>
                <w:rFonts w:cstheme="minorHAnsi"/>
              </w:rPr>
              <w:t xml:space="preserve">the </w:t>
            </w:r>
            <w:r w:rsidR="00892478" w:rsidRPr="004C1DA2">
              <w:rPr>
                <w:rFonts w:cstheme="minorHAnsi"/>
              </w:rPr>
              <w:t>f</w:t>
            </w:r>
            <w:r w:rsidRPr="004C1DA2">
              <w:rPr>
                <w:rFonts w:cstheme="minorHAnsi"/>
              </w:rPr>
              <w:t>acility is asked to do a wound audit and fails</w:t>
            </w:r>
            <w:r w:rsidR="00892478" w:rsidRPr="004C1DA2">
              <w:rPr>
                <w:rFonts w:cstheme="minorHAnsi"/>
              </w:rPr>
              <w:t>,</w:t>
            </w:r>
            <w:r w:rsidRPr="004C1DA2">
              <w:rPr>
                <w:rFonts w:cstheme="minorHAnsi"/>
              </w:rPr>
              <w:t xml:space="preserve"> what will the Commission do</w:t>
            </w:r>
            <w:r w:rsidR="00712381" w:rsidRPr="004C1DA2">
              <w:rPr>
                <w:rFonts w:cstheme="minorHAnsi"/>
              </w:rPr>
              <w:t>? W</w:t>
            </w:r>
            <w:r w:rsidRPr="004C1DA2">
              <w:rPr>
                <w:rFonts w:cstheme="minorHAnsi"/>
              </w:rPr>
              <w:t>ould that information be made available?</w:t>
            </w:r>
          </w:p>
        </w:tc>
        <w:tc>
          <w:tcPr>
            <w:tcW w:w="7797" w:type="dxa"/>
          </w:tcPr>
          <w:p w14:paraId="49284EE2" w14:textId="170318D1" w:rsidR="00871333" w:rsidRPr="004C1DA2" w:rsidRDefault="7619629F" w:rsidP="009973B3">
            <w:pPr>
              <w:spacing w:after="120" w:line="259" w:lineRule="auto"/>
              <w:rPr>
                <w:rFonts w:cstheme="minorHAnsi"/>
              </w:rPr>
            </w:pPr>
            <w:r w:rsidRPr="004C1DA2">
              <w:rPr>
                <w:rFonts w:cstheme="minorHAnsi"/>
              </w:rPr>
              <w:t xml:space="preserve">An incident of this nature </w:t>
            </w:r>
            <w:r w:rsidR="5A277AA5" w:rsidRPr="004C1DA2">
              <w:rPr>
                <w:rFonts w:cstheme="minorHAnsi"/>
              </w:rPr>
              <w:t>is</w:t>
            </w:r>
            <w:r w:rsidRPr="004C1DA2">
              <w:rPr>
                <w:rFonts w:cstheme="minorHAnsi"/>
              </w:rPr>
              <w:t xml:space="preserve"> reportable </w:t>
            </w:r>
            <w:r w:rsidR="3F09DC14" w:rsidRPr="004C1DA2">
              <w:rPr>
                <w:rFonts w:cstheme="minorHAnsi"/>
              </w:rPr>
              <w:t>to the Commission</w:t>
            </w:r>
            <w:r w:rsidR="00BF192A" w:rsidRPr="004C1DA2">
              <w:rPr>
                <w:rFonts w:cstheme="minorHAnsi"/>
              </w:rPr>
              <w:t xml:space="preserve"> through </w:t>
            </w:r>
            <w:r w:rsidRPr="004C1DA2">
              <w:rPr>
                <w:rFonts w:cstheme="minorHAnsi"/>
              </w:rPr>
              <w:t xml:space="preserve">the SIRS </w:t>
            </w:r>
            <w:r w:rsidR="00BF192A" w:rsidRPr="004C1DA2">
              <w:rPr>
                <w:rFonts w:cstheme="minorHAnsi"/>
              </w:rPr>
              <w:t xml:space="preserve">under </w:t>
            </w:r>
            <w:r w:rsidRPr="004C1DA2">
              <w:rPr>
                <w:rFonts w:cstheme="minorHAnsi"/>
              </w:rPr>
              <w:t>both the ‘Unexpected death’ and ‘Neglect’ incident types.</w:t>
            </w:r>
            <w:r w:rsidR="1334D8A4" w:rsidRPr="004C1DA2">
              <w:rPr>
                <w:rFonts w:cstheme="minorHAnsi"/>
              </w:rPr>
              <w:t xml:space="preserve"> </w:t>
            </w:r>
          </w:p>
          <w:p w14:paraId="0202612E" w14:textId="4FC729B0" w:rsidR="00D00439" w:rsidRPr="004C1DA2" w:rsidRDefault="7FC5FCA2" w:rsidP="009973B3">
            <w:pPr>
              <w:spacing w:after="120" w:line="259" w:lineRule="auto"/>
              <w:rPr>
                <w:rFonts w:cstheme="minorHAnsi"/>
              </w:rPr>
            </w:pPr>
            <w:r w:rsidRPr="004C1DA2">
              <w:rPr>
                <w:rFonts w:cstheme="minorHAnsi"/>
              </w:rPr>
              <w:t>T</w:t>
            </w:r>
            <w:r w:rsidR="1CC66AEA" w:rsidRPr="004C1DA2">
              <w:rPr>
                <w:rFonts w:cstheme="minorHAnsi"/>
              </w:rPr>
              <w:t xml:space="preserve">he Commission has the power to take regulatory action(s) as appropriate to respond to </w:t>
            </w:r>
            <w:r w:rsidR="4283BE94" w:rsidRPr="004C1DA2">
              <w:rPr>
                <w:rFonts w:cstheme="minorHAnsi"/>
              </w:rPr>
              <w:t xml:space="preserve">any </w:t>
            </w:r>
            <w:r w:rsidR="008A69ED" w:rsidRPr="004C1DA2">
              <w:rPr>
                <w:rFonts w:cstheme="minorHAnsi"/>
              </w:rPr>
              <w:t xml:space="preserve">identified </w:t>
            </w:r>
            <w:r w:rsidR="1CC66AEA" w:rsidRPr="004C1DA2">
              <w:rPr>
                <w:rFonts w:cstheme="minorHAnsi"/>
              </w:rPr>
              <w:t xml:space="preserve">non-compliance with </w:t>
            </w:r>
            <w:r w:rsidR="02EB16A9" w:rsidRPr="004C1DA2">
              <w:rPr>
                <w:rFonts w:cstheme="minorHAnsi"/>
              </w:rPr>
              <w:t xml:space="preserve">provider </w:t>
            </w:r>
            <w:r w:rsidR="1CC66AEA" w:rsidRPr="004C1DA2">
              <w:rPr>
                <w:rFonts w:cstheme="minorHAnsi"/>
              </w:rPr>
              <w:t>responsibilities</w:t>
            </w:r>
            <w:r w:rsidR="4283BE94" w:rsidRPr="004C1DA2">
              <w:rPr>
                <w:rFonts w:cstheme="minorHAnsi"/>
              </w:rPr>
              <w:t>, including responsibilities</w:t>
            </w:r>
            <w:r w:rsidR="1CC66AEA" w:rsidRPr="004C1DA2">
              <w:rPr>
                <w:rFonts w:cstheme="minorHAnsi"/>
              </w:rPr>
              <w:t xml:space="preserve"> </w:t>
            </w:r>
            <w:r w:rsidR="01085959" w:rsidRPr="004C1DA2">
              <w:rPr>
                <w:rFonts w:cstheme="minorHAnsi"/>
              </w:rPr>
              <w:t>under the SIRS</w:t>
            </w:r>
            <w:r w:rsidR="1CC66AEA" w:rsidRPr="004C1DA2">
              <w:rPr>
                <w:rFonts w:cstheme="minorHAnsi"/>
              </w:rPr>
              <w:t>.</w:t>
            </w:r>
            <w:r w:rsidR="4E394889" w:rsidRPr="004C1DA2">
              <w:rPr>
                <w:rFonts w:cstheme="minorHAnsi"/>
              </w:rPr>
              <w:t xml:space="preserve"> </w:t>
            </w:r>
          </w:p>
          <w:p w14:paraId="6DC96C47" w14:textId="01A8B835" w:rsidR="00AC76B6" w:rsidRDefault="4E394889" w:rsidP="009973B3">
            <w:pPr>
              <w:spacing w:after="120" w:line="259" w:lineRule="auto"/>
              <w:rPr>
                <w:rFonts w:cstheme="minorHAnsi"/>
              </w:rPr>
            </w:pPr>
            <w:r w:rsidRPr="004C1DA2">
              <w:rPr>
                <w:rFonts w:cstheme="minorHAnsi"/>
              </w:rPr>
              <w:t>Any c</w:t>
            </w:r>
            <w:r w:rsidR="03D7FD0E" w:rsidRPr="004C1DA2">
              <w:rPr>
                <w:rFonts w:cstheme="minorHAnsi"/>
              </w:rPr>
              <w:t>ompliance and enfor</w:t>
            </w:r>
            <w:r w:rsidR="3A410351" w:rsidRPr="004C1DA2">
              <w:rPr>
                <w:rFonts w:cstheme="minorHAnsi"/>
              </w:rPr>
              <w:t>cement</w:t>
            </w:r>
            <w:r w:rsidR="1AE08EA0" w:rsidRPr="004C1DA2">
              <w:rPr>
                <w:rFonts w:cstheme="minorHAnsi"/>
              </w:rPr>
              <w:t xml:space="preserve"> action/s taken may be published on the Commission’s website and in My Aged Care.</w:t>
            </w:r>
          </w:p>
          <w:p w14:paraId="002A14BB" w14:textId="228AB482" w:rsidR="00AC76B6" w:rsidRPr="004C1DA2" w:rsidRDefault="00AC76B6" w:rsidP="009973B3">
            <w:pPr>
              <w:spacing w:after="120" w:line="259" w:lineRule="auto"/>
              <w:rPr>
                <w:rFonts w:cstheme="minorHAnsi"/>
              </w:rPr>
            </w:pPr>
            <w:r>
              <w:rPr>
                <w:rFonts w:cstheme="minorHAnsi"/>
              </w:rPr>
              <w:t xml:space="preserve">If you have concerns or would like to make a complaint, please </w:t>
            </w:r>
            <w:hyperlink r:id="rId32" w:history="1">
              <w:r w:rsidRPr="005D5300">
                <w:rPr>
                  <w:rStyle w:val="Hyperlink"/>
                  <w:rFonts w:cstheme="minorHAnsi"/>
                </w:rPr>
                <w:t>contact the Commission</w:t>
              </w:r>
            </w:hyperlink>
            <w:r w:rsidR="005D5300">
              <w:rPr>
                <w:rFonts w:cstheme="minorHAnsi"/>
              </w:rPr>
              <w:t>.</w:t>
            </w:r>
          </w:p>
        </w:tc>
      </w:tr>
      <w:tr w:rsidR="00CD1621" w:rsidRPr="004C1DA2" w14:paraId="3A74FA22" w14:textId="77777777" w:rsidTr="045764E4">
        <w:trPr>
          <w:trHeight w:val="780"/>
        </w:trPr>
        <w:tc>
          <w:tcPr>
            <w:tcW w:w="5665" w:type="dxa"/>
          </w:tcPr>
          <w:p w14:paraId="20318D95" w14:textId="3E3B9181" w:rsidR="00CD1621" w:rsidRPr="004C1DA2" w:rsidRDefault="00CD1621" w:rsidP="009973B3">
            <w:pPr>
              <w:spacing w:after="120"/>
              <w:rPr>
                <w:rFonts w:cstheme="minorHAnsi"/>
              </w:rPr>
            </w:pPr>
            <w:r w:rsidRPr="004C1DA2">
              <w:rPr>
                <w:rFonts w:cstheme="minorHAnsi"/>
              </w:rPr>
              <w:t xml:space="preserve">Do you have a </w:t>
            </w:r>
            <w:r w:rsidR="002568BA">
              <w:rPr>
                <w:rFonts w:cstheme="minorHAnsi"/>
              </w:rPr>
              <w:t>W</w:t>
            </w:r>
            <w:r w:rsidR="002568BA" w:rsidRPr="004C1DA2">
              <w:rPr>
                <w:rFonts w:cstheme="minorHAnsi"/>
              </w:rPr>
              <w:t xml:space="preserve">ord </w:t>
            </w:r>
            <w:r w:rsidRPr="004C1DA2">
              <w:rPr>
                <w:rFonts w:cstheme="minorHAnsi"/>
              </w:rPr>
              <w:t xml:space="preserve">version of the home care SIRS requirement that we can add </w:t>
            </w:r>
            <w:r w:rsidR="003848F6" w:rsidRPr="004C1DA2">
              <w:rPr>
                <w:rFonts w:cstheme="minorHAnsi"/>
              </w:rPr>
              <w:t>directly to</w:t>
            </w:r>
            <w:r w:rsidRPr="004C1DA2">
              <w:rPr>
                <w:rFonts w:cstheme="minorHAnsi"/>
              </w:rPr>
              <w:t xml:space="preserve"> our hazard, incident reporting investigation and </w:t>
            </w:r>
            <w:r w:rsidR="00D00439" w:rsidRPr="004C1DA2">
              <w:rPr>
                <w:rFonts w:cstheme="minorHAnsi"/>
              </w:rPr>
              <w:t>o</w:t>
            </w:r>
            <w:r w:rsidRPr="004C1DA2">
              <w:rPr>
                <w:rFonts w:cstheme="minorHAnsi"/>
              </w:rPr>
              <w:t>utcomes policy?</w:t>
            </w:r>
          </w:p>
        </w:tc>
        <w:tc>
          <w:tcPr>
            <w:tcW w:w="7797" w:type="dxa"/>
          </w:tcPr>
          <w:p w14:paraId="4D35E194" w14:textId="0F72681C" w:rsidR="00B75611" w:rsidRPr="009973B3" w:rsidRDefault="4FAA5DDE" w:rsidP="045764E4">
            <w:pPr>
              <w:spacing w:after="120"/>
            </w:pPr>
            <w:r w:rsidRPr="045764E4">
              <w:t xml:space="preserve">Please refer to the </w:t>
            </w:r>
            <w:hyperlink r:id="rId33">
              <w:r w:rsidRPr="045764E4">
                <w:rPr>
                  <w:rStyle w:val="Hyperlink"/>
                </w:rPr>
                <w:t>SIRS provider resources</w:t>
              </w:r>
            </w:hyperlink>
            <w:r w:rsidRPr="045764E4">
              <w:t xml:space="preserve"> </w:t>
            </w:r>
            <w:r w:rsidR="002568BA" w:rsidRPr="045764E4">
              <w:t xml:space="preserve">page </w:t>
            </w:r>
            <w:r w:rsidRPr="045764E4">
              <w:t>of the Commission’s website</w:t>
            </w:r>
            <w:r w:rsidR="002568BA" w:rsidRPr="045764E4">
              <w:t xml:space="preserve">. </w:t>
            </w:r>
            <w:r w:rsidRPr="045764E4">
              <w:t xml:space="preserve"> </w:t>
            </w:r>
          </w:p>
          <w:p w14:paraId="28114AF2" w14:textId="7BBFC72E" w:rsidR="00CD1621" w:rsidRPr="004C1DA2" w:rsidRDefault="4FAA5DDE" w:rsidP="009973B3">
            <w:pPr>
              <w:spacing w:after="120"/>
              <w:rPr>
                <w:rStyle w:val="Hyperlink"/>
                <w:rFonts w:cstheme="minorHAnsi"/>
              </w:rPr>
            </w:pPr>
            <w:r w:rsidRPr="004C1DA2">
              <w:rPr>
                <w:rFonts w:cstheme="minorHAnsi"/>
              </w:rPr>
              <w:t xml:space="preserve">On this page you will find a link to the </w:t>
            </w:r>
            <w:hyperlink r:id="rId34" w:history="1">
              <w:r w:rsidRPr="005448DB">
                <w:rPr>
                  <w:rStyle w:val="Hyperlink"/>
                  <w:rFonts w:cstheme="minorHAnsi"/>
                </w:rPr>
                <w:t>Serious Incident Response Scheme: Guidelines for home service providers</w:t>
              </w:r>
            </w:hyperlink>
            <w:r w:rsidR="005448DB">
              <w:rPr>
                <w:rFonts w:cstheme="minorHAnsi"/>
              </w:rPr>
              <w:t xml:space="preserve"> document</w:t>
            </w:r>
            <w:r w:rsidRPr="004C1DA2">
              <w:rPr>
                <w:rFonts w:cstheme="minorHAnsi"/>
              </w:rPr>
              <w:t>, which, although not in Word format, contains key information about the SIRS requirements for home care</w:t>
            </w:r>
            <w:r w:rsidR="5B6BE074" w:rsidRPr="004C1DA2">
              <w:rPr>
                <w:rFonts w:cstheme="minorHAnsi"/>
              </w:rPr>
              <w:t>.</w:t>
            </w:r>
          </w:p>
        </w:tc>
      </w:tr>
      <w:tr w:rsidR="00CD1621" w:rsidRPr="004C1DA2" w14:paraId="42FC832A" w14:textId="77777777" w:rsidTr="045764E4">
        <w:trPr>
          <w:trHeight w:val="600"/>
        </w:trPr>
        <w:tc>
          <w:tcPr>
            <w:tcW w:w="5665" w:type="dxa"/>
          </w:tcPr>
          <w:p w14:paraId="34ACCA7C" w14:textId="15F2D1A0" w:rsidR="00CD1621" w:rsidRPr="004C1DA2" w:rsidRDefault="00CD1621" w:rsidP="009973B3">
            <w:pPr>
              <w:spacing w:after="120"/>
              <w:rPr>
                <w:rFonts w:cstheme="minorHAnsi"/>
              </w:rPr>
            </w:pPr>
            <w:r w:rsidRPr="004C1DA2">
              <w:rPr>
                <w:rFonts w:cstheme="minorHAnsi"/>
              </w:rPr>
              <w:t>In the home care situation</w:t>
            </w:r>
            <w:r w:rsidR="003848F6" w:rsidRPr="004C1DA2">
              <w:rPr>
                <w:rFonts w:cstheme="minorHAnsi"/>
              </w:rPr>
              <w:t>, i</w:t>
            </w:r>
            <w:r w:rsidRPr="004C1DA2">
              <w:rPr>
                <w:rFonts w:cstheme="minorHAnsi"/>
              </w:rPr>
              <w:t xml:space="preserve">f a staff member </w:t>
            </w:r>
            <w:r w:rsidR="00D00439" w:rsidRPr="004C1DA2">
              <w:rPr>
                <w:rFonts w:cstheme="minorHAnsi"/>
              </w:rPr>
              <w:t>(</w:t>
            </w:r>
            <w:r w:rsidR="001A63B8" w:rsidRPr="004C1DA2">
              <w:rPr>
                <w:rFonts w:cstheme="minorHAnsi"/>
              </w:rPr>
              <w:t>e.g.</w:t>
            </w:r>
            <w:r w:rsidRPr="004C1DA2">
              <w:rPr>
                <w:rFonts w:cstheme="minorHAnsi"/>
              </w:rPr>
              <w:t xml:space="preserve"> a case manager</w:t>
            </w:r>
            <w:r w:rsidR="00D00439" w:rsidRPr="004C1DA2">
              <w:rPr>
                <w:rFonts w:cstheme="minorHAnsi"/>
              </w:rPr>
              <w:t>)</w:t>
            </w:r>
            <w:r w:rsidRPr="004C1DA2">
              <w:rPr>
                <w:rFonts w:cstheme="minorHAnsi"/>
              </w:rPr>
              <w:t xml:space="preserve"> suspects that a family member is abusing a client, is </w:t>
            </w:r>
            <w:proofErr w:type="gramStart"/>
            <w:r w:rsidRPr="004C1DA2">
              <w:rPr>
                <w:rFonts w:cstheme="minorHAnsi"/>
              </w:rPr>
              <w:t>this a</w:t>
            </w:r>
            <w:proofErr w:type="gramEnd"/>
            <w:r w:rsidRPr="004C1DA2">
              <w:rPr>
                <w:rFonts w:cstheme="minorHAnsi"/>
              </w:rPr>
              <w:t xml:space="preserve"> SIRS report?</w:t>
            </w:r>
          </w:p>
        </w:tc>
        <w:tc>
          <w:tcPr>
            <w:tcW w:w="7797" w:type="dxa"/>
          </w:tcPr>
          <w:p w14:paraId="1B537DC7" w14:textId="5965CE90" w:rsidR="00E01EE4" w:rsidRPr="004C1DA2" w:rsidRDefault="00E01EE4" w:rsidP="009973B3">
            <w:pPr>
              <w:spacing w:after="120"/>
              <w:rPr>
                <w:rFonts w:cstheme="minorHAnsi"/>
              </w:rPr>
            </w:pPr>
            <w:r w:rsidRPr="004C1DA2">
              <w:rPr>
                <w:rFonts w:cstheme="minorHAnsi"/>
              </w:rPr>
              <w:t xml:space="preserve">Any potential abuse or mistreatment of an elder person is unacceptable and must not be ignored. </w:t>
            </w:r>
          </w:p>
          <w:p w14:paraId="31D11F84" w14:textId="22CA5254" w:rsidR="003732F5" w:rsidRPr="004C1DA2" w:rsidRDefault="00E01EE4" w:rsidP="009973B3">
            <w:pPr>
              <w:spacing w:after="120"/>
              <w:rPr>
                <w:rFonts w:cstheme="minorHAnsi"/>
              </w:rPr>
            </w:pPr>
            <w:r w:rsidRPr="004C1DA2">
              <w:rPr>
                <w:rFonts w:cstheme="minorHAnsi"/>
              </w:rPr>
              <w:lastRenderedPageBreak/>
              <w:t>T</w:t>
            </w:r>
            <w:r w:rsidR="10CE68D1" w:rsidRPr="004C1DA2">
              <w:rPr>
                <w:rFonts w:cstheme="minorHAnsi"/>
              </w:rPr>
              <w:t>he SIRS does not require</w:t>
            </w:r>
            <w:r w:rsidR="469BF866" w:rsidRPr="004C1DA2">
              <w:rPr>
                <w:rFonts w:cstheme="minorHAnsi"/>
              </w:rPr>
              <w:t xml:space="preserve"> providers</w:t>
            </w:r>
            <w:r w:rsidR="1B840824" w:rsidRPr="004C1DA2">
              <w:rPr>
                <w:rFonts w:cstheme="minorHAnsi"/>
              </w:rPr>
              <w:t xml:space="preserve"> to prevent, manage or report</w:t>
            </w:r>
            <w:r w:rsidR="2C7B54F1" w:rsidRPr="004C1DA2">
              <w:rPr>
                <w:rFonts w:cstheme="minorHAnsi"/>
              </w:rPr>
              <w:t xml:space="preserve"> to the Commission</w:t>
            </w:r>
            <w:r w:rsidR="2F0AA070" w:rsidRPr="004C1DA2">
              <w:rPr>
                <w:rFonts w:cstheme="minorHAnsi"/>
              </w:rPr>
              <w:t xml:space="preserve"> a consumer being abused by a family member.</w:t>
            </w:r>
            <w:r w:rsidR="570EA53C" w:rsidRPr="004C1DA2">
              <w:rPr>
                <w:rFonts w:cstheme="minorHAnsi"/>
              </w:rPr>
              <w:t xml:space="preserve"> </w:t>
            </w:r>
            <w:r w:rsidR="10CE68D1" w:rsidRPr="004C1DA2">
              <w:rPr>
                <w:rFonts w:cstheme="minorHAnsi"/>
              </w:rPr>
              <w:t>T</w:t>
            </w:r>
            <w:r w:rsidR="570EA53C" w:rsidRPr="004C1DA2">
              <w:rPr>
                <w:rFonts w:cstheme="minorHAnsi"/>
              </w:rPr>
              <w:t xml:space="preserve">he SIRS </w:t>
            </w:r>
            <w:r w:rsidR="3BFA8BF3" w:rsidRPr="004C1DA2">
              <w:rPr>
                <w:rFonts w:cstheme="minorHAnsi"/>
              </w:rPr>
              <w:t>applies to</w:t>
            </w:r>
            <w:r w:rsidR="570EA53C" w:rsidRPr="004C1DA2">
              <w:rPr>
                <w:rFonts w:cstheme="minorHAnsi"/>
              </w:rPr>
              <w:t xml:space="preserve"> incidents that occur in connection with the provision of care and services</w:t>
            </w:r>
            <w:r w:rsidR="6880F95F" w:rsidRPr="004C1DA2">
              <w:rPr>
                <w:rFonts w:cstheme="minorHAnsi"/>
              </w:rPr>
              <w:t xml:space="preserve"> </w:t>
            </w:r>
            <w:r w:rsidR="5D52830F" w:rsidRPr="004C1DA2">
              <w:rPr>
                <w:rFonts w:cstheme="minorHAnsi"/>
              </w:rPr>
              <w:t>to consumers.</w:t>
            </w:r>
          </w:p>
          <w:p w14:paraId="2D6F0E43" w14:textId="0D7009C0" w:rsidR="00010555" w:rsidRPr="004C1DA2" w:rsidRDefault="00075A2E" w:rsidP="009973B3">
            <w:pPr>
              <w:spacing w:after="120"/>
              <w:rPr>
                <w:rFonts w:cstheme="minorHAnsi"/>
              </w:rPr>
            </w:pPr>
            <w:r>
              <w:rPr>
                <w:rFonts w:cstheme="minorHAnsi"/>
              </w:rPr>
              <w:t>However, p</w:t>
            </w:r>
            <w:r w:rsidR="458046D8" w:rsidRPr="004C1DA2">
              <w:rPr>
                <w:rFonts w:cstheme="minorHAnsi"/>
              </w:rPr>
              <w:t>rovider</w:t>
            </w:r>
            <w:r w:rsidR="127951B8" w:rsidRPr="004C1DA2">
              <w:rPr>
                <w:rFonts w:cstheme="minorHAnsi"/>
              </w:rPr>
              <w:t>s</w:t>
            </w:r>
            <w:r w:rsidR="458046D8" w:rsidRPr="004C1DA2">
              <w:rPr>
                <w:rFonts w:cstheme="minorHAnsi"/>
              </w:rPr>
              <w:t xml:space="preserve"> of aged care are </w:t>
            </w:r>
            <w:r w:rsidR="5BB1A1AC" w:rsidRPr="004C1DA2">
              <w:rPr>
                <w:rFonts w:cstheme="minorHAnsi"/>
              </w:rPr>
              <w:t>in a unique position to be able to support and assist consumers who may be subjected to abuse</w:t>
            </w:r>
            <w:r w:rsidR="3D7DD736" w:rsidRPr="004C1DA2">
              <w:rPr>
                <w:rFonts w:cstheme="minorHAnsi"/>
              </w:rPr>
              <w:t xml:space="preserve">, </w:t>
            </w:r>
            <w:r w:rsidR="5BB1A1AC" w:rsidRPr="004C1DA2">
              <w:rPr>
                <w:rFonts w:cstheme="minorHAnsi"/>
              </w:rPr>
              <w:t xml:space="preserve">and </w:t>
            </w:r>
            <w:r w:rsidR="004C1DA2">
              <w:rPr>
                <w:rFonts w:cstheme="minorHAnsi"/>
              </w:rPr>
              <w:t xml:space="preserve">they </w:t>
            </w:r>
            <w:r w:rsidR="5BB1A1AC" w:rsidRPr="004C1DA2">
              <w:rPr>
                <w:rFonts w:cstheme="minorHAnsi"/>
              </w:rPr>
              <w:t>should act</w:t>
            </w:r>
            <w:r w:rsidR="52151BD3" w:rsidRPr="004C1DA2">
              <w:rPr>
                <w:rFonts w:cstheme="minorHAnsi"/>
              </w:rPr>
              <w:t xml:space="preserve"> in the best </w:t>
            </w:r>
            <w:r w:rsidR="65F40753" w:rsidRPr="004C1DA2">
              <w:rPr>
                <w:rFonts w:cstheme="minorHAnsi"/>
              </w:rPr>
              <w:t>interests</w:t>
            </w:r>
            <w:r w:rsidR="52151BD3" w:rsidRPr="004C1DA2">
              <w:rPr>
                <w:rFonts w:cstheme="minorHAnsi"/>
              </w:rPr>
              <w:t xml:space="preserve"> of the consumers to protect their wellbeing</w:t>
            </w:r>
            <w:r w:rsidR="0477C5F6" w:rsidRPr="004C1DA2">
              <w:rPr>
                <w:rFonts w:cstheme="minorHAnsi"/>
              </w:rPr>
              <w:t xml:space="preserve"> in line with the Aged Care Quality Standards</w:t>
            </w:r>
            <w:r w:rsidR="52151BD3" w:rsidRPr="004C1DA2">
              <w:rPr>
                <w:rFonts w:cstheme="minorHAnsi"/>
              </w:rPr>
              <w:t xml:space="preserve">. </w:t>
            </w:r>
            <w:r w:rsidR="376C5BDB" w:rsidRPr="004C1DA2">
              <w:rPr>
                <w:rFonts w:cstheme="minorHAnsi"/>
              </w:rPr>
              <w:t xml:space="preserve">Providers </w:t>
            </w:r>
            <w:r w:rsidR="52151BD3" w:rsidRPr="004C1DA2">
              <w:rPr>
                <w:rFonts w:cstheme="minorHAnsi"/>
              </w:rPr>
              <w:t xml:space="preserve">may </w:t>
            </w:r>
            <w:r w:rsidR="1AE2A900" w:rsidRPr="004C1DA2">
              <w:rPr>
                <w:rFonts w:cstheme="minorHAnsi"/>
              </w:rPr>
              <w:t>connect</w:t>
            </w:r>
            <w:r w:rsidR="3B497EE1" w:rsidRPr="004C1DA2">
              <w:rPr>
                <w:rFonts w:cstheme="minorHAnsi"/>
              </w:rPr>
              <w:t xml:space="preserve"> consumers, their carers and loved ones with a range of services that offer support</w:t>
            </w:r>
            <w:r w:rsidR="1379FAD0" w:rsidRPr="004C1DA2">
              <w:rPr>
                <w:rFonts w:cstheme="minorHAnsi"/>
              </w:rPr>
              <w:t>, information, education and advice about identifying and responding to elder abuse</w:t>
            </w:r>
            <w:r w:rsidR="2B3D029E" w:rsidRPr="004C1DA2">
              <w:rPr>
                <w:rFonts w:cstheme="minorHAnsi"/>
              </w:rPr>
              <w:t xml:space="preserve">, for example </w:t>
            </w:r>
            <w:r w:rsidR="1379FAD0" w:rsidRPr="004C1DA2">
              <w:rPr>
                <w:rFonts w:cstheme="minorHAnsi"/>
              </w:rPr>
              <w:t xml:space="preserve">the </w:t>
            </w:r>
            <w:hyperlink r:id="rId35" w:history="1">
              <w:r w:rsidR="1379FAD0" w:rsidRPr="004C1DA2">
                <w:rPr>
                  <w:rStyle w:val="Hyperlink"/>
                  <w:rFonts w:cstheme="minorHAnsi"/>
                </w:rPr>
                <w:t>Older Persons Ad</w:t>
              </w:r>
              <w:r w:rsidR="4D62C234" w:rsidRPr="004C1DA2">
                <w:rPr>
                  <w:rStyle w:val="Hyperlink"/>
                  <w:rFonts w:cstheme="minorHAnsi"/>
                </w:rPr>
                <w:t>vocacy Network</w:t>
              </w:r>
            </w:hyperlink>
            <w:r w:rsidR="4D62C234" w:rsidRPr="004C1DA2">
              <w:rPr>
                <w:rFonts w:cstheme="minorHAnsi"/>
              </w:rPr>
              <w:t xml:space="preserve"> </w:t>
            </w:r>
            <w:r w:rsidR="00E00999">
              <w:rPr>
                <w:rFonts w:cstheme="minorHAnsi"/>
              </w:rPr>
              <w:t>or</w:t>
            </w:r>
            <w:r w:rsidR="4D62C234" w:rsidRPr="004C1DA2">
              <w:rPr>
                <w:rFonts w:cstheme="minorHAnsi"/>
              </w:rPr>
              <w:t xml:space="preserve"> the free national elder abuse phone line, 1800 ELDERHelp (1800 </w:t>
            </w:r>
            <w:r w:rsidR="0731AC75" w:rsidRPr="004C1DA2">
              <w:rPr>
                <w:rFonts w:cstheme="minorHAnsi"/>
              </w:rPr>
              <w:t>353 374)</w:t>
            </w:r>
            <w:r w:rsidR="008C5055">
              <w:rPr>
                <w:rFonts w:cstheme="minorHAnsi"/>
              </w:rPr>
              <w:t>.</w:t>
            </w:r>
          </w:p>
          <w:p w14:paraId="63E0D29B" w14:textId="4F14A7F1" w:rsidR="00A3768D" w:rsidRPr="004C1DA2" w:rsidRDefault="00AA282C" w:rsidP="009973B3">
            <w:pPr>
              <w:spacing w:after="120"/>
              <w:rPr>
                <w:rFonts w:cstheme="minorHAnsi"/>
              </w:rPr>
            </w:pPr>
            <w:r w:rsidRPr="004C1DA2">
              <w:rPr>
                <w:rFonts w:cstheme="minorHAnsi"/>
              </w:rPr>
              <w:t xml:space="preserve">If you are </w:t>
            </w:r>
            <w:r w:rsidR="67CA7B77" w:rsidRPr="004C1DA2">
              <w:rPr>
                <w:rFonts w:cstheme="minorHAnsi"/>
              </w:rPr>
              <w:t xml:space="preserve">in any doubt about whether an incident is of </w:t>
            </w:r>
            <w:r w:rsidR="00264FF8">
              <w:rPr>
                <w:rFonts w:cstheme="minorHAnsi"/>
              </w:rPr>
              <w:t xml:space="preserve">a </w:t>
            </w:r>
            <w:r w:rsidR="67CA7B77" w:rsidRPr="004C1DA2">
              <w:rPr>
                <w:rFonts w:cstheme="minorHAnsi"/>
              </w:rPr>
              <w:t xml:space="preserve">criminal nature, make a report to the police. Police are the appropriate authority to investigate </w:t>
            </w:r>
            <w:r w:rsidR="5ACEE971" w:rsidRPr="004C1DA2">
              <w:rPr>
                <w:rFonts w:cstheme="minorHAnsi"/>
              </w:rPr>
              <w:t>and identify whether an incident may involve criminal conduct.</w:t>
            </w:r>
            <w:r w:rsidR="67CA7B77" w:rsidRPr="004C1DA2">
              <w:rPr>
                <w:rFonts w:cstheme="minorHAnsi"/>
              </w:rPr>
              <w:t xml:space="preserve"> </w:t>
            </w:r>
          </w:p>
        </w:tc>
      </w:tr>
      <w:tr w:rsidR="00A87B89" w:rsidRPr="004C1DA2" w14:paraId="74DAED56" w14:textId="77777777" w:rsidTr="045764E4">
        <w:trPr>
          <w:trHeight w:val="1286"/>
        </w:trPr>
        <w:tc>
          <w:tcPr>
            <w:tcW w:w="5665" w:type="dxa"/>
          </w:tcPr>
          <w:p w14:paraId="455CC613" w14:textId="1E32C725" w:rsidR="00A87B89" w:rsidRPr="004C1DA2" w:rsidRDefault="00A87B89" w:rsidP="009973B3">
            <w:pPr>
              <w:spacing w:after="120"/>
              <w:rPr>
                <w:rFonts w:cstheme="minorHAnsi"/>
              </w:rPr>
            </w:pPr>
            <w:r w:rsidRPr="004C1DA2">
              <w:rPr>
                <w:rFonts w:cstheme="minorHAnsi"/>
              </w:rPr>
              <w:lastRenderedPageBreak/>
              <w:t>Residential aged care now carries a huge burden of reporting around SIRS incidents. Completing a SIRS report is time consuming and requires detailed information that is not always immediately accessible. Many of these incidents get closed off without any further information request.</w:t>
            </w:r>
            <w:r w:rsidR="00B407CB">
              <w:rPr>
                <w:rFonts w:cstheme="minorHAnsi"/>
              </w:rPr>
              <w:t xml:space="preserve"> </w:t>
            </w:r>
            <w:r w:rsidRPr="004C1DA2">
              <w:rPr>
                <w:rFonts w:cstheme="minorHAnsi"/>
              </w:rPr>
              <w:t xml:space="preserve">We seem to be reporting for the sake of compliance, with little sense </w:t>
            </w:r>
            <w:r w:rsidR="00A34C16">
              <w:rPr>
                <w:rFonts w:cstheme="minorHAnsi"/>
              </w:rPr>
              <w:t xml:space="preserve">that </w:t>
            </w:r>
            <w:r w:rsidRPr="004C1DA2">
              <w:rPr>
                <w:rFonts w:cstheme="minorHAnsi"/>
              </w:rPr>
              <w:t xml:space="preserve">anything is done with the enormous amount of information we submit. What does the </w:t>
            </w:r>
            <w:r w:rsidR="008362D4" w:rsidRPr="004C1DA2">
              <w:rPr>
                <w:rFonts w:cstheme="minorHAnsi"/>
              </w:rPr>
              <w:t>Commission</w:t>
            </w:r>
            <w:r w:rsidRPr="004C1DA2">
              <w:rPr>
                <w:rFonts w:cstheme="minorHAnsi"/>
              </w:rPr>
              <w:t xml:space="preserve"> do with the vast amount of data around SIRS that we are submitting now?</w:t>
            </w:r>
          </w:p>
        </w:tc>
        <w:tc>
          <w:tcPr>
            <w:tcW w:w="7797" w:type="dxa"/>
          </w:tcPr>
          <w:p w14:paraId="5E43337A" w14:textId="5CF70426" w:rsidR="004C1DA2" w:rsidRDefault="31B05C8B" w:rsidP="009973B3">
            <w:pPr>
              <w:spacing w:after="120"/>
              <w:rPr>
                <w:rFonts w:cstheme="minorHAnsi"/>
              </w:rPr>
            </w:pPr>
            <w:r w:rsidRPr="004C1DA2">
              <w:rPr>
                <w:rFonts w:cstheme="minorHAnsi"/>
              </w:rPr>
              <w:t xml:space="preserve">The SIRS is aimed at reducing the risk </w:t>
            </w:r>
            <w:r w:rsidR="33E057B9" w:rsidRPr="004C1DA2">
              <w:rPr>
                <w:rFonts w:cstheme="minorHAnsi"/>
              </w:rPr>
              <w:t xml:space="preserve">and occurrence </w:t>
            </w:r>
            <w:r w:rsidRPr="004C1DA2">
              <w:rPr>
                <w:rFonts w:cstheme="minorHAnsi"/>
              </w:rPr>
              <w:t>of abuse and neglect of older Australians receiving</w:t>
            </w:r>
            <w:r w:rsidR="479B6669" w:rsidRPr="004C1DA2">
              <w:rPr>
                <w:rFonts w:cstheme="minorHAnsi"/>
              </w:rPr>
              <w:t xml:space="preserve"> Commonwealth-subsidised</w:t>
            </w:r>
            <w:r w:rsidRPr="004C1DA2">
              <w:rPr>
                <w:rFonts w:cstheme="minorHAnsi"/>
              </w:rPr>
              <w:t xml:space="preserve"> aged care services.</w:t>
            </w:r>
          </w:p>
          <w:p w14:paraId="75C6399C" w14:textId="1D0E995B" w:rsidR="005475F4" w:rsidRPr="004C1DA2" w:rsidRDefault="3C464D38" w:rsidP="009973B3">
            <w:pPr>
              <w:spacing w:after="120"/>
              <w:rPr>
                <w:rFonts w:cstheme="minorHAnsi"/>
              </w:rPr>
            </w:pPr>
            <w:r w:rsidRPr="004C1DA2">
              <w:rPr>
                <w:rFonts w:cstheme="minorHAnsi"/>
              </w:rPr>
              <w:t xml:space="preserve">Information notified through the SIRS and other sources gives the Commission valuable regulatory </w:t>
            </w:r>
            <w:r w:rsidR="3D287005" w:rsidRPr="004C1DA2">
              <w:rPr>
                <w:rFonts w:cstheme="minorHAnsi"/>
              </w:rPr>
              <w:t>intelligence and data to enable the Commission</w:t>
            </w:r>
            <w:r w:rsidR="41EF3D72" w:rsidRPr="004C1DA2">
              <w:rPr>
                <w:rFonts w:cstheme="minorHAnsi"/>
              </w:rPr>
              <w:t xml:space="preserve"> to more effectively detect</w:t>
            </w:r>
            <w:r w:rsidR="341F6D17" w:rsidRPr="004C1DA2">
              <w:rPr>
                <w:rFonts w:cstheme="minorHAnsi"/>
              </w:rPr>
              <w:t>, analyse and respond to risks to consumers</w:t>
            </w:r>
            <w:r w:rsidR="141ADD7B" w:rsidRPr="004C1DA2">
              <w:rPr>
                <w:rFonts w:cstheme="minorHAnsi"/>
              </w:rPr>
              <w:t>, including the risk of abuse and neglect</w:t>
            </w:r>
            <w:r w:rsidR="341F6D17" w:rsidRPr="004C1DA2">
              <w:rPr>
                <w:rFonts w:cstheme="minorHAnsi"/>
              </w:rPr>
              <w:t xml:space="preserve">. Intelligence and data </w:t>
            </w:r>
            <w:r w:rsidR="00012706" w:rsidRPr="004C1DA2">
              <w:rPr>
                <w:rFonts w:cstheme="minorHAnsi"/>
              </w:rPr>
              <w:t>inform</w:t>
            </w:r>
            <w:r w:rsidR="341F6D17" w:rsidRPr="004C1DA2">
              <w:rPr>
                <w:rFonts w:cstheme="minorHAnsi"/>
              </w:rPr>
              <w:t xml:space="preserve"> </w:t>
            </w:r>
            <w:r w:rsidR="5E55D9AC" w:rsidRPr="004C1DA2">
              <w:rPr>
                <w:rFonts w:cstheme="minorHAnsi"/>
              </w:rPr>
              <w:t>the Commission’s risk profiling of providers and the prioritisation and scope of monitoring act</w:t>
            </w:r>
            <w:r w:rsidR="5161F4D5" w:rsidRPr="004C1DA2">
              <w:rPr>
                <w:rFonts w:cstheme="minorHAnsi"/>
              </w:rPr>
              <w:t xml:space="preserve">ivities. </w:t>
            </w:r>
            <w:r w:rsidR="00A40E92">
              <w:rPr>
                <w:rFonts w:cstheme="minorHAnsi"/>
              </w:rPr>
              <w:t>This i</w:t>
            </w:r>
            <w:r w:rsidR="00A40E92" w:rsidRPr="004C1DA2">
              <w:rPr>
                <w:rFonts w:cstheme="minorHAnsi"/>
              </w:rPr>
              <w:t>ntelligence and data</w:t>
            </w:r>
            <w:r w:rsidR="5161F4D5" w:rsidRPr="004C1DA2">
              <w:rPr>
                <w:rFonts w:cstheme="minorHAnsi"/>
              </w:rPr>
              <w:t xml:space="preserve"> also supports the development of sector education and target</w:t>
            </w:r>
            <w:r w:rsidR="005020A0" w:rsidRPr="004C1DA2">
              <w:rPr>
                <w:rFonts w:cstheme="minorHAnsi"/>
              </w:rPr>
              <w:t>s</w:t>
            </w:r>
            <w:r w:rsidR="5161F4D5" w:rsidRPr="004C1DA2">
              <w:rPr>
                <w:rFonts w:cstheme="minorHAnsi"/>
              </w:rPr>
              <w:t xml:space="preserve"> regulatory approaches on particular issues.</w:t>
            </w:r>
          </w:p>
          <w:p w14:paraId="4C8EEC2A" w14:textId="77777777" w:rsidR="00FE1DBF" w:rsidRPr="00FE1DBF" w:rsidRDefault="2CADB56D" w:rsidP="00FE1DBF">
            <w:pPr>
              <w:pStyle w:val="NormalWeb"/>
              <w:shd w:val="clear" w:color="auto" w:fill="FFFFFF"/>
              <w:rPr>
                <w:rFonts w:asciiTheme="minorHAnsi" w:hAnsiTheme="minorHAnsi" w:cstheme="minorHAnsi"/>
                <w:color w:val="313131"/>
                <w:sz w:val="22"/>
                <w:szCs w:val="22"/>
              </w:rPr>
            </w:pPr>
            <w:r w:rsidRPr="00FE1DBF">
              <w:rPr>
                <w:rFonts w:asciiTheme="minorHAnsi" w:hAnsiTheme="minorHAnsi" w:cstheme="minorHAnsi"/>
                <w:sz w:val="22"/>
                <w:szCs w:val="22"/>
              </w:rPr>
              <w:t xml:space="preserve">The Commission </w:t>
            </w:r>
            <w:r w:rsidR="2DF0287F" w:rsidRPr="00FE1DBF">
              <w:rPr>
                <w:rFonts w:asciiTheme="minorHAnsi" w:hAnsiTheme="minorHAnsi" w:cstheme="minorHAnsi"/>
                <w:sz w:val="22"/>
                <w:szCs w:val="22"/>
              </w:rPr>
              <w:t xml:space="preserve">also </w:t>
            </w:r>
            <w:r w:rsidRPr="00FE1DBF">
              <w:rPr>
                <w:rFonts w:asciiTheme="minorHAnsi" w:hAnsiTheme="minorHAnsi" w:cstheme="minorHAnsi"/>
                <w:sz w:val="22"/>
                <w:szCs w:val="22"/>
              </w:rPr>
              <w:t>publicly reports information about its operation of SIRS</w:t>
            </w:r>
            <w:r w:rsidR="00A1193D" w:rsidRPr="00FE1DBF">
              <w:rPr>
                <w:rFonts w:asciiTheme="minorHAnsi" w:hAnsiTheme="minorHAnsi" w:cstheme="minorHAnsi"/>
                <w:sz w:val="22"/>
                <w:szCs w:val="22"/>
              </w:rPr>
              <w:t>,</w:t>
            </w:r>
            <w:r w:rsidRPr="00FE1DBF">
              <w:rPr>
                <w:rFonts w:asciiTheme="minorHAnsi" w:hAnsiTheme="minorHAnsi" w:cstheme="minorHAnsi"/>
                <w:sz w:val="22"/>
                <w:szCs w:val="22"/>
              </w:rPr>
              <w:t xml:space="preserve"> including </w:t>
            </w:r>
            <w:r w:rsidR="005F1279" w:rsidRPr="00FE1DBF">
              <w:rPr>
                <w:rFonts w:asciiTheme="minorHAnsi" w:hAnsiTheme="minorHAnsi" w:cstheme="minorHAnsi"/>
                <w:sz w:val="22"/>
                <w:szCs w:val="22"/>
              </w:rPr>
              <w:t xml:space="preserve">through </w:t>
            </w:r>
            <w:r w:rsidRPr="00FE1DBF">
              <w:rPr>
                <w:rFonts w:asciiTheme="minorHAnsi" w:hAnsiTheme="minorHAnsi" w:cstheme="minorHAnsi"/>
                <w:sz w:val="22"/>
                <w:szCs w:val="22"/>
              </w:rPr>
              <w:t>quarterly</w:t>
            </w:r>
            <w:r w:rsidR="1480C2A9" w:rsidRPr="00FE1DBF">
              <w:rPr>
                <w:rFonts w:asciiTheme="minorHAnsi" w:hAnsiTheme="minorHAnsi" w:cstheme="minorHAnsi"/>
                <w:sz w:val="22"/>
                <w:szCs w:val="22"/>
              </w:rPr>
              <w:t>, annual and trend reporting (that is both quan</w:t>
            </w:r>
            <w:r w:rsidR="54731F24" w:rsidRPr="00FE1DBF">
              <w:rPr>
                <w:rFonts w:asciiTheme="minorHAnsi" w:hAnsiTheme="minorHAnsi" w:cstheme="minorHAnsi"/>
                <w:sz w:val="22"/>
                <w:szCs w:val="22"/>
              </w:rPr>
              <w:t>titative</w:t>
            </w:r>
            <w:r w:rsidR="1480C2A9" w:rsidRPr="00FE1DBF">
              <w:rPr>
                <w:rFonts w:asciiTheme="minorHAnsi" w:hAnsiTheme="minorHAnsi" w:cstheme="minorHAnsi"/>
                <w:sz w:val="22"/>
                <w:szCs w:val="22"/>
              </w:rPr>
              <w:t xml:space="preserve"> and qualitative) to assist the sector, policy makers and regulators understand current trends and emerging </w:t>
            </w:r>
            <w:r w:rsidR="42D3C8E5" w:rsidRPr="00FE1DBF">
              <w:rPr>
                <w:rFonts w:asciiTheme="minorHAnsi" w:hAnsiTheme="minorHAnsi" w:cstheme="minorHAnsi"/>
                <w:sz w:val="22"/>
                <w:szCs w:val="22"/>
              </w:rPr>
              <w:t xml:space="preserve">issues. Importantly, it also informs consumers and their </w:t>
            </w:r>
            <w:r w:rsidR="42D3C8E5" w:rsidRPr="00FE1DBF">
              <w:rPr>
                <w:rFonts w:asciiTheme="minorHAnsi" w:hAnsiTheme="minorHAnsi" w:cstheme="minorHAnsi"/>
                <w:sz w:val="22"/>
                <w:szCs w:val="22"/>
              </w:rPr>
              <w:lastRenderedPageBreak/>
              <w:t>families or representatives.</w:t>
            </w:r>
            <w:r w:rsidR="00FE1DBF" w:rsidRPr="00FE1DBF">
              <w:rPr>
                <w:rFonts w:asciiTheme="minorHAnsi" w:hAnsiTheme="minorHAnsi" w:cstheme="minorHAnsi"/>
                <w:sz w:val="22"/>
                <w:szCs w:val="22"/>
              </w:rPr>
              <w:t xml:space="preserve"> </w:t>
            </w:r>
            <w:r w:rsidR="00FE1DBF" w:rsidRPr="00FE1DBF">
              <w:rPr>
                <w:rFonts w:asciiTheme="minorHAnsi" w:hAnsiTheme="minorHAnsi" w:cstheme="minorHAnsi"/>
                <w:color w:val="313131"/>
                <w:sz w:val="22"/>
                <w:szCs w:val="22"/>
              </w:rPr>
              <w:t>Information about the SIRS is included in the Commission’s </w:t>
            </w:r>
            <w:hyperlink r:id="rId36" w:history="1">
              <w:r w:rsidR="00FE1DBF" w:rsidRPr="00FE1DBF">
                <w:rPr>
                  <w:rStyle w:val="Hyperlink"/>
                  <w:rFonts w:asciiTheme="minorHAnsi" w:hAnsiTheme="minorHAnsi" w:cstheme="minorHAnsi"/>
                  <w:color w:val="00577D"/>
                  <w:sz w:val="22"/>
                  <w:szCs w:val="22"/>
                </w:rPr>
                <w:t>sector performance reports</w:t>
              </w:r>
            </w:hyperlink>
            <w:r w:rsidR="00FE1DBF" w:rsidRPr="00FE1DBF">
              <w:rPr>
                <w:rFonts w:asciiTheme="minorHAnsi" w:hAnsiTheme="minorHAnsi" w:cstheme="minorHAnsi"/>
                <w:color w:val="313131"/>
                <w:sz w:val="22"/>
                <w:szCs w:val="22"/>
              </w:rPr>
              <w:t>.</w:t>
            </w:r>
          </w:p>
          <w:p w14:paraId="1327B1C1" w14:textId="7114CF5C" w:rsidR="005475F4" w:rsidRPr="004C1DA2" w:rsidRDefault="00FE1DBF" w:rsidP="00FE1DBF">
            <w:pPr>
              <w:pStyle w:val="NormalWeb"/>
              <w:shd w:val="clear" w:color="auto" w:fill="FFFFFF"/>
            </w:pPr>
            <w:r w:rsidRPr="00FE1DBF">
              <w:rPr>
                <w:rFonts w:asciiTheme="minorHAnsi" w:hAnsiTheme="minorHAnsi" w:cstheme="minorHAnsi"/>
                <w:color w:val="313131"/>
                <w:sz w:val="22"/>
                <w:szCs w:val="22"/>
              </w:rPr>
              <w:t>The first report in a new SIRS Insight Series on </w:t>
            </w:r>
            <w:hyperlink r:id="rId37" w:history="1">
              <w:r w:rsidRPr="00FE1DBF">
                <w:rPr>
                  <w:rStyle w:val="Hyperlink"/>
                  <w:rFonts w:asciiTheme="minorHAnsi" w:hAnsiTheme="minorHAnsi" w:cstheme="minorHAnsi"/>
                  <w:color w:val="00577D"/>
                  <w:sz w:val="22"/>
                  <w:szCs w:val="22"/>
                </w:rPr>
                <w:t>Unreasonable use of force: Notifications of resident to resident incidents</w:t>
              </w:r>
            </w:hyperlink>
            <w:r w:rsidRPr="00FE1DBF">
              <w:rPr>
                <w:rFonts w:asciiTheme="minorHAnsi" w:hAnsiTheme="minorHAnsi" w:cstheme="minorHAnsi"/>
                <w:color w:val="313131"/>
                <w:sz w:val="22"/>
                <w:szCs w:val="22"/>
              </w:rPr>
              <w:t> was released in March 2023.</w:t>
            </w:r>
          </w:p>
        </w:tc>
      </w:tr>
      <w:tr w:rsidR="00A87B89" w:rsidRPr="004C1DA2" w14:paraId="103F0AC8" w14:textId="77777777" w:rsidTr="045764E4">
        <w:trPr>
          <w:trHeight w:val="1286"/>
        </w:trPr>
        <w:tc>
          <w:tcPr>
            <w:tcW w:w="5665" w:type="dxa"/>
          </w:tcPr>
          <w:p w14:paraId="4F69FA1B" w14:textId="1C0F8ADD" w:rsidR="00A87B89" w:rsidRPr="004C1DA2" w:rsidRDefault="00A87B89" w:rsidP="009973B3">
            <w:pPr>
              <w:spacing w:after="120"/>
              <w:rPr>
                <w:rFonts w:cstheme="minorHAnsi"/>
              </w:rPr>
            </w:pPr>
            <w:r w:rsidRPr="004C1DA2">
              <w:rPr>
                <w:rFonts w:cstheme="minorHAnsi"/>
              </w:rPr>
              <w:lastRenderedPageBreak/>
              <w:t xml:space="preserve">How will SIRS be investigated? Are the findings/recommendations going to be mandated or guidelines </w:t>
            </w:r>
            <w:r w:rsidR="00755D6D">
              <w:rPr>
                <w:rFonts w:cstheme="minorHAnsi"/>
              </w:rPr>
              <w:t xml:space="preserve">made </w:t>
            </w:r>
            <w:r w:rsidRPr="004C1DA2">
              <w:rPr>
                <w:rFonts w:cstheme="minorHAnsi"/>
              </w:rPr>
              <w:t>to improve practice in line with code of conduct for Aged Care</w:t>
            </w:r>
            <w:r w:rsidR="00755D6D">
              <w:rPr>
                <w:rFonts w:cstheme="minorHAnsi"/>
              </w:rPr>
              <w:t>?</w:t>
            </w:r>
          </w:p>
        </w:tc>
        <w:tc>
          <w:tcPr>
            <w:tcW w:w="7797" w:type="dxa"/>
          </w:tcPr>
          <w:p w14:paraId="04C6387A" w14:textId="181CA96B" w:rsidR="00AD63F0" w:rsidRPr="004C1DA2" w:rsidRDefault="00AD63F0" w:rsidP="009973B3">
            <w:pPr>
              <w:spacing w:after="120"/>
              <w:rPr>
                <w:rFonts w:cstheme="minorHAnsi"/>
              </w:rPr>
            </w:pPr>
            <w:r w:rsidRPr="004C1DA2">
              <w:rPr>
                <w:rFonts w:cstheme="minorHAnsi"/>
              </w:rPr>
              <w:t xml:space="preserve">The Commission may investigate a reportable incident, including an approved provider’s compliance with its responsibilities in relation to incident management, the Quality Standards, Code of Conduct or other related responsibilities such as those under the Quality of Care Principles (for example, regarding the use of restrictive practices). </w:t>
            </w:r>
          </w:p>
          <w:p w14:paraId="1A3DEADA" w14:textId="77777777" w:rsidR="00AD63F0" w:rsidRPr="004C1DA2" w:rsidRDefault="00AD63F0" w:rsidP="009973B3">
            <w:pPr>
              <w:spacing w:after="120"/>
              <w:rPr>
                <w:rFonts w:cstheme="minorHAnsi"/>
              </w:rPr>
            </w:pPr>
            <w:r w:rsidRPr="004C1DA2">
              <w:rPr>
                <w:rFonts w:cstheme="minorHAnsi"/>
              </w:rPr>
              <w:t xml:space="preserve">Investigation is the planned and systemic gathering and analysis of all relevant facts. The purpose of an investigation is to: </w:t>
            </w:r>
          </w:p>
          <w:p w14:paraId="54677AF8" w14:textId="77777777" w:rsidR="00AD63F0" w:rsidRPr="004C1DA2" w:rsidRDefault="00AD63F0" w:rsidP="009973B3">
            <w:pPr>
              <w:pStyle w:val="ListParagraph"/>
              <w:numPr>
                <w:ilvl w:val="0"/>
                <w:numId w:val="6"/>
              </w:numPr>
              <w:spacing w:after="120"/>
              <w:contextualSpacing w:val="0"/>
              <w:rPr>
                <w:rFonts w:cstheme="minorHAnsi"/>
              </w:rPr>
            </w:pPr>
            <w:r w:rsidRPr="004C1DA2">
              <w:rPr>
                <w:rFonts w:cstheme="minorHAnsi"/>
              </w:rPr>
              <w:t>further inform/better determine the ongoing risk to consumers</w:t>
            </w:r>
          </w:p>
          <w:p w14:paraId="20E56AC4" w14:textId="1B4F0EF6" w:rsidR="00AD63F0" w:rsidRPr="004C1DA2" w:rsidRDefault="00AD63F0" w:rsidP="009973B3">
            <w:pPr>
              <w:pStyle w:val="ListParagraph"/>
              <w:numPr>
                <w:ilvl w:val="0"/>
                <w:numId w:val="6"/>
              </w:numPr>
              <w:spacing w:after="120"/>
              <w:contextualSpacing w:val="0"/>
              <w:rPr>
                <w:rFonts w:cstheme="minorHAnsi"/>
              </w:rPr>
            </w:pPr>
            <w:r w:rsidRPr="004C1DA2">
              <w:rPr>
                <w:rFonts w:cstheme="minorHAnsi"/>
              </w:rPr>
              <w:t xml:space="preserve">identify issues relating to the reportable incident or the effectiveness of the provider’s </w:t>
            </w:r>
            <w:r w:rsidR="007A36FE">
              <w:rPr>
                <w:rFonts w:cstheme="minorHAnsi"/>
              </w:rPr>
              <w:t>incident management system</w:t>
            </w:r>
            <w:r w:rsidRPr="004C1DA2">
              <w:rPr>
                <w:rFonts w:cstheme="minorHAnsi"/>
              </w:rPr>
              <w:t>, which includes evidence of any non</w:t>
            </w:r>
            <w:r w:rsidR="007A36FE">
              <w:rPr>
                <w:rFonts w:cstheme="minorHAnsi"/>
              </w:rPr>
              <w:t>-</w:t>
            </w:r>
            <w:r w:rsidRPr="004C1DA2">
              <w:rPr>
                <w:rFonts w:cstheme="minorHAnsi"/>
              </w:rPr>
              <w:t xml:space="preserve">compliance with provider responsibilities (and the nature of </w:t>
            </w:r>
            <w:r w:rsidR="007A36FE">
              <w:rPr>
                <w:rFonts w:cstheme="minorHAnsi"/>
              </w:rPr>
              <w:t xml:space="preserve">the </w:t>
            </w:r>
            <w:r w:rsidRPr="004C1DA2">
              <w:rPr>
                <w:rFonts w:cstheme="minorHAnsi"/>
              </w:rPr>
              <w:t>non-compliance)</w:t>
            </w:r>
          </w:p>
          <w:p w14:paraId="031E7622" w14:textId="3B223394" w:rsidR="00AD63F0" w:rsidRPr="009973B3" w:rsidRDefault="00AD63F0" w:rsidP="009973B3">
            <w:pPr>
              <w:pStyle w:val="ListParagraph"/>
              <w:numPr>
                <w:ilvl w:val="0"/>
                <w:numId w:val="6"/>
              </w:numPr>
              <w:spacing w:after="120"/>
              <w:contextualSpacing w:val="0"/>
              <w:rPr>
                <w:rFonts w:cstheme="minorHAnsi"/>
              </w:rPr>
            </w:pPr>
            <w:r w:rsidRPr="004C1DA2">
              <w:rPr>
                <w:rFonts w:cstheme="minorHAnsi"/>
              </w:rPr>
              <w:t>support and inform a regulatory response to the outcome of the SIRS investigation that is proportionate to the identified risk and non-compliance (if identified).</w:t>
            </w:r>
          </w:p>
          <w:p w14:paraId="112C8068" w14:textId="48B8DD74" w:rsidR="00AD63F0" w:rsidRPr="004C1DA2" w:rsidRDefault="00AD63F0" w:rsidP="009973B3">
            <w:pPr>
              <w:spacing w:after="120"/>
              <w:rPr>
                <w:rFonts w:cstheme="minorHAnsi"/>
              </w:rPr>
            </w:pPr>
            <w:r w:rsidRPr="004C1DA2">
              <w:rPr>
                <w:rFonts w:cstheme="minorHAnsi"/>
              </w:rPr>
              <w:t>The Commission may also conduct an investigation to determine whether an approved provider is complying with its incident management responsibilities, for example, where there are a number of reportable incidents with similar circumstance</w:t>
            </w:r>
            <w:r w:rsidR="00804196">
              <w:rPr>
                <w:rFonts w:cstheme="minorHAnsi"/>
              </w:rPr>
              <w:t>s</w:t>
            </w:r>
            <w:r w:rsidRPr="004C1DA2">
              <w:rPr>
                <w:rFonts w:cstheme="minorHAnsi"/>
              </w:rPr>
              <w:t xml:space="preserve">. </w:t>
            </w:r>
          </w:p>
          <w:p w14:paraId="7D30BFD1" w14:textId="4A092053" w:rsidR="00AD63F0" w:rsidRPr="004C1DA2" w:rsidRDefault="00AD63F0" w:rsidP="009973B3">
            <w:pPr>
              <w:spacing w:after="120"/>
              <w:rPr>
                <w:rFonts w:cstheme="minorHAnsi"/>
              </w:rPr>
            </w:pPr>
            <w:r w:rsidRPr="004C1DA2">
              <w:rPr>
                <w:rFonts w:cstheme="minorHAnsi"/>
              </w:rPr>
              <w:t xml:space="preserve">Providers will be notified of the outcomes of any investigations undertaken by the Commission. </w:t>
            </w:r>
          </w:p>
          <w:p w14:paraId="64BAEE09" w14:textId="589071C0" w:rsidR="00813E8A" w:rsidRPr="004C1DA2" w:rsidRDefault="00AD63F0" w:rsidP="009973B3">
            <w:pPr>
              <w:spacing w:after="120"/>
              <w:rPr>
                <w:rFonts w:cstheme="minorHAnsi"/>
              </w:rPr>
            </w:pPr>
            <w:r w:rsidRPr="004C1DA2">
              <w:rPr>
                <w:rFonts w:cstheme="minorHAnsi"/>
              </w:rPr>
              <w:t xml:space="preserve">In situations where a reportable incident raises a compliance issue or raises concerns for the Commission that a provider is not complying with its </w:t>
            </w:r>
            <w:r w:rsidRPr="004C1DA2">
              <w:rPr>
                <w:rFonts w:cstheme="minorHAnsi"/>
              </w:rPr>
              <w:lastRenderedPageBreak/>
              <w:t>responsibilities, the Commission can draw on a range of regulatory powers. For example, the Commission may issue an Incident Management Compliance Notice specifying the action(s) the provider must take, or refrain from taking, within a reasonable period to address the identified or potential non-compliance.</w:t>
            </w:r>
          </w:p>
          <w:p w14:paraId="2FACB8EC" w14:textId="03AF5554" w:rsidR="00E957A1" w:rsidRPr="004C1DA2" w:rsidRDefault="45F31346" w:rsidP="009973B3">
            <w:pPr>
              <w:spacing w:after="120"/>
              <w:rPr>
                <w:rFonts w:cstheme="minorHAnsi"/>
              </w:rPr>
            </w:pPr>
            <w:r w:rsidRPr="004C1DA2">
              <w:rPr>
                <w:rFonts w:cstheme="minorHAnsi"/>
              </w:rPr>
              <w:t>For more information about the Commission</w:t>
            </w:r>
            <w:r w:rsidR="5FCC08CC" w:rsidRPr="004C1DA2">
              <w:rPr>
                <w:rFonts w:cstheme="minorHAnsi"/>
              </w:rPr>
              <w:t xml:space="preserve">’s approach to regulation, refer to the Commission’s </w:t>
            </w:r>
            <w:hyperlink r:id="rId38" w:history="1">
              <w:r w:rsidR="5FCC08CC" w:rsidRPr="004C1DA2">
                <w:rPr>
                  <w:rStyle w:val="Hyperlink"/>
                  <w:rFonts w:cstheme="minorHAnsi"/>
                </w:rPr>
                <w:t>Regulatory Strategy.</w:t>
              </w:r>
            </w:hyperlink>
          </w:p>
        </w:tc>
      </w:tr>
      <w:tr w:rsidR="00F445AF" w:rsidRPr="004C1DA2" w14:paraId="05F77C82" w14:textId="77777777" w:rsidTr="00FE1DBF">
        <w:trPr>
          <w:trHeight w:val="719"/>
        </w:trPr>
        <w:tc>
          <w:tcPr>
            <w:tcW w:w="5665" w:type="dxa"/>
          </w:tcPr>
          <w:p w14:paraId="3E1A3292" w14:textId="11AC8796" w:rsidR="00F445AF" w:rsidRPr="004C1DA2" w:rsidRDefault="00F445AF" w:rsidP="009973B3">
            <w:pPr>
              <w:spacing w:after="120"/>
              <w:rPr>
                <w:rFonts w:cstheme="minorHAnsi"/>
              </w:rPr>
            </w:pPr>
            <w:r w:rsidRPr="004C1DA2">
              <w:rPr>
                <w:rFonts w:cstheme="minorHAnsi"/>
              </w:rPr>
              <w:lastRenderedPageBreak/>
              <w:t xml:space="preserve">With SIRS </w:t>
            </w:r>
            <w:r w:rsidR="004273BC">
              <w:rPr>
                <w:rFonts w:cstheme="minorHAnsi"/>
              </w:rPr>
              <w:t>r</w:t>
            </w:r>
            <w:r w:rsidR="004273BC" w:rsidRPr="004C1DA2">
              <w:rPr>
                <w:rFonts w:cstheme="minorHAnsi"/>
              </w:rPr>
              <w:t>eporting</w:t>
            </w:r>
            <w:r w:rsidRPr="004C1DA2">
              <w:rPr>
                <w:rFonts w:cstheme="minorHAnsi"/>
              </w:rPr>
              <w:t xml:space="preserve">, can you please confirm whether an injury sustained during service delivery, but </w:t>
            </w:r>
            <w:r w:rsidR="00FA6F83">
              <w:rPr>
                <w:rFonts w:cstheme="minorHAnsi"/>
              </w:rPr>
              <w:t>which</w:t>
            </w:r>
            <w:r w:rsidRPr="004C1DA2">
              <w:rPr>
                <w:rFonts w:cstheme="minorHAnsi"/>
              </w:rPr>
              <w:t xml:space="preserve"> is not caused by the provision of the service itself</w:t>
            </w:r>
            <w:r w:rsidR="00FA6F83">
              <w:rPr>
                <w:rFonts w:cstheme="minorHAnsi"/>
              </w:rPr>
              <w:t>,</w:t>
            </w:r>
            <w:r w:rsidRPr="004C1DA2">
              <w:rPr>
                <w:rFonts w:cstheme="minorHAnsi"/>
              </w:rPr>
              <w:t xml:space="preserve"> needs to be reported through SIRS (e.g. client falls off chair at a cafe during a coffee break/stop for a walking group or client trips at home during a home visit), and if so, whether this would fall under the Priority 1 (24 hour) or Priority 2 (30 day) reporting period?</w:t>
            </w:r>
          </w:p>
        </w:tc>
        <w:tc>
          <w:tcPr>
            <w:tcW w:w="7797" w:type="dxa"/>
          </w:tcPr>
          <w:p w14:paraId="1CBE12AB" w14:textId="450E2B55" w:rsidR="00643343" w:rsidRPr="004C1DA2" w:rsidRDefault="57882C0B" w:rsidP="009973B3">
            <w:pPr>
              <w:spacing w:after="120"/>
              <w:rPr>
                <w:rFonts w:cstheme="minorHAnsi"/>
              </w:rPr>
            </w:pPr>
            <w:r w:rsidRPr="004C1DA2">
              <w:rPr>
                <w:rFonts w:cstheme="minorHAnsi"/>
              </w:rPr>
              <w:t>Yes</w:t>
            </w:r>
            <w:r w:rsidR="73231E13" w:rsidRPr="004C1DA2">
              <w:rPr>
                <w:rFonts w:cstheme="minorHAnsi"/>
              </w:rPr>
              <w:t xml:space="preserve">, </w:t>
            </w:r>
            <w:r w:rsidRPr="004C1DA2">
              <w:rPr>
                <w:rFonts w:cstheme="minorHAnsi"/>
              </w:rPr>
              <w:t>reportable incidents</w:t>
            </w:r>
            <w:r w:rsidR="73231E13" w:rsidRPr="004C1DA2">
              <w:rPr>
                <w:rFonts w:cstheme="minorHAnsi"/>
              </w:rPr>
              <w:t xml:space="preserve"> </w:t>
            </w:r>
            <w:r w:rsidR="3947297B" w:rsidRPr="004C1DA2">
              <w:rPr>
                <w:rFonts w:cstheme="minorHAnsi"/>
              </w:rPr>
              <w:t xml:space="preserve">include </w:t>
            </w:r>
            <w:r w:rsidR="331AB061" w:rsidRPr="004C1DA2">
              <w:rPr>
                <w:rFonts w:cstheme="minorHAnsi"/>
              </w:rPr>
              <w:t xml:space="preserve">any act, omission, event or circumstance </w:t>
            </w:r>
            <w:r w:rsidR="3947297B" w:rsidRPr="004C1DA2">
              <w:rPr>
                <w:rFonts w:cstheme="minorHAnsi"/>
              </w:rPr>
              <w:t xml:space="preserve">that </w:t>
            </w:r>
            <w:r w:rsidR="76653EB1" w:rsidRPr="004C1DA2">
              <w:rPr>
                <w:rFonts w:cstheme="minorHAnsi"/>
              </w:rPr>
              <w:t>occur in connection with the provision of care or services</w:t>
            </w:r>
            <w:r w:rsidR="331AB061" w:rsidRPr="004C1DA2">
              <w:rPr>
                <w:rFonts w:cstheme="minorHAnsi"/>
              </w:rPr>
              <w:t xml:space="preserve"> and:</w:t>
            </w:r>
          </w:p>
          <w:p w14:paraId="0BAF42A3" w14:textId="59E61431" w:rsidR="00F445AF" w:rsidRPr="004C1DA2" w:rsidRDefault="3EAACB9E" w:rsidP="009973B3">
            <w:pPr>
              <w:pStyle w:val="ListParagraph"/>
              <w:numPr>
                <w:ilvl w:val="0"/>
                <w:numId w:val="2"/>
              </w:numPr>
              <w:spacing w:after="120"/>
              <w:contextualSpacing w:val="0"/>
              <w:rPr>
                <w:rFonts w:cstheme="minorHAnsi"/>
              </w:rPr>
            </w:pPr>
            <w:r w:rsidRPr="004C1DA2">
              <w:rPr>
                <w:rFonts w:cstheme="minorHAnsi"/>
              </w:rPr>
              <w:t>has</w:t>
            </w:r>
            <w:r w:rsidR="696A0975" w:rsidRPr="004C1DA2">
              <w:rPr>
                <w:rFonts w:cstheme="minorHAnsi"/>
              </w:rPr>
              <w:t>, or coul</w:t>
            </w:r>
            <w:r w:rsidRPr="004C1DA2">
              <w:rPr>
                <w:rFonts w:cstheme="minorHAnsi"/>
              </w:rPr>
              <w:t>d</w:t>
            </w:r>
            <w:r w:rsidR="696A0975" w:rsidRPr="004C1DA2">
              <w:rPr>
                <w:rFonts w:cstheme="minorHAnsi"/>
              </w:rPr>
              <w:t xml:space="preserve"> reasonably</w:t>
            </w:r>
            <w:r w:rsidRPr="004C1DA2">
              <w:rPr>
                <w:rFonts w:cstheme="minorHAnsi"/>
              </w:rPr>
              <w:t xml:space="preserve"> be expected to</w:t>
            </w:r>
            <w:r w:rsidR="696A0975" w:rsidRPr="004C1DA2">
              <w:rPr>
                <w:rFonts w:cstheme="minorHAnsi"/>
              </w:rPr>
              <w:t xml:space="preserve"> have</w:t>
            </w:r>
            <w:r w:rsidRPr="004C1DA2">
              <w:rPr>
                <w:rFonts w:cstheme="minorHAnsi"/>
              </w:rPr>
              <w:t xml:space="preserve">, </w:t>
            </w:r>
            <w:r w:rsidR="5A01E7E9" w:rsidRPr="004C1DA2">
              <w:rPr>
                <w:rFonts w:cstheme="minorHAnsi"/>
              </w:rPr>
              <w:t>caused harm to the consumer</w:t>
            </w:r>
            <w:r w:rsidRPr="004C1DA2">
              <w:rPr>
                <w:rFonts w:cstheme="minorHAnsi"/>
              </w:rPr>
              <w:t xml:space="preserve"> or another person; or</w:t>
            </w:r>
          </w:p>
          <w:p w14:paraId="42AA1D10" w14:textId="5F186598" w:rsidR="003B13DA" w:rsidRPr="004C1DA2" w:rsidRDefault="3EAACB9E" w:rsidP="009973B3">
            <w:pPr>
              <w:pStyle w:val="ListParagraph"/>
              <w:numPr>
                <w:ilvl w:val="0"/>
                <w:numId w:val="2"/>
              </w:numPr>
              <w:spacing w:after="120"/>
              <w:contextualSpacing w:val="0"/>
              <w:rPr>
                <w:rFonts w:cstheme="minorHAnsi"/>
              </w:rPr>
            </w:pPr>
            <w:r w:rsidRPr="004C1DA2">
              <w:rPr>
                <w:rFonts w:cstheme="minorHAnsi"/>
              </w:rPr>
              <w:t>is suspected or alleged or have, or could reasonably be expected to have, caused harm to a consumer or another person; or</w:t>
            </w:r>
          </w:p>
          <w:p w14:paraId="7864AB4E" w14:textId="6CE2C148" w:rsidR="00E70025" w:rsidRPr="009973B3" w:rsidRDefault="3EAACB9E" w:rsidP="009973B3">
            <w:pPr>
              <w:pStyle w:val="ListParagraph"/>
              <w:numPr>
                <w:ilvl w:val="0"/>
                <w:numId w:val="2"/>
              </w:numPr>
              <w:spacing w:after="120"/>
              <w:contextualSpacing w:val="0"/>
              <w:rPr>
                <w:rFonts w:cstheme="minorHAnsi"/>
              </w:rPr>
            </w:pPr>
            <w:r w:rsidRPr="004C1DA2">
              <w:rPr>
                <w:rFonts w:cstheme="minorHAnsi"/>
              </w:rPr>
              <w:t>the provider becomes aware of it, which has caused harm to a consumer.</w:t>
            </w:r>
          </w:p>
          <w:p w14:paraId="0794A026" w14:textId="032C70EF" w:rsidR="00E70025" w:rsidRPr="004C1DA2" w:rsidRDefault="656905FE" w:rsidP="009973B3">
            <w:pPr>
              <w:spacing w:after="120"/>
              <w:rPr>
                <w:rFonts w:cstheme="minorHAnsi"/>
              </w:rPr>
            </w:pPr>
            <w:r w:rsidRPr="004C1DA2">
              <w:rPr>
                <w:rFonts w:cstheme="minorHAnsi"/>
              </w:rPr>
              <w:t xml:space="preserve">A </w:t>
            </w:r>
            <w:r w:rsidR="163654B3" w:rsidRPr="004C1DA2">
              <w:rPr>
                <w:rFonts w:cstheme="minorHAnsi"/>
              </w:rPr>
              <w:t xml:space="preserve">Priority 1 reportable incident is a reportable incident: </w:t>
            </w:r>
          </w:p>
          <w:p w14:paraId="1C2DB8C0" w14:textId="5052ED53" w:rsidR="00DB3A5E" w:rsidRPr="004C1DA2" w:rsidRDefault="582D12BD" w:rsidP="009973B3">
            <w:pPr>
              <w:pStyle w:val="ListParagraph"/>
              <w:numPr>
                <w:ilvl w:val="0"/>
                <w:numId w:val="2"/>
              </w:numPr>
              <w:spacing w:after="120"/>
              <w:contextualSpacing w:val="0"/>
              <w:rPr>
                <w:rFonts w:cstheme="minorHAnsi"/>
              </w:rPr>
            </w:pPr>
            <w:r w:rsidRPr="004C1DA2">
              <w:rPr>
                <w:rFonts w:cstheme="minorHAnsi"/>
              </w:rPr>
              <w:t xml:space="preserve">that </w:t>
            </w:r>
            <w:r w:rsidR="67423C51" w:rsidRPr="004C1DA2">
              <w:rPr>
                <w:rFonts w:cstheme="minorHAnsi"/>
              </w:rPr>
              <w:t xml:space="preserve">has </w:t>
            </w:r>
            <w:r w:rsidRPr="004C1DA2">
              <w:rPr>
                <w:rFonts w:cstheme="minorHAnsi"/>
              </w:rPr>
              <w:t>caused, or could reasonably have been expected to have caused, a consumer physical or psychological injury or discomfort that requires medical or psychological treatment to resolve</w:t>
            </w:r>
            <w:r w:rsidR="02E1AD0C" w:rsidRPr="004C1DA2">
              <w:rPr>
                <w:rFonts w:cstheme="minorHAnsi"/>
              </w:rPr>
              <w:t>; or</w:t>
            </w:r>
          </w:p>
          <w:p w14:paraId="4DA863E6" w14:textId="7734643C" w:rsidR="00DB3A5E" w:rsidRPr="004C1DA2" w:rsidRDefault="582D12BD" w:rsidP="009973B3">
            <w:pPr>
              <w:pStyle w:val="ListParagraph"/>
              <w:numPr>
                <w:ilvl w:val="0"/>
                <w:numId w:val="2"/>
              </w:numPr>
              <w:spacing w:after="120"/>
              <w:contextualSpacing w:val="0"/>
              <w:rPr>
                <w:rFonts w:cstheme="minorHAnsi"/>
              </w:rPr>
            </w:pPr>
            <w:r w:rsidRPr="004C1DA2">
              <w:rPr>
                <w:rFonts w:cstheme="minorHAnsi"/>
              </w:rPr>
              <w:t>where there are reasonable grounds to report the incident to police</w:t>
            </w:r>
            <w:r w:rsidR="02E1AD0C" w:rsidRPr="004C1DA2">
              <w:rPr>
                <w:rFonts w:cstheme="minorHAnsi"/>
              </w:rPr>
              <w:t>; or</w:t>
            </w:r>
          </w:p>
          <w:p w14:paraId="2BE95679" w14:textId="5F35E8DB" w:rsidR="00DB3A5E" w:rsidRPr="004C1DA2" w:rsidRDefault="582D12BD" w:rsidP="009973B3">
            <w:pPr>
              <w:pStyle w:val="ListParagraph"/>
              <w:numPr>
                <w:ilvl w:val="0"/>
                <w:numId w:val="2"/>
              </w:numPr>
              <w:spacing w:after="120"/>
              <w:contextualSpacing w:val="0"/>
              <w:rPr>
                <w:rFonts w:cstheme="minorHAnsi"/>
              </w:rPr>
            </w:pPr>
            <w:r w:rsidRPr="004C1DA2">
              <w:rPr>
                <w:rFonts w:cstheme="minorHAnsi"/>
              </w:rPr>
              <w:t>involving unlawful sexual contact or inappropriate sexual conduct inflicted on a consumer</w:t>
            </w:r>
            <w:r w:rsidR="6BBEFFCA" w:rsidRPr="004C1DA2">
              <w:rPr>
                <w:rFonts w:cstheme="minorHAnsi"/>
              </w:rPr>
              <w:t>; or</w:t>
            </w:r>
          </w:p>
          <w:p w14:paraId="749558FB" w14:textId="7F5939E6" w:rsidR="00DB3A5E" w:rsidRPr="004C1DA2" w:rsidRDefault="582D12BD" w:rsidP="009973B3">
            <w:pPr>
              <w:pStyle w:val="ListParagraph"/>
              <w:numPr>
                <w:ilvl w:val="0"/>
                <w:numId w:val="2"/>
              </w:numPr>
              <w:spacing w:after="120"/>
              <w:contextualSpacing w:val="0"/>
              <w:rPr>
                <w:rFonts w:cstheme="minorHAnsi"/>
              </w:rPr>
            </w:pPr>
            <w:r w:rsidRPr="004C1DA2">
              <w:rPr>
                <w:rFonts w:cstheme="minorHAnsi"/>
              </w:rPr>
              <w:t>that is an unexpected death of a consumer</w:t>
            </w:r>
            <w:r w:rsidR="6BBEFFCA" w:rsidRPr="004C1DA2">
              <w:rPr>
                <w:rFonts w:cstheme="minorHAnsi"/>
              </w:rPr>
              <w:t>;</w:t>
            </w:r>
            <w:r w:rsidRPr="004C1DA2">
              <w:rPr>
                <w:rFonts w:cstheme="minorHAnsi"/>
              </w:rPr>
              <w:t xml:space="preserve"> or </w:t>
            </w:r>
          </w:p>
          <w:p w14:paraId="2A00ED34" w14:textId="1B8199BC" w:rsidR="009113B5" w:rsidRPr="009973B3" w:rsidRDefault="582D12BD" w:rsidP="009973B3">
            <w:pPr>
              <w:pStyle w:val="ListParagraph"/>
              <w:numPr>
                <w:ilvl w:val="0"/>
                <w:numId w:val="2"/>
              </w:numPr>
              <w:spacing w:after="120"/>
              <w:contextualSpacing w:val="0"/>
              <w:rPr>
                <w:rFonts w:cstheme="minorHAnsi"/>
              </w:rPr>
            </w:pPr>
            <w:r w:rsidRPr="004C1DA2">
              <w:rPr>
                <w:rFonts w:cstheme="minorHAnsi"/>
              </w:rPr>
              <w:t xml:space="preserve">where a consumer goes missing in the course of provision of home </w:t>
            </w:r>
            <w:r w:rsidR="7C1001CD" w:rsidRPr="004C1DA2">
              <w:rPr>
                <w:rFonts w:cstheme="minorHAnsi"/>
              </w:rPr>
              <w:t>care, or flexible care in a community setting.</w:t>
            </w:r>
          </w:p>
          <w:p w14:paraId="0E12E568" w14:textId="601B9177" w:rsidR="00F860D1" w:rsidRPr="004C1DA2" w:rsidRDefault="5F026F9A" w:rsidP="00FE1DBF">
            <w:pPr>
              <w:spacing w:after="120"/>
              <w:rPr>
                <w:rFonts w:cstheme="minorHAnsi"/>
              </w:rPr>
            </w:pPr>
            <w:r w:rsidRPr="004C1DA2">
              <w:rPr>
                <w:rFonts w:cstheme="minorHAnsi"/>
              </w:rPr>
              <w:t>A Priority 2 reportable incident includes any reportable incident that does not meet the Priority 1 criteria as outlined above.</w:t>
            </w:r>
          </w:p>
        </w:tc>
      </w:tr>
      <w:tr w:rsidR="00506131" w:rsidRPr="004C1DA2" w14:paraId="2C68DDF2" w14:textId="77777777" w:rsidTr="045764E4">
        <w:trPr>
          <w:trHeight w:val="379"/>
        </w:trPr>
        <w:tc>
          <w:tcPr>
            <w:tcW w:w="5665" w:type="dxa"/>
            <w:shd w:val="clear" w:color="auto" w:fill="8EAADB" w:themeFill="accent1" w:themeFillTint="99"/>
            <w:vAlign w:val="center"/>
          </w:tcPr>
          <w:p w14:paraId="2447254D" w14:textId="1A0C2722" w:rsidR="00506131" w:rsidRPr="004C1DA2" w:rsidRDefault="0023397A" w:rsidP="00F860D1">
            <w:pPr>
              <w:spacing w:after="120"/>
              <w:rPr>
                <w:rFonts w:cstheme="minorHAnsi"/>
                <w:b/>
              </w:rPr>
            </w:pPr>
            <w:r w:rsidRPr="004C1DA2">
              <w:rPr>
                <w:rFonts w:cstheme="minorHAnsi"/>
                <w:b/>
              </w:rPr>
              <w:lastRenderedPageBreak/>
              <w:t>CODE OF CONDUCT/WORKFORCE ISSUES</w:t>
            </w:r>
          </w:p>
        </w:tc>
        <w:tc>
          <w:tcPr>
            <w:tcW w:w="7797" w:type="dxa"/>
            <w:shd w:val="clear" w:color="auto" w:fill="8EAADB" w:themeFill="accent1" w:themeFillTint="99"/>
          </w:tcPr>
          <w:p w14:paraId="586EC42D" w14:textId="513EF9EB" w:rsidR="00506131" w:rsidRPr="004C1DA2" w:rsidRDefault="00506131" w:rsidP="009973B3">
            <w:pPr>
              <w:spacing w:after="120"/>
              <w:rPr>
                <w:rFonts w:cstheme="minorHAnsi"/>
                <w:b/>
              </w:rPr>
            </w:pPr>
          </w:p>
        </w:tc>
      </w:tr>
      <w:tr w:rsidR="00DF07AF" w:rsidRPr="004C1DA2" w14:paraId="7B51ED9A" w14:textId="77777777" w:rsidTr="045764E4">
        <w:trPr>
          <w:trHeight w:val="600"/>
        </w:trPr>
        <w:tc>
          <w:tcPr>
            <w:tcW w:w="5665" w:type="dxa"/>
          </w:tcPr>
          <w:p w14:paraId="403452AF" w14:textId="0164FE91" w:rsidR="00DF07AF" w:rsidRPr="004C1DA2" w:rsidRDefault="00DF07AF" w:rsidP="009973B3">
            <w:pPr>
              <w:spacing w:after="120"/>
              <w:rPr>
                <w:rFonts w:cstheme="minorHAnsi"/>
              </w:rPr>
            </w:pPr>
            <w:r w:rsidRPr="004C1DA2">
              <w:rPr>
                <w:rFonts w:cstheme="minorHAnsi"/>
              </w:rPr>
              <w:t xml:space="preserve">Will </w:t>
            </w:r>
            <w:r w:rsidR="009D3AA0">
              <w:rPr>
                <w:rFonts w:cstheme="minorHAnsi"/>
              </w:rPr>
              <w:t>r</w:t>
            </w:r>
            <w:r w:rsidR="009D3AA0" w:rsidRPr="004C1DA2">
              <w:rPr>
                <w:rFonts w:cstheme="minorHAnsi"/>
              </w:rPr>
              <w:t xml:space="preserve">egistration </w:t>
            </w:r>
            <w:r w:rsidRPr="004C1DA2">
              <w:rPr>
                <w:rFonts w:cstheme="minorHAnsi"/>
              </w:rPr>
              <w:t xml:space="preserve">of </w:t>
            </w:r>
            <w:r w:rsidR="009D3AA0">
              <w:rPr>
                <w:rFonts w:cstheme="minorHAnsi"/>
              </w:rPr>
              <w:t>s</w:t>
            </w:r>
            <w:r w:rsidR="009D3AA0" w:rsidRPr="004C1DA2">
              <w:rPr>
                <w:rFonts w:cstheme="minorHAnsi"/>
              </w:rPr>
              <w:t xml:space="preserve">upport </w:t>
            </w:r>
            <w:r w:rsidR="009D3AA0">
              <w:rPr>
                <w:rFonts w:cstheme="minorHAnsi"/>
              </w:rPr>
              <w:t>w</w:t>
            </w:r>
            <w:r w:rsidR="009D3AA0" w:rsidRPr="004C1DA2">
              <w:rPr>
                <w:rFonts w:cstheme="minorHAnsi"/>
              </w:rPr>
              <w:t xml:space="preserve">orkers </w:t>
            </w:r>
            <w:r w:rsidRPr="004C1DA2">
              <w:rPr>
                <w:rFonts w:cstheme="minorHAnsi"/>
              </w:rPr>
              <w:t xml:space="preserve">be independent of the </w:t>
            </w:r>
            <w:r w:rsidR="008362D4" w:rsidRPr="004C1DA2">
              <w:rPr>
                <w:rFonts w:cstheme="minorHAnsi"/>
              </w:rPr>
              <w:t>Commission</w:t>
            </w:r>
            <w:r w:rsidRPr="004C1DA2">
              <w:rPr>
                <w:rFonts w:cstheme="minorHAnsi"/>
              </w:rPr>
              <w:t>?</w:t>
            </w:r>
          </w:p>
        </w:tc>
        <w:tc>
          <w:tcPr>
            <w:tcW w:w="7797" w:type="dxa"/>
          </w:tcPr>
          <w:p w14:paraId="3254D3E6" w14:textId="41A90F4B" w:rsidR="00DF07AF" w:rsidRPr="004C1DA2" w:rsidRDefault="00D74B53" w:rsidP="187DE7A5">
            <w:pPr>
              <w:spacing w:after="120"/>
            </w:pPr>
            <w:r w:rsidRPr="187DE7A5">
              <w:t>R</w:t>
            </w:r>
            <w:r w:rsidR="2FAB6808" w:rsidRPr="187DE7A5">
              <w:t xml:space="preserve">egistration </w:t>
            </w:r>
            <w:r w:rsidRPr="187DE7A5">
              <w:t xml:space="preserve">of support workers </w:t>
            </w:r>
            <w:r w:rsidR="23532FEE" w:rsidRPr="187DE7A5">
              <w:t>is not currently in place for the aged care sector</w:t>
            </w:r>
            <w:r w:rsidR="0027422E" w:rsidRPr="187DE7A5">
              <w:t xml:space="preserve"> and is subject to further decisions of government</w:t>
            </w:r>
            <w:r w:rsidR="23532FEE" w:rsidRPr="187DE7A5">
              <w:t xml:space="preserve">. </w:t>
            </w:r>
          </w:p>
        </w:tc>
      </w:tr>
      <w:tr w:rsidR="00506131" w:rsidRPr="004C1DA2" w14:paraId="2CF4F898" w14:textId="77777777" w:rsidTr="045764E4">
        <w:trPr>
          <w:trHeight w:val="600"/>
        </w:trPr>
        <w:tc>
          <w:tcPr>
            <w:tcW w:w="5665" w:type="dxa"/>
            <w:hideMark/>
          </w:tcPr>
          <w:p w14:paraId="4E176075" w14:textId="00D1BB1B" w:rsidR="00506131" w:rsidRPr="004C1DA2" w:rsidRDefault="00506131" w:rsidP="009973B3">
            <w:pPr>
              <w:spacing w:after="120"/>
              <w:rPr>
                <w:rFonts w:cstheme="minorHAnsi"/>
              </w:rPr>
            </w:pPr>
            <w:r w:rsidRPr="004C1DA2">
              <w:rPr>
                <w:rFonts w:cstheme="minorHAnsi"/>
              </w:rPr>
              <w:t>Is the worker registration going to be another cost as we already pay for NDIS worker registration</w:t>
            </w:r>
            <w:r w:rsidR="009D3AA0">
              <w:rPr>
                <w:rFonts w:cstheme="minorHAnsi"/>
              </w:rPr>
              <w:t>?</w:t>
            </w:r>
          </w:p>
        </w:tc>
        <w:tc>
          <w:tcPr>
            <w:tcW w:w="7797" w:type="dxa"/>
            <w:hideMark/>
          </w:tcPr>
          <w:p w14:paraId="6E2163CE" w14:textId="1C4F97F4" w:rsidR="002C2AB4" w:rsidRPr="004C1DA2" w:rsidRDefault="5EA8B957" w:rsidP="009973B3">
            <w:pPr>
              <w:spacing w:after="120"/>
              <w:rPr>
                <w:rFonts w:cstheme="minorHAnsi"/>
              </w:rPr>
            </w:pPr>
            <w:r w:rsidRPr="004C1DA2">
              <w:rPr>
                <w:rFonts w:cstheme="minorHAnsi"/>
              </w:rPr>
              <w:t xml:space="preserve">Worker screening </w:t>
            </w:r>
            <w:r w:rsidR="2FAB6808" w:rsidRPr="004C1DA2">
              <w:rPr>
                <w:rFonts w:cstheme="minorHAnsi"/>
              </w:rPr>
              <w:t xml:space="preserve">and registration </w:t>
            </w:r>
            <w:r w:rsidRPr="004C1DA2">
              <w:rPr>
                <w:rFonts w:cstheme="minorHAnsi"/>
              </w:rPr>
              <w:t xml:space="preserve">is not currently in place for the aged care sector. </w:t>
            </w:r>
          </w:p>
          <w:p w14:paraId="71DC56A5" w14:textId="5547810F" w:rsidR="00506131" w:rsidRPr="004C1DA2" w:rsidRDefault="00506131" w:rsidP="009973B3">
            <w:pPr>
              <w:spacing w:after="120"/>
              <w:rPr>
                <w:rFonts w:cstheme="minorHAnsi"/>
              </w:rPr>
            </w:pPr>
          </w:p>
        </w:tc>
      </w:tr>
      <w:tr w:rsidR="00506131" w:rsidRPr="004C1DA2" w14:paraId="5D62476E" w14:textId="77777777" w:rsidTr="045764E4">
        <w:trPr>
          <w:trHeight w:val="998"/>
        </w:trPr>
        <w:tc>
          <w:tcPr>
            <w:tcW w:w="5665" w:type="dxa"/>
            <w:hideMark/>
          </w:tcPr>
          <w:p w14:paraId="4CF1B469" w14:textId="38CEF09A" w:rsidR="00506131" w:rsidRPr="004C1DA2" w:rsidRDefault="00506131" w:rsidP="009973B3">
            <w:pPr>
              <w:spacing w:after="120"/>
              <w:rPr>
                <w:rFonts w:cstheme="minorHAnsi"/>
              </w:rPr>
            </w:pPr>
            <w:r w:rsidRPr="004C1DA2">
              <w:rPr>
                <w:rFonts w:cstheme="minorHAnsi"/>
              </w:rPr>
              <w:t xml:space="preserve">Will the </w:t>
            </w:r>
            <w:r w:rsidR="002C2AB4" w:rsidRPr="004C1DA2">
              <w:rPr>
                <w:rFonts w:cstheme="minorHAnsi"/>
              </w:rPr>
              <w:t>Commission</w:t>
            </w:r>
            <w:r w:rsidRPr="004C1DA2">
              <w:rPr>
                <w:rFonts w:cstheme="minorHAnsi"/>
              </w:rPr>
              <w:t xml:space="preserve"> support providers to educate non or low-English proficiency staff in the requirements?  </w:t>
            </w:r>
          </w:p>
        </w:tc>
        <w:tc>
          <w:tcPr>
            <w:tcW w:w="7797" w:type="dxa"/>
            <w:hideMark/>
          </w:tcPr>
          <w:p w14:paraId="099CEB0C" w14:textId="3CFE4574" w:rsidR="006B7C79" w:rsidRPr="004C1DA2" w:rsidRDefault="6D17A8ED" w:rsidP="009973B3">
            <w:pPr>
              <w:spacing w:after="120"/>
              <w:rPr>
                <w:rFonts w:cstheme="minorHAnsi"/>
              </w:rPr>
            </w:pPr>
            <w:r w:rsidRPr="004C1DA2">
              <w:rPr>
                <w:rFonts w:cstheme="minorHAnsi"/>
              </w:rPr>
              <w:t>Providers have responsibilities to ensure that their staff provide high quality care and services to consumers</w:t>
            </w:r>
            <w:r w:rsidR="49FC9C93" w:rsidRPr="004C1DA2">
              <w:rPr>
                <w:rFonts w:cstheme="minorHAnsi"/>
              </w:rPr>
              <w:t xml:space="preserve">. This includes the responsibility of approved providers to take reasonable steps to ensure their aged care workers and governing persons comply with the </w:t>
            </w:r>
            <w:hyperlink r:id="rId39" w:anchor="code-of-conduct-for-aged-care" w:history="1">
              <w:r w:rsidR="49FC9C93" w:rsidRPr="004C1DA2">
                <w:rPr>
                  <w:rStyle w:val="Hyperlink"/>
                  <w:rFonts w:cstheme="minorHAnsi"/>
                </w:rPr>
                <w:t>Code of Conduct for Aged Care</w:t>
              </w:r>
            </w:hyperlink>
            <w:r w:rsidR="7D97DC3C" w:rsidRPr="004C1DA2">
              <w:rPr>
                <w:rFonts w:cstheme="minorHAnsi"/>
              </w:rPr>
              <w:t xml:space="preserve"> (the Code)</w:t>
            </w:r>
            <w:r w:rsidR="49FC9C93" w:rsidRPr="004C1DA2">
              <w:rPr>
                <w:rFonts w:cstheme="minorHAnsi"/>
              </w:rPr>
              <w:t>.</w:t>
            </w:r>
          </w:p>
          <w:p w14:paraId="0B1408C0" w14:textId="38AF27C2" w:rsidR="00AD7F8C" w:rsidRPr="004C1DA2" w:rsidRDefault="49FC9C93" w:rsidP="009973B3">
            <w:pPr>
              <w:spacing w:after="120"/>
              <w:rPr>
                <w:rFonts w:cstheme="minorHAnsi"/>
              </w:rPr>
            </w:pPr>
            <w:r w:rsidRPr="004C1DA2">
              <w:rPr>
                <w:rFonts w:cstheme="minorHAnsi"/>
              </w:rPr>
              <w:t>Aged care w</w:t>
            </w:r>
            <w:r w:rsidR="6D17A8ED" w:rsidRPr="004C1DA2">
              <w:rPr>
                <w:rFonts w:cstheme="minorHAnsi"/>
              </w:rPr>
              <w:t xml:space="preserve">orkers </w:t>
            </w:r>
            <w:r w:rsidRPr="004C1DA2">
              <w:rPr>
                <w:rFonts w:cstheme="minorHAnsi"/>
              </w:rPr>
              <w:t xml:space="preserve">and governing persons of approved providers </w:t>
            </w:r>
            <w:r w:rsidR="6D17A8ED" w:rsidRPr="004C1DA2">
              <w:rPr>
                <w:rFonts w:cstheme="minorHAnsi"/>
              </w:rPr>
              <w:t>also have</w:t>
            </w:r>
            <w:r w:rsidR="7D97DC3C" w:rsidRPr="004C1DA2">
              <w:rPr>
                <w:rFonts w:cstheme="minorHAnsi"/>
              </w:rPr>
              <w:t xml:space="preserve"> individual</w:t>
            </w:r>
            <w:r w:rsidR="6D17A8ED" w:rsidRPr="004C1DA2">
              <w:rPr>
                <w:rFonts w:cstheme="minorHAnsi"/>
              </w:rPr>
              <w:t xml:space="preserve"> responsibilities</w:t>
            </w:r>
            <w:r w:rsidRPr="004C1DA2">
              <w:rPr>
                <w:rFonts w:cstheme="minorHAnsi"/>
              </w:rPr>
              <w:t xml:space="preserve"> to comply with the </w:t>
            </w:r>
            <w:r w:rsidR="7D97DC3C" w:rsidRPr="004C1DA2">
              <w:rPr>
                <w:rFonts w:cstheme="minorHAnsi"/>
              </w:rPr>
              <w:t>C</w:t>
            </w:r>
            <w:r w:rsidRPr="004C1DA2">
              <w:rPr>
                <w:rFonts w:cstheme="minorHAnsi"/>
              </w:rPr>
              <w:t>ode</w:t>
            </w:r>
            <w:r w:rsidR="6D17A8ED" w:rsidRPr="004C1DA2">
              <w:rPr>
                <w:rFonts w:cstheme="minorHAnsi"/>
              </w:rPr>
              <w:t xml:space="preserve">. </w:t>
            </w:r>
          </w:p>
          <w:p w14:paraId="00FA0225" w14:textId="069BC982" w:rsidR="00A94011" w:rsidRPr="004C1DA2" w:rsidRDefault="7D97DC3C" w:rsidP="009973B3">
            <w:pPr>
              <w:spacing w:after="120"/>
              <w:rPr>
                <w:rFonts w:cstheme="minorHAnsi"/>
              </w:rPr>
            </w:pPr>
            <w:r w:rsidRPr="004C1DA2">
              <w:rPr>
                <w:rFonts w:cstheme="minorHAnsi"/>
              </w:rPr>
              <w:t>T</w:t>
            </w:r>
            <w:r w:rsidR="6D17A8ED" w:rsidRPr="004C1DA2">
              <w:rPr>
                <w:rFonts w:cstheme="minorHAnsi"/>
              </w:rPr>
              <w:t>he Commission has various guidance resources</w:t>
            </w:r>
            <w:r w:rsidR="0056053B" w:rsidRPr="004C1DA2">
              <w:rPr>
                <w:rFonts w:cstheme="minorHAnsi"/>
              </w:rPr>
              <w:t xml:space="preserve"> in plain English</w:t>
            </w:r>
            <w:r w:rsidR="6D17A8ED" w:rsidRPr="004C1DA2">
              <w:rPr>
                <w:rFonts w:cstheme="minorHAnsi"/>
              </w:rPr>
              <w:t xml:space="preserve"> available to support both providers and their staff</w:t>
            </w:r>
            <w:r w:rsidR="00AE3EE5" w:rsidRPr="004C1DA2">
              <w:rPr>
                <w:rFonts w:cstheme="minorHAnsi"/>
              </w:rPr>
              <w:t xml:space="preserve">, available </w:t>
            </w:r>
            <w:r w:rsidR="00F13B25" w:rsidRPr="004C1DA2">
              <w:rPr>
                <w:rFonts w:cstheme="minorHAnsi"/>
              </w:rPr>
              <w:t xml:space="preserve">via the Commission’s </w:t>
            </w:r>
            <w:hyperlink r:id="rId40" w:history="1">
              <w:r w:rsidR="00951911" w:rsidRPr="004C1DA2">
                <w:rPr>
                  <w:rStyle w:val="Hyperlink"/>
                  <w:rFonts w:cstheme="minorHAnsi"/>
                </w:rPr>
                <w:t>Code of Conduct workers</w:t>
              </w:r>
            </w:hyperlink>
            <w:r w:rsidR="00F13B25" w:rsidRPr="004C1DA2">
              <w:rPr>
                <w:rFonts w:cstheme="minorHAnsi"/>
              </w:rPr>
              <w:t xml:space="preserve"> and </w:t>
            </w:r>
            <w:hyperlink r:id="rId41" w:history="1">
              <w:r w:rsidR="00F13B25" w:rsidRPr="004C1DA2">
                <w:rPr>
                  <w:rStyle w:val="Hyperlink"/>
                  <w:rFonts w:cstheme="minorHAnsi"/>
                </w:rPr>
                <w:t xml:space="preserve">Code </w:t>
              </w:r>
              <w:r w:rsidR="00951911" w:rsidRPr="004C1DA2">
                <w:rPr>
                  <w:rStyle w:val="Hyperlink"/>
                  <w:rFonts w:cstheme="minorHAnsi"/>
                </w:rPr>
                <w:t>of Conduct providers</w:t>
              </w:r>
            </w:hyperlink>
            <w:r w:rsidR="00951911" w:rsidRPr="004C1DA2">
              <w:rPr>
                <w:rFonts w:cstheme="minorHAnsi"/>
              </w:rPr>
              <w:t xml:space="preserve"> page</w:t>
            </w:r>
            <w:r w:rsidR="001C3F78">
              <w:rPr>
                <w:rFonts w:cstheme="minorHAnsi"/>
              </w:rPr>
              <w:t>s</w:t>
            </w:r>
            <w:r w:rsidR="00EB78C5">
              <w:rPr>
                <w:rFonts w:cstheme="minorHAnsi"/>
              </w:rPr>
              <w:t xml:space="preserve"> and also has an online learning module ‘Know your Code’ available through the </w:t>
            </w:r>
            <w:hyperlink r:id="rId42" w:history="1">
              <w:r w:rsidR="000935DC" w:rsidRPr="006F1503">
                <w:rPr>
                  <w:rStyle w:val="Hyperlink"/>
                  <w:rFonts w:cstheme="minorHAnsi"/>
                </w:rPr>
                <w:t>A</w:t>
              </w:r>
              <w:r w:rsidR="000935DC">
                <w:rPr>
                  <w:rStyle w:val="Hyperlink"/>
                  <w:rFonts w:cstheme="minorHAnsi"/>
                </w:rPr>
                <w:t>lis online learning</w:t>
              </w:r>
              <w:r w:rsidR="000935DC" w:rsidRPr="006F1503">
                <w:rPr>
                  <w:rStyle w:val="Hyperlink"/>
                  <w:rFonts w:cstheme="minorHAnsi"/>
                </w:rPr>
                <w:t xml:space="preserve"> platform. </w:t>
              </w:r>
            </w:hyperlink>
            <w:r w:rsidR="00C211A7" w:rsidRPr="004C1DA2">
              <w:rPr>
                <w:rFonts w:cstheme="minorHAnsi"/>
              </w:rPr>
              <w:t xml:space="preserve"> </w:t>
            </w:r>
          </w:p>
          <w:p w14:paraId="6FA30E23" w14:textId="057A2086" w:rsidR="00506131" w:rsidRPr="004C1DA2" w:rsidRDefault="00AD19F1" w:rsidP="009973B3">
            <w:pPr>
              <w:spacing w:after="120"/>
              <w:rPr>
                <w:rFonts w:cstheme="minorHAnsi"/>
              </w:rPr>
            </w:pPr>
            <w:r>
              <w:rPr>
                <w:rFonts w:cstheme="minorHAnsi"/>
              </w:rPr>
              <w:t xml:space="preserve">Translated versions of the </w:t>
            </w:r>
            <w:hyperlink r:id="rId43" w:history="1">
              <w:r w:rsidR="00C50A37" w:rsidRPr="00063E9B">
                <w:rPr>
                  <w:rStyle w:val="Hyperlink"/>
                </w:rPr>
                <w:t>C</w:t>
              </w:r>
              <w:r w:rsidR="00C50A37" w:rsidRPr="00063E9B">
                <w:rPr>
                  <w:rStyle w:val="Hyperlink"/>
                  <w:rFonts w:cstheme="minorHAnsi"/>
                </w:rPr>
                <w:t>ode of Conduct for Aged Care – worker quick guide</w:t>
              </w:r>
            </w:hyperlink>
            <w:r w:rsidR="00A12AA8">
              <w:rPr>
                <w:rFonts w:cstheme="minorHAnsi"/>
              </w:rPr>
              <w:t xml:space="preserve"> are also available.</w:t>
            </w:r>
          </w:p>
        </w:tc>
      </w:tr>
      <w:tr w:rsidR="00506131" w:rsidRPr="004C1DA2" w14:paraId="19BF8196" w14:textId="77777777" w:rsidTr="045764E4">
        <w:trPr>
          <w:trHeight w:val="780"/>
        </w:trPr>
        <w:tc>
          <w:tcPr>
            <w:tcW w:w="5665" w:type="dxa"/>
            <w:hideMark/>
          </w:tcPr>
          <w:p w14:paraId="1E5B2466" w14:textId="2AC1319C" w:rsidR="00506131" w:rsidRPr="004C1DA2" w:rsidRDefault="00506131" w:rsidP="009973B3">
            <w:pPr>
              <w:spacing w:after="120"/>
              <w:rPr>
                <w:rFonts w:cstheme="minorHAnsi"/>
              </w:rPr>
            </w:pPr>
            <w:r w:rsidRPr="004C1DA2">
              <w:rPr>
                <w:rFonts w:cstheme="minorHAnsi"/>
              </w:rPr>
              <w:t xml:space="preserve">Will we need to report a new potential worker or volunteer who returns </w:t>
            </w:r>
            <w:r w:rsidR="00235AA0">
              <w:rPr>
                <w:rFonts w:cstheme="minorHAnsi"/>
              </w:rPr>
              <w:t xml:space="preserve">an </w:t>
            </w:r>
            <w:r w:rsidR="00B568F8" w:rsidRPr="004C1DA2">
              <w:rPr>
                <w:rFonts w:cstheme="minorHAnsi"/>
              </w:rPr>
              <w:t>unfavourable police</w:t>
            </w:r>
            <w:r w:rsidRPr="004C1DA2">
              <w:rPr>
                <w:rFonts w:cstheme="minorHAnsi"/>
              </w:rPr>
              <w:t xml:space="preserve"> </w:t>
            </w:r>
            <w:proofErr w:type="gramStart"/>
            <w:r w:rsidRPr="004C1DA2">
              <w:rPr>
                <w:rFonts w:cstheme="minorHAnsi"/>
              </w:rPr>
              <w:t>check</w:t>
            </w:r>
            <w:proofErr w:type="gramEnd"/>
            <w:r w:rsidRPr="004C1DA2">
              <w:rPr>
                <w:rFonts w:cstheme="minorHAnsi"/>
              </w:rPr>
              <w:t xml:space="preserve"> or will the </w:t>
            </w:r>
            <w:r w:rsidR="00235AA0">
              <w:rPr>
                <w:rFonts w:cstheme="minorHAnsi"/>
              </w:rPr>
              <w:t>C</w:t>
            </w:r>
            <w:r w:rsidR="00235AA0" w:rsidRPr="004C1DA2">
              <w:rPr>
                <w:rFonts w:cstheme="minorHAnsi"/>
              </w:rPr>
              <w:t xml:space="preserve">ommission </w:t>
            </w:r>
            <w:r w:rsidRPr="004C1DA2">
              <w:rPr>
                <w:rFonts w:cstheme="minorHAnsi"/>
              </w:rPr>
              <w:t xml:space="preserve">be notified </w:t>
            </w:r>
            <w:r w:rsidR="00B568F8" w:rsidRPr="004C1DA2">
              <w:rPr>
                <w:rFonts w:cstheme="minorHAnsi"/>
              </w:rPr>
              <w:t>(e.g.</w:t>
            </w:r>
            <w:r w:rsidRPr="004C1DA2">
              <w:rPr>
                <w:rFonts w:cstheme="minorHAnsi"/>
              </w:rPr>
              <w:t xml:space="preserve"> like the NDIS worker's screen</w:t>
            </w:r>
            <w:r w:rsidR="00235AA0">
              <w:rPr>
                <w:rFonts w:cstheme="minorHAnsi"/>
              </w:rPr>
              <w:t>)</w:t>
            </w:r>
            <w:r w:rsidRPr="004C1DA2">
              <w:rPr>
                <w:rFonts w:cstheme="minorHAnsi"/>
              </w:rPr>
              <w:t>?</w:t>
            </w:r>
          </w:p>
        </w:tc>
        <w:tc>
          <w:tcPr>
            <w:tcW w:w="7797" w:type="dxa"/>
            <w:hideMark/>
          </w:tcPr>
          <w:p w14:paraId="5786496E" w14:textId="5EBBB434" w:rsidR="00854F10" w:rsidRPr="004C1DA2" w:rsidRDefault="4EADB1CC" w:rsidP="009973B3">
            <w:pPr>
              <w:spacing w:after="120"/>
              <w:rPr>
                <w:rFonts w:cstheme="minorHAnsi"/>
              </w:rPr>
            </w:pPr>
            <w:r w:rsidRPr="004C1DA2">
              <w:rPr>
                <w:rFonts w:cstheme="minorHAnsi"/>
              </w:rPr>
              <w:t xml:space="preserve">Currently, </w:t>
            </w:r>
            <w:r w:rsidR="44C32470" w:rsidRPr="004C1DA2">
              <w:rPr>
                <w:rFonts w:cstheme="minorHAnsi"/>
              </w:rPr>
              <w:t xml:space="preserve">providers </w:t>
            </w:r>
            <w:r w:rsidRPr="004C1DA2">
              <w:rPr>
                <w:rFonts w:cstheme="minorHAnsi"/>
              </w:rPr>
              <w:t xml:space="preserve">are not required </w:t>
            </w:r>
            <w:r w:rsidR="44C32470" w:rsidRPr="004C1DA2">
              <w:rPr>
                <w:rFonts w:cstheme="minorHAnsi"/>
              </w:rPr>
              <w:t>to notify the Commission of police check results of their current or prospective worker or volunteer.</w:t>
            </w:r>
          </w:p>
          <w:p w14:paraId="3B7472EA" w14:textId="77777777" w:rsidR="00BB7D9A" w:rsidRDefault="4EADB1CC" w:rsidP="009973B3">
            <w:pPr>
              <w:spacing w:after="120"/>
              <w:rPr>
                <w:rFonts w:cstheme="minorHAnsi"/>
              </w:rPr>
            </w:pPr>
            <w:r w:rsidRPr="004C1DA2">
              <w:rPr>
                <w:rFonts w:cstheme="minorHAnsi"/>
              </w:rPr>
              <w:t xml:space="preserve">However, the legislation does require approved providers to </w:t>
            </w:r>
            <w:r w:rsidR="424BC26F" w:rsidRPr="004C1DA2">
              <w:rPr>
                <w:rFonts w:cstheme="minorHAnsi"/>
              </w:rPr>
              <w:t xml:space="preserve">notify the Commission </w:t>
            </w:r>
            <w:r w:rsidR="00EB78C5">
              <w:rPr>
                <w:rFonts w:cstheme="minorHAnsi"/>
              </w:rPr>
              <w:t>when they</w:t>
            </w:r>
            <w:r w:rsidR="00EB78C5" w:rsidRPr="004C1DA2">
              <w:rPr>
                <w:rFonts w:cstheme="minorHAnsi"/>
              </w:rPr>
              <w:t xml:space="preserve"> </w:t>
            </w:r>
            <w:r w:rsidR="249226A8" w:rsidRPr="004C1DA2">
              <w:rPr>
                <w:rFonts w:cstheme="minorHAnsi"/>
              </w:rPr>
              <w:t>becom</w:t>
            </w:r>
            <w:r w:rsidR="00EB78C5">
              <w:rPr>
                <w:rFonts w:cstheme="minorHAnsi"/>
              </w:rPr>
              <w:t>e</w:t>
            </w:r>
            <w:r w:rsidR="249226A8" w:rsidRPr="004C1DA2">
              <w:rPr>
                <w:rFonts w:cstheme="minorHAnsi"/>
              </w:rPr>
              <w:t xml:space="preserve"> aware of a change of circumstances that relates to the suitability matters of an individual who is one of </w:t>
            </w:r>
            <w:r w:rsidR="04DF0284" w:rsidRPr="004C1DA2">
              <w:rPr>
                <w:rFonts w:cstheme="minorHAnsi"/>
              </w:rPr>
              <w:t>their</w:t>
            </w:r>
            <w:r w:rsidR="249226A8" w:rsidRPr="004C1DA2">
              <w:rPr>
                <w:rFonts w:cstheme="minorHAnsi"/>
              </w:rPr>
              <w:t xml:space="preserve"> key personnel.</w:t>
            </w:r>
            <w:r w:rsidR="6BA2A263" w:rsidRPr="004C1DA2">
              <w:rPr>
                <w:rFonts w:cstheme="minorHAnsi"/>
              </w:rPr>
              <w:t xml:space="preserve"> </w:t>
            </w:r>
          </w:p>
          <w:p w14:paraId="1F8C67BA" w14:textId="2DC313CD" w:rsidR="00854F10" w:rsidRDefault="25A09D7B" w:rsidP="009973B3">
            <w:pPr>
              <w:spacing w:after="120"/>
              <w:rPr>
                <w:rFonts w:cstheme="minorHAnsi"/>
              </w:rPr>
            </w:pPr>
            <w:r w:rsidRPr="004C1DA2">
              <w:rPr>
                <w:rFonts w:cstheme="minorHAnsi"/>
              </w:rPr>
              <w:t>Suitability matters</w:t>
            </w:r>
            <w:r w:rsidR="41C8701A" w:rsidRPr="004C1DA2">
              <w:rPr>
                <w:rFonts w:cstheme="minorHAnsi"/>
              </w:rPr>
              <w:t xml:space="preserve"> include, but </w:t>
            </w:r>
            <w:r w:rsidR="00382BDA" w:rsidRPr="004C1DA2">
              <w:rPr>
                <w:rFonts w:cstheme="minorHAnsi"/>
              </w:rPr>
              <w:t>are</w:t>
            </w:r>
            <w:r w:rsidR="41C8701A" w:rsidRPr="004C1DA2">
              <w:rPr>
                <w:rFonts w:cstheme="minorHAnsi"/>
              </w:rPr>
              <w:t xml:space="preserve"> not limited to</w:t>
            </w:r>
            <w:r w:rsidR="00BB7D9A">
              <w:rPr>
                <w:rFonts w:cstheme="minorHAnsi"/>
              </w:rPr>
              <w:t>,</w:t>
            </w:r>
            <w:r w:rsidR="41C8701A" w:rsidRPr="004C1DA2">
              <w:rPr>
                <w:rFonts w:cstheme="minorHAnsi"/>
              </w:rPr>
              <w:t xml:space="preserve"> </w:t>
            </w:r>
            <w:r w:rsidR="2E8DC0C9" w:rsidRPr="004C1DA2">
              <w:rPr>
                <w:rFonts w:cstheme="minorHAnsi"/>
              </w:rPr>
              <w:t xml:space="preserve">conviction of </w:t>
            </w:r>
            <w:r w:rsidR="00BB7D9A">
              <w:rPr>
                <w:rFonts w:cstheme="minorHAnsi"/>
              </w:rPr>
              <w:t>an</w:t>
            </w:r>
            <w:r w:rsidR="2E8DC0C9" w:rsidRPr="004C1DA2">
              <w:rPr>
                <w:rFonts w:cstheme="minorHAnsi"/>
              </w:rPr>
              <w:t xml:space="preserve"> indictable offence, </w:t>
            </w:r>
            <w:r w:rsidR="345D21DE" w:rsidRPr="004C1DA2">
              <w:rPr>
                <w:rFonts w:cstheme="minorHAnsi"/>
              </w:rPr>
              <w:t xml:space="preserve">being a </w:t>
            </w:r>
            <w:r w:rsidR="2E8DC0C9" w:rsidRPr="004C1DA2">
              <w:rPr>
                <w:rFonts w:cstheme="minorHAnsi"/>
              </w:rPr>
              <w:t xml:space="preserve">subject of adverse findings or enforcement actions, </w:t>
            </w:r>
            <w:r w:rsidR="345D21DE" w:rsidRPr="004C1DA2">
              <w:rPr>
                <w:rFonts w:cstheme="minorHAnsi"/>
              </w:rPr>
              <w:t>and being a subject of findings or judgment in relation to fraud, misrepresentation or dishonesty in any administrative, civil or criminal proceedings.</w:t>
            </w:r>
          </w:p>
          <w:p w14:paraId="299023F0" w14:textId="6EF3F1B4" w:rsidR="004C1DA2" w:rsidRPr="004C1DA2" w:rsidRDefault="004C1DA2" w:rsidP="009973B3">
            <w:pPr>
              <w:spacing w:after="120"/>
              <w:rPr>
                <w:rFonts w:cstheme="minorHAnsi"/>
                <w:u w:val="single"/>
              </w:rPr>
            </w:pPr>
          </w:p>
        </w:tc>
      </w:tr>
      <w:tr w:rsidR="00506131" w:rsidRPr="004C1DA2" w14:paraId="34B773A6" w14:textId="77777777" w:rsidTr="045764E4">
        <w:trPr>
          <w:trHeight w:val="267"/>
        </w:trPr>
        <w:tc>
          <w:tcPr>
            <w:tcW w:w="5665" w:type="dxa"/>
            <w:shd w:val="clear" w:color="auto" w:fill="8EAADB" w:themeFill="accent1" w:themeFillTint="99"/>
            <w:vAlign w:val="center"/>
            <w:hideMark/>
          </w:tcPr>
          <w:p w14:paraId="27C4D3AE" w14:textId="4A583B10" w:rsidR="00506131" w:rsidRPr="004C1DA2" w:rsidRDefault="008F7170" w:rsidP="00F860D1">
            <w:pPr>
              <w:spacing w:after="120"/>
              <w:rPr>
                <w:rFonts w:cstheme="minorHAnsi"/>
                <w:b/>
              </w:rPr>
            </w:pPr>
            <w:r w:rsidRPr="004C1DA2">
              <w:rPr>
                <w:rFonts w:cstheme="minorHAnsi"/>
                <w:b/>
              </w:rPr>
              <w:lastRenderedPageBreak/>
              <w:t xml:space="preserve">HOME </w:t>
            </w:r>
            <w:r w:rsidR="00740364">
              <w:rPr>
                <w:rFonts w:cstheme="minorHAnsi"/>
                <w:b/>
              </w:rPr>
              <w:t>SERVICES</w:t>
            </w:r>
          </w:p>
        </w:tc>
        <w:tc>
          <w:tcPr>
            <w:tcW w:w="7797" w:type="dxa"/>
            <w:shd w:val="clear" w:color="auto" w:fill="8EAADB" w:themeFill="accent1" w:themeFillTint="99"/>
          </w:tcPr>
          <w:p w14:paraId="44F98D88" w14:textId="02CA598D" w:rsidR="00506131" w:rsidRPr="004C1DA2" w:rsidRDefault="00506131" w:rsidP="009973B3">
            <w:pPr>
              <w:spacing w:after="120"/>
              <w:rPr>
                <w:rFonts w:cstheme="minorHAnsi"/>
                <w:b/>
              </w:rPr>
            </w:pPr>
          </w:p>
        </w:tc>
      </w:tr>
      <w:tr w:rsidR="00506131" w:rsidRPr="004C1DA2" w14:paraId="5A1E3748" w14:textId="77777777" w:rsidTr="045764E4">
        <w:trPr>
          <w:trHeight w:val="1125"/>
        </w:trPr>
        <w:tc>
          <w:tcPr>
            <w:tcW w:w="5665" w:type="dxa"/>
            <w:hideMark/>
          </w:tcPr>
          <w:p w14:paraId="7CDC6797" w14:textId="3C37FED2" w:rsidR="00506131" w:rsidRPr="004C1DA2" w:rsidRDefault="00506131" w:rsidP="009973B3">
            <w:pPr>
              <w:spacing w:after="120"/>
              <w:rPr>
                <w:rFonts w:cstheme="minorHAnsi"/>
              </w:rPr>
            </w:pPr>
            <w:r w:rsidRPr="004C1DA2">
              <w:rPr>
                <w:rFonts w:cstheme="minorHAnsi"/>
              </w:rPr>
              <w:t xml:space="preserve">Can you provide advice on the regulatory position and/or penalties for providers who do not comply with the price caps and </w:t>
            </w:r>
            <w:r w:rsidR="00FB4A54">
              <w:rPr>
                <w:rFonts w:cstheme="minorHAnsi"/>
              </w:rPr>
              <w:t xml:space="preserve">are </w:t>
            </w:r>
            <w:r w:rsidRPr="004C1DA2">
              <w:rPr>
                <w:rFonts w:cstheme="minorHAnsi"/>
              </w:rPr>
              <w:t>not charging package management fees in certain circumstances from 1 January</w:t>
            </w:r>
            <w:r w:rsidR="00FB4A54">
              <w:rPr>
                <w:rFonts w:cstheme="minorHAnsi"/>
              </w:rPr>
              <w:t xml:space="preserve"> 2023</w:t>
            </w:r>
            <w:r w:rsidRPr="004C1DA2">
              <w:rPr>
                <w:rFonts w:cstheme="minorHAnsi"/>
              </w:rPr>
              <w:t xml:space="preserve">? Considering that the change was only communicated to providers in late November </w:t>
            </w:r>
            <w:r w:rsidR="00662920">
              <w:rPr>
                <w:rFonts w:cstheme="minorHAnsi"/>
              </w:rPr>
              <w:t xml:space="preserve">2022 </w:t>
            </w:r>
            <w:r w:rsidRPr="004C1DA2">
              <w:rPr>
                <w:rFonts w:cstheme="minorHAnsi"/>
              </w:rPr>
              <w:t>and there is very limited time to enact the changes.</w:t>
            </w:r>
          </w:p>
        </w:tc>
        <w:tc>
          <w:tcPr>
            <w:tcW w:w="7797" w:type="dxa"/>
          </w:tcPr>
          <w:p w14:paraId="00BA6D98" w14:textId="3D52586C" w:rsidR="00D974FB" w:rsidRPr="004C1DA2" w:rsidRDefault="00D974FB" w:rsidP="009973B3">
            <w:pPr>
              <w:spacing w:after="120"/>
              <w:rPr>
                <w:rFonts w:cstheme="minorHAnsi"/>
              </w:rPr>
            </w:pPr>
            <w:r w:rsidRPr="004C1DA2">
              <w:rPr>
                <w:rFonts w:cstheme="minorHAnsi"/>
              </w:rPr>
              <w:t xml:space="preserve">The Commission is actively monitoring how the sector is responding to their responsibilities </w:t>
            </w:r>
            <w:r w:rsidR="006257F1">
              <w:rPr>
                <w:rFonts w:cstheme="minorHAnsi"/>
              </w:rPr>
              <w:t xml:space="preserve">for </w:t>
            </w:r>
            <w:r w:rsidRPr="004C1DA2">
              <w:rPr>
                <w:rFonts w:cstheme="minorHAnsi"/>
              </w:rPr>
              <w:t>charging and Home Care Packages.</w:t>
            </w:r>
          </w:p>
          <w:p w14:paraId="41575046" w14:textId="2F63B532" w:rsidR="0055695C" w:rsidRPr="004C1DA2" w:rsidRDefault="0055695C" w:rsidP="009973B3">
            <w:pPr>
              <w:spacing w:after="120"/>
              <w:rPr>
                <w:rFonts w:cstheme="minorHAnsi"/>
              </w:rPr>
            </w:pPr>
            <w:r w:rsidRPr="004C1DA2">
              <w:rPr>
                <w:rFonts w:cstheme="minorHAnsi"/>
              </w:rPr>
              <w:t xml:space="preserve">Where the Commission identifies </w:t>
            </w:r>
            <w:r w:rsidR="00CC5802">
              <w:rPr>
                <w:rFonts w:cstheme="minorHAnsi"/>
              </w:rPr>
              <w:t xml:space="preserve">non-compliance </w:t>
            </w:r>
            <w:r w:rsidR="00662920">
              <w:rPr>
                <w:rFonts w:cstheme="minorHAnsi"/>
              </w:rPr>
              <w:t>by an</w:t>
            </w:r>
            <w:r w:rsidR="00CC5802">
              <w:rPr>
                <w:rFonts w:cstheme="minorHAnsi"/>
              </w:rPr>
              <w:t xml:space="preserve"> </w:t>
            </w:r>
            <w:r w:rsidRPr="004C1DA2">
              <w:rPr>
                <w:rFonts w:cstheme="minorHAnsi"/>
              </w:rPr>
              <w:t>approved provider, the Commission will consider the steps the provider has taken to implement the new changes in a timely way. The Commission expects approved providers to co-operate and show a willingness to comply with these changes. Where approved providers demonstrate that they are actively working to comply with their obligations, the Commission will consider these actions as part of its proportionate response to any identified non-compliance.</w:t>
            </w:r>
          </w:p>
          <w:p w14:paraId="3A01BEB1" w14:textId="3A7BD6B2" w:rsidR="00955215" w:rsidRPr="004C1DA2" w:rsidRDefault="006C6B23" w:rsidP="009973B3">
            <w:pPr>
              <w:spacing w:after="120"/>
              <w:rPr>
                <w:rFonts w:cstheme="minorHAnsi"/>
              </w:rPr>
            </w:pPr>
            <w:r w:rsidRPr="004C1DA2">
              <w:rPr>
                <w:rFonts w:cstheme="minorHAnsi"/>
              </w:rPr>
              <w:t xml:space="preserve">Where providers have </w:t>
            </w:r>
            <w:r w:rsidR="006257F1">
              <w:rPr>
                <w:rFonts w:cstheme="minorHAnsi"/>
              </w:rPr>
              <w:t xml:space="preserve">had time </w:t>
            </w:r>
            <w:r w:rsidRPr="004C1DA2">
              <w:rPr>
                <w:rFonts w:cstheme="minorHAnsi"/>
              </w:rPr>
              <w:t xml:space="preserve">to understand and implement the new changes and have not done so, the Commission’s approach to dealing with non-compliance will be to select a response in proportion to the issues identified and </w:t>
            </w:r>
            <w:r w:rsidR="00F00568">
              <w:rPr>
                <w:rFonts w:cstheme="minorHAnsi"/>
              </w:rPr>
              <w:t xml:space="preserve">the </w:t>
            </w:r>
            <w:r w:rsidRPr="004C1DA2">
              <w:rPr>
                <w:rFonts w:cstheme="minorHAnsi"/>
              </w:rPr>
              <w:t>risks posed to consumers. For clarity, if significant or repeated non</w:t>
            </w:r>
            <w:r w:rsidR="00CC5802">
              <w:rPr>
                <w:rFonts w:cstheme="minorHAnsi"/>
              </w:rPr>
              <w:t>-</w:t>
            </w:r>
            <w:r w:rsidRPr="004C1DA2">
              <w:rPr>
                <w:rFonts w:cstheme="minorHAnsi"/>
              </w:rPr>
              <w:t>compliance is found, the Commission will escalate its regulatory response, including compliance and enforcement actions.</w:t>
            </w:r>
          </w:p>
          <w:p w14:paraId="2E7F0637" w14:textId="2EE39152" w:rsidR="00EB2BAE" w:rsidRPr="004C1DA2" w:rsidRDefault="04663FF4" w:rsidP="009973B3">
            <w:pPr>
              <w:spacing w:after="120"/>
              <w:rPr>
                <w:rFonts w:cstheme="minorHAnsi"/>
              </w:rPr>
            </w:pPr>
            <w:r w:rsidRPr="004C1DA2">
              <w:rPr>
                <w:rFonts w:cstheme="minorHAnsi"/>
              </w:rPr>
              <w:t xml:space="preserve">Refer </w:t>
            </w:r>
            <w:r w:rsidR="00F2760B" w:rsidRPr="004C1DA2">
              <w:rPr>
                <w:rFonts w:cstheme="minorHAnsi"/>
              </w:rPr>
              <w:t xml:space="preserve">to </w:t>
            </w:r>
            <w:hyperlink r:id="rId44" w:history="1">
              <w:r w:rsidR="00ED2275">
                <w:rPr>
                  <w:rStyle w:val="Hyperlink"/>
                  <w:rFonts w:cstheme="minorHAnsi"/>
                </w:rPr>
                <w:t>RB 2022-16: Changes to Administration and Management Charges in the Home Care Packages Program</w:t>
              </w:r>
            </w:hyperlink>
            <w:r w:rsidR="00EA56BB" w:rsidRPr="004C1DA2">
              <w:rPr>
                <w:rFonts w:cstheme="minorHAnsi"/>
              </w:rPr>
              <w:t xml:space="preserve"> </w:t>
            </w:r>
            <w:r w:rsidRPr="004C1DA2">
              <w:rPr>
                <w:rFonts w:cstheme="minorHAnsi"/>
              </w:rPr>
              <w:t>for the Commission’s approach to monitoring compliance and enforcement</w:t>
            </w:r>
            <w:r w:rsidR="00295CE9" w:rsidRPr="004C1DA2">
              <w:rPr>
                <w:rFonts w:cstheme="minorHAnsi"/>
              </w:rPr>
              <w:t xml:space="preserve"> </w:t>
            </w:r>
            <w:r w:rsidR="00ED2275">
              <w:rPr>
                <w:rFonts w:cstheme="minorHAnsi"/>
              </w:rPr>
              <w:t>on this issue.</w:t>
            </w:r>
          </w:p>
        </w:tc>
      </w:tr>
      <w:tr w:rsidR="00506131" w:rsidRPr="004C1DA2" w14:paraId="099691E1" w14:textId="77777777" w:rsidTr="045764E4">
        <w:trPr>
          <w:trHeight w:val="780"/>
        </w:trPr>
        <w:tc>
          <w:tcPr>
            <w:tcW w:w="5665" w:type="dxa"/>
          </w:tcPr>
          <w:p w14:paraId="3F16AAA0" w14:textId="2BB14BA6" w:rsidR="00506131" w:rsidRPr="004C1DA2" w:rsidRDefault="00317D20" w:rsidP="009973B3">
            <w:pPr>
              <w:spacing w:after="120"/>
              <w:rPr>
                <w:rFonts w:cstheme="minorHAnsi"/>
                <w:highlight w:val="green"/>
              </w:rPr>
            </w:pPr>
            <w:r w:rsidRPr="004C1DA2">
              <w:rPr>
                <w:rFonts w:cstheme="minorHAnsi"/>
              </w:rPr>
              <w:t xml:space="preserve">Please provide some detail </w:t>
            </w:r>
            <w:r w:rsidR="00ED2275">
              <w:rPr>
                <w:rFonts w:cstheme="minorHAnsi"/>
              </w:rPr>
              <w:t>or</w:t>
            </w:r>
            <w:r w:rsidR="00ED2275" w:rsidRPr="004C1DA2">
              <w:rPr>
                <w:rFonts w:cstheme="minorHAnsi"/>
              </w:rPr>
              <w:t xml:space="preserve"> </w:t>
            </w:r>
            <w:r w:rsidRPr="004C1DA2">
              <w:rPr>
                <w:rFonts w:cstheme="minorHAnsi"/>
              </w:rPr>
              <w:t>updates for home service providers</w:t>
            </w:r>
            <w:r w:rsidR="000D170E">
              <w:rPr>
                <w:rFonts w:cstheme="minorHAnsi"/>
              </w:rPr>
              <w:t>’</w:t>
            </w:r>
            <w:r w:rsidRPr="004C1DA2">
              <w:rPr>
                <w:rFonts w:cstheme="minorHAnsi"/>
              </w:rPr>
              <w:t xml:space="preserve"> quality review processes, especially if part of an integrated Community Health Service (</w:t>
            </w:r>
            <w:r w:rsidR="000D170E">
              <w:rPr>
                <w:rFonts w:cstheme="minorHAnsi"/>
              </w:rPr>
              <w:t>b</w:t>
            </w:r>
            <w:r w:rsidR="000D170E" w:rsidRPr="004C1DA2">
              <w:rPr>
                <w:rFonts w:cstheme="minorHAnsi"/>
              </w:rPr>
              <w:t xml:space="preserve">igger </w:t>
            </w:r>
            <w:r w:rsidRPr="004C1DA2">
              <w:rPr>
                <w:rFonts w:cstheme="minorHAnsi"/>
              </w:rPr>
              <w:t xml:space="preserve">public </w:t>
            </w:r>
            <w:r w:rsidR="000D170E">
              <w:rPr>
                <w:rFonts w:cstheme="minorHAnsi"/>
              </w:rPr>
              <w:t>h</w:t>
            </w:r>
            <w:r w:rsidR="000D170E" w:rsidRPr="004C1DA2">
              <w:rPr>
                <w:rFonts w:cstheme="minorHAnsi"/>
              </w:rPr>
              <w:t xml:space="preserve">ealth </w:t>
            </w:r>
            <w:r w:rsidRPr="004C1DA2">
              <w:rPr>
                <w:rFonts w:cstheme="minorHAnsi"/>
              </w:rPr>
              <w:t xml:space="preserve">service organisation). </w:t>
            </w:r>
          </w:p>
        </w:tc>
        <w:tc>
          <w:tcPr>
            <w:tcW w:w="7797" w:type="dxa"/>
          </w:tcPr>
          <w:p w14:paraId="639C9896" w14:textId="34223ACC" w:rsidR="00FF7B15" w:rsidRPr="004C1DA2" w:rsidRDefault="4C3BF2D4" w:rsidP="009973B3">
            <w:pPr>
              <w:spacing w:after="120"/>
              <w:rPr>
                <w:rFonts w:cstheme="minorHAnsi"/>
              </w:rPr>
            </w:pPr>
            <w:r w:rsidRPr="004C1DA2">
              <w:rPr>
                <w:rFonts w:cstheme="minorHAnsi"/>
              </w:rPr>
              <w:t>Quality review assessment processes are the same for all home service providers.</w:t>
            </w:r>
            <w:r w:rsidR="00B909A1" w:rsidRPr="004C1DA2">
              <w:rPr>
                <w:rFonts w:cstheme="minorHAnsi"/>
              </w:rPr>
              <w:t xml:space="preserve"> </w:t>
            </w:r>
            <w:r w:rsidR="00FF7B15" w:rsidRPr="004C1DA2">
              <w:rPr>
                <w:rFonts w:cstheme="minorHAnsi"/>
              </w:rPr>
              <w:t xml:space="preserve">More </w:t>
            </w:r>
            <w:hyperlink r:id="rId45" w:history="1">
              <w:r w:rsidR="00FF7B15" w:rsidRPr="000D170E">
                <w:rPr>
                  <w:rStyle w:val="Hyperlink"/>
                  <w:rFonts w:cstheme="minorHAnsi"/>
                </w:rPr>
                <w:t xml:space="preserve">information </w:t>
              </w:r>
              <w:r w:rsidR="000D170E" w:rsidRPr="000D170E">
                <w:rPr>
                  <w:rStyle w:val="Hyperlink"/>
                  <w:rFonts w:cstheme="minorHAnsi"/>
                </w:rPr>
                <w:t>about home services</w:t>
              </w:r>
            </w:hyperlink>
            <w:r w:rsidR="000D170E">
              <w:rPr>
                <w:rFonts w:cstheme="minorHAnsi"/>
              </w:rPr>
              <w:t xml:space="preserve"> </w:t>
            </w:r>
            <w:r w:rsidR="00FF7B15" w:rsidRPr="004C1DA2">
              <w:rPr>
                <w:rFonts w:cstheme="minorHAnsi"/>
              </w:rPr>
              <w:t xml:space="preserve">is available at </w:t>
            </w:r>
            <w:r w:rsidR="000D170E">
              <w:rPr>
                <w:rFonts w:cstheme="minorHAnsi"/>
              </w:rPr>
              <w:t xml:space="preserve">on our website. </w:t>
            </w:r>
          </w:p>
        </w:tc>
      </w:tr>
      <w:tr w:rsidR="00BB7697" w:rsidRPr="004C1DA2" w14:paraId="3078F9ED" w14:textId="77777777" w:rsidTr="045764E4">
        <w:trPr>
          <w:trHeight w:val="780"/>
        </w:trPr>
        <w:tc>
          <w:tcPr>
            <w:tcW w:w="5665" w:type="dxa"/>
          </w:tcPr>
          <w:p w14:paraId="51E6AEDB" w14:textId="13A357DB" w:rsidR="00BB7697" w:rsidRPr="004C1DA2" w:rsidRDefault="00BB7697" w:rsidP="009973B3">
            <w:pPr>
              <w:spacing w:after="120"/>
              <w:rPr>
                <w:rFonts w:cstheme="minorHAnsi"/>
              </w:rPr>
            </w:pPr>
            <w:r w:rsidRPr="004C1DA2">
              <w:rPr>
                <w:rFonts w:cstheme="minorHAnsi"/>
              </w:rPr>
              <w:t xml:space="preserve">How will quality and safety be measured in all facilities and providers of </w:t>
            </w:r>
            <w:r w:rsidR="00F24054">
              <w:rPr>
                <w:rFonts w:cstheme="minorHAnsi"/>
              </w:rPr>
              <w:t>a</w:t>
            </w:r>
            <w:r w:rsidR="00F24054" w:rsidRPr="004C1DA2">
              <w:rPr>
                <w:rFonts w:cstheme="minorHAnsi"/>
              </w:rPr>
              <w:t xml:space="preserve">ged </w:t>
            </w:r>
            <w:r w:rsidRPr="004C1DA2">
              <w:rPr>
                <w:rFonts w:cstheme="minorHAnsi"/>
              </w:rPr>
              <w:t>care regularly?</w:t>
            </w:r>
            <w:r w:rsidR="00B909A1" w:rsidRPr="004C1DA2">
              <w:rPr>
                <w:rFonts w:cstheme="minorHAnsi"/>
              </w:rPr>
              <w:t xml:space="preserve"> </w:t>
            </w:r>
            <w:r w:rsidRPr="004C1DA2">
              <w:rPr>
                <w:rFonts w:cstheme="minorHAnsi"/>
              </w:rPr>
              <w:t>More specifically</w:t>
            </w:r>
            <w:r w:rsidR="00B909A1" w:rsidRPr="004C1DA2">
              <w:rPr>
                <w:rFonts w:cstheme="minorHAnsi"/>
              </w:rPr>
              <w:t>,</w:t>
            </w:r>
            <w:r w:rsidRPr="004C1DA2">
              <w:rPr>
                <w:rFonts w:cstheme="minorHAnsi"/>
              </w:rPr>
              <w:t xml:space="preserve"> how will the services be measured in </w:t>
            </w:r>
            <w:r w:rsidR="00F24054">
              <w:rPr>
                <w:rFonts w:cstheme="minorHAnsi"/>
              </w:rPr>
              <w:t>h</w:t>
            </w:r>
            <w:r w:rsidR="00F24054" w:rsidRPr="004C1DA2">
              <w:rPr>
                <w:rFonts w:cstheme="minorHAnsi"/>
              </w:rPr>
              <w:t xml:space="preserve">ome </w:t>
            </w:r>
            <w:r w:rsidR="00F24054">
              <w:rPr>
                <w:rFonts w:cstheme="minorHAnsi"/>
              </w:rPr>
              <w:t>c</w:t>
            </w:r>
            <w:r w:rsidR="00F24054" w:rsidRPr="004C1DA2">
              <w:rPr>
                <w:rFonts w:cstheme="minorHAnsi"/>
              </w:rPr>
              <w:t>are</w:t>
            </w:r>
            <w:r w:rsidRPr="004C1DA2">
              <w:rPr>
                <w:rFonts w:cstheme="minorHAnsi"/>
              </w:rPr>
              <w:t xml:space="preserve"> when there are not enough employees to provide the services? (</w:t>
            </w:r>
            <w:r w:rsidR="002A2032">
              <w:rPr>
                <w:rFonts w:cstheme="minorHAnsi"/>
              </w:rPr>
              <w:t>C</w:t>
            </w:r>
            <w:r w:rsidR="00F24054" w:rsidRPr="004C1DA2">
              <w:rPr>
                <w:rFonts w:cstheme="minorHAnsi"/>
              </w:rPr>
              <w:t xml:space="preserve">oncerns </w:t>
            </w:r>
            <w:r w:rsidRPr="004C1DA2">
              <w:rPr>
                <w:rFonts w:cstheme="minorHAnsi"/>
              </w:rPr>
              <w:t xml:space="preserve">that </w:t>
            </w:r>
            <w:r w:rsidRPr="004C1DA2">
              <w:rPr>
                <w:rFonts w:cstheme="minorHAnsi"/>
              </w:rPr>
              <w:lastRenderedPageBreak/>
              <w:t>just anyone will be employed for this as services become more desperate for staffing)</w:t>
            </w:r>
          </w:p>
        </w:tc>
        <w:tc>
          <w:tcPr>
            <w:tcW w:w="7797" w:type="dxa"/>
          </w:tcPr>
          <w:p w14:paraId="173E2664" w14:textId="7C6E2AF8" w:rsidR="008E539B" w:rsidRPr="004C1DA2" w:rsidRDefault="0C307F64" w:rsidP="009973B3">
            <w:pPr>
              <w:spacing w:after="120"/>
              <w:rPr>
                <w:rFonts w:eastAsia="Calibri" w:cstheme="minorHAnsi"/>
              </w:rPr>
            </w:pPr>
            <w:r w:rsidRPr="004C1DA2">
              <w:rPr>
                <w:rFonts w:eastAsia="Calibri" w:cstheme="minorHAnsi"/>
              </w:rPr>
              <w:lastRenderedPageBreak/>
              <w:t xml:space="preserve">The Commission </w:t>
            </w:r>
            <w:r w:rsidR="005977CE">
              <w:t>monitors home service providers’ compliance with the quality standards which includes Standard 7 Human resources and Standard 8 Organisational governance that cover workforce governance and management requirements</w:t>
            </w:r>
            <w:r w:rsidRPr="004C1DA2">
              <w:rPr>
                <w:rFonts w:eastAsia="Calibri" w:cstheme="minorHAnsi"/>
              </w:rPr>
              <w:t xml:space="preserve">. </w:t>
            </w:r>
          </w:p>
          <w:p w14:paraId="4F9BF319" w14:textId="08329300" w:rsidR="003D1C67" w:rsidRPr="004C1DA2" w:rsidRDefault="0C307F64" w:rsidP="009973B3">
            <w:pPr>
              <w:spacing w:after="120"/>
              <w:rPr>
                <w:rFonts w:cstheme="minorHAnsi"/>
              </w:rPr>
            </w:pPr>
            <w:r w:rsidRPr="004C1DA2">
              <w:rPr>
                <w:rFonts w:eastAsia="Calibri" w:cstheme="minorHAnsi"/>
              </w:rPr>
              <w:lastRenderedPageBreak/>
              <w:t>Regulatory officials (including quality assessors) will seek relevant information through interviews, documentation reviews and observations (if onsite) during regulatory activities that may include performance assessments, investigations, reportable incidents follow-up and/or complaints resolution processes.</w:t>
            </w:r>
          </w:p>
          <w:p w14:paraId="48D24531" w14:textId="01CDCBC3" w:rsidR="303D2F18" w:rsidRPr="004C1DA2" w:rsidRDefault="1132240B" w:rsidP="009973B3">
            <w:pPr>
              <w:spacing w:after="120"/>
              <w:rPr>
                <w:rFonts w:eastAsia="Calibri" w:cstheme="minorHAnsi"/>
              </w:rPr>
            </w:pPr>
            <w:r w:rsidRPr="004C1DA2">
              <w:rPr>
                <w:rFonts w:eastAsia="Calibri" w:cstheme="minorHAnsi"/>
              </w:rPr>
              <w:t>For example, regulatory officials may:</w:t>
            </w:r>
          </w:p>
          <w:p w14:paraId="64BA7A9C" w14:textId="29737810" w:rsidR="303D2F18" w:rsidRPr="004C1DA2" w:rsidRDefault="00B904E0" w:rsidP="009973B3">
            <w:pPr>
              <w:pStyle w:val="ListParagraph"/>
              <w:numPr>
                <w:ilvl w:val="0"/>
                <w:numId w:val="2"/>
              </w:numPr>
              <w:spacing w:after="120"/>
              <w:contextualSpacing w:val="0"/>
              <w:rPr>
                <w:rFonts w:cstheme="minorHAnsi"/>
              </w:rPr>
            </w:pPr>
            <w:r w:rsidRPr="004C1DA2">
              <w:rPr>
                <w:rFonts w:eastAsia="Calibri" w:cstheme="minorHAnsi"/>
              </w:rPr>
              <w:t>gather</w:t>
            </w:r>
            <w:r w:rsidR="0263846A" w:rsidRPr="004C1DA2">
              <w:rPr>
                <w:rFonts w:eastAsia="Calibri" w:cstheme="minorHAnsi"/>
              </w:rPr>
              <w:t xml:space="preserve"> </w:t>
            </w:r>
            <w:r w:rsidR="0263846A" w:rsidRPr="004C1DA2">
              <w:rPr>
                <w:rFonts w:cstheme="minorHAnsi"/>
              </w:rPr>
              <w:t>feedback from consumers or their representatives on staffing levels or breaks in care delivery, specifically if the staffing levels have had a negative impact on consumers’ clinical/ personal care and services delivery</w:t>
            </w:r>
          </w:p>
          <w:p w14:paraId="4B819FA9" w14:textId="239AC53B" w:rsidR="1913ADD3" w:rsidRPr="004C1DA2" w:rsidRDefault="1132240B" w:rsidP="009973B3">
            <w:pPr>
              <w:pStyle w:val="ListParagraph"/>
              <w:numPr>
                <w:ilvl w:val="0"/>
                <w:numId w:val="2"/>
              </w:numPr>
              <w:spacing w:after="120"/>
              <w:contextualSpacing w:val="0"/>
              <w:rPr>
                <w:rFonts w:cstheme="minorHAnsi"/>
              </w:rPr>
            </w:pPr>
            <w:r w:rsidRPr="004C1DA2">
              <w:rPr>
                <w:rFonts w:cstheme="minorHAnsi"/>
              </w:rPr>
              <w:t>review consumers’ care documentation and records to verify continued safe and effective personal and clinical care provision. These records should demonstrate appropriate actions taken by the services such as timely responses by a suitably qualified and skilled workforce, such as a</w:t>
            </w:r>
            <w:r w:rsidR="00CA2858" w:rsidRPr="004C1DA2">
              <w:rPr>
                <w:rFonts w:cstheme="minorHAnsi"/>
              </w:rPr>
              <w:t xml:space="preserve"> registered nurse</w:t>
            </w:r>
            <w:r w:rsidRPr="004C1DA2">
              <w:rPr>
                <w:rFonts w:cstheme="minorHAnsi"/>
              </w:rPr>
              <w:t>, to any clinical deterioration or changed condition in a consumer</w:t>
            </w:r>
          </w:p>
          <w:p w14:paraId="4FDBC3DC" w14:textId="71F7979E" w:rsidR="0E067CB1" w:rsidRPr="009973B3" w:rsidRDefault="008B471C" w:rsidP="009973B3">
            <w:pPr>
              <w:pStyle w:val="ListParagraph"/>
              <w:numPr>
                <w:ilvl w:val="0"/>
                <w:numId w:val="2"/>
              </w:numPr>
              <w:spacing w:after="120"/>
              <w:contextualSpacing w:val="0"/>
              <w:rPr>
                <w:rFonts w:cstheme="minorHAnsi"/>
              </w:rPr>
            </w:pPr>
            <w:r w:rsidRPr="004C1DA2">
              <w:rPr>
                <w:rFonts w:cstheme="minorHAnsi"/>
              </w:rPr>
              <w:t xml:space="preserve">seek information and evidence </w:t>
            </w:r>
            <w:r w:rsidR="009B113A" w:rsidRPr="004C1DA2">
              <w:rPr>
                <w:rFonts w:cstheme="minorHAnsi"/>
              </w:rPr>
              <w:t>from management on the</w:t>
            </w:r>
            <w:r w:rsidRPr="004C1DA2">
              <w:rPr>
                <w:rFonts w:cstheme="minorHAnsi"/>
              </w:rPr>
              <w:t xml:space="preserve"> </w:t>
            </w:r>
            <w:r w:rsidR="1132240B" w:rsidRPr="004C1DA2">
              <w:rPr>
                <w:rFonts w:cstheme="minorHAnsi"/>
              </w:rPr>
              <w:t>clear documentation of roles and responsibilities detailing how the service manages the safe and effective provision and oversight of clinical care to consumers, especially when there are workforce supply issues</w:t>
            </w:r>
          </w:p>
          <w:p w14:paraId="4EF24D4C" w14:textId="6AA666AE" w:rsidR="00434B06" w:rsidRPr="009973B3" w:rsidRDefault="0C307F64" w:rsidP="009973B3">
            <w:pPr>
              <w:spacing w:after="120"/>
              <w:rPr>
                <w:rFonts w:eastAsia="Calibri" w:cstheme="minorHAnsi"/>
              </w:rPr>
            </w:pPr>
            <w:r w:rsidRPr="004C1DA2">
              <w:rPr>
                <w:rFonts w:eastAsia="Calibri" w:cstheme="minorHAnsi"/>
              </w:rPr>
              <w:t>A home service provider may be found non-compliant where they have an insufficient workforce to deliver safe and quality care and services to their consumers.</w:t>
            </w:r>
          </w:p>
          <w:p w14:paraId="7AECFA80" w14:textId="4F1E26AD" w:rsidR="00521203" w:rsidRPr="009973B3" w:rsidRDefault="003D1C67" w:rsidP="009973B3">
            <w:pPr>
              <w:spacing w:after="120"/>
              <w:rPr>
                <w:rFonts w:cstheme="minorHAnsi"/>
                <w:color w:val="0563C1" w:themeColor="hyperlink"/>
                <w:u w:val="single"/>
              </w:rPr>
            </w:pPr>
            <w:hyperlink r:id="rId46" w:history="1">
              <w:r w:rsidRPr="00914131">
                <w:rPr>
                  <w:rStyle w:val="Hyperlink"/>
                  <w:rFonts w:cstheme="minorHAnsi"/>
                </w:rPr>
                <w:t xml:space="preserve">Information for </w:t>
              </w:r>
              <w:r w:rsidR="00914131" w:rsidRPr="00914131">
                <w:rPr>
                  <w:rStyle w:val="Hyperlink"/>
                  <w:rFonts w:cstheme="minorHAnsi"/>
                </w:rPr>
                <w:t xml:space="preserve">aged care </w:t>
              </w:r>
              <w:r w:rsidRPr="00914131">
                <w:rPr>
                  <w:rStyle w:val="Hyperlink"/>
                  <w:rFonts w:cstheme="minorHAnsi"/>
                </w:rPr>
                <w:t>providers</w:t>
              </w:r>
            </w:hyperlink>
            <w:r w:rsidRPr="004C1DA2">
              <w:rPr>
                <w:rFonts w:cstheme="minorHAnsi"/>
              </w:rPr>
              <w:t xml:space="preserve"> is available </w:t>
            </w:r>
            <w:r w:rsidR="00914131">
              <w:rPr>
                <w:rFonts w:cstheme="minorHAnsi"/>
              </w:rPr>
              <w:t>on our website.</w:t>
            </w:r>
            <w:r w:rsidR="00914131" w:rsidRPr="004C1DA2" w:rsidDel="00914131">
              <w:rPr>
                <w:rFonts w:cstheme="minorHAnsi"/>
              </w:rPr>
              <w:t xml:space="preserve"> </w:t>
            </w:r>
          </w:p>
          <w:p w14:paraId="19CEE020" w14:textId="03B9C8FA" w:rsidR="00294289" w:rsidRPr="009973B3" w:rsidRDefault="002A0159" w:rsidP="009973B3">
            <w:pPr>
              <w:spacing w:after="120"/>
              <w:rPr>
                <w:rFonts w:cstheme="minorHAnsi"/>
                <w:color w:val="0563C1" w:themeColor="hyperlink"/>
                <w:u w:val="single"/>
              </w:rPr>
            </w:pPr>
            <w:r w:rsidRPr="004C1DA2">
              <w:rPr>
                <w:rFonts w:cstheme="minorHAnsi"/>
              </w:rPr>
              <w:t xml:space="preserve">Also see the </w:t>
            </w:r>
            <w:hyperlink r:id="rId47" w:history="1">
              <w:r w:rsidRPr="004C1DA2">
                <w:rPr>
                  <w:rStyle w:val="Hyperlink"/>
                  <w:rFonts w:cstheme="minorHAnsi"/>
                </w:rPr>
                <w:t>workforce governance and management fact</w:t>
              </w:r>
              <w:r w:rsidR="001E705D">
                <w:rPr>
                  <w:rStyle w:val="Hyperlink"/>
                  <w:rFonts w:cstheme="minorHAnsi"/>
                </w:rPr>
                <w:t xml:space="preserve"> </w:t>
              </w:r>
              <w:r w:rsidRPr="004C1DA2">
                <w:rPr>
                  <w:rStyle w:val="Hyperlink"/>
                  <w:rFonts w:cstheme="minorHAnsi"/>
                </w:rPr>
                <w:t>sheet</w:t>
              </w:r>
            </w:hyperlink>
            <w:r w:rsidR="001E705D">
              <w:rPr>
                <w:rStyle w:val="Hyperlink"/>
                <w:rFonts w:cstheme="minorHAnsi"/>
              </w:rPr>
              <w:t xml:space="preserve"> </w:t>
            </w:r>
            <w:r w:rsidR="001E705D">
              <w:rPr>
                <w:rStyle w:val="Hyperlink"/>
              </w:rPr>
              <w:t>for providers</w:t>
            </w:r>
            <w:r w:rsidR="00914131">
              <w:rPr>
                <w:rStyle w:val="Hyperlink"/>
                <w:rFonts w:cstheme="minorHAnsi"/>
              </w:rPr>
              <w:t>.</w:t>
            </w:r>
            <w:r w:rsidR="00F17862" w:rsidRPr="004C1DA2">
              <w:rPr>
                <w:rStyle w:val="Hyperlink"/>
                <w:rFonts w:cstheme="minorHAnsi"/>
              </w:rPr>
              <w:t xml:space="preserve"> </w:t>
            </w:r>
          </w:p>
        </w:tc>
      </w:tr>
    </w:tbl>
    <w:p w14:paraId="25FB0488" w14:textId="2F65DB3B" w:rsidR="00001362" w:rsidRPr="004C1DA2" w:rsidRDefault="00001362" w:rsidP="009973B3">
      <w:pPr>
        <w:spacing w:after="120" w:line="240" w:lineRule="auto"/>
        <w:rPr>
          <w:rFonts w:cstheme="minorHAnsi"/>
        </w:rPr>
      </w:pPr>
    </w:p>
    <w:sectPr w:rsidR="00001362" w:rsidRPr="004C1DA2" w:rsidSect="000F4F6B">
      <w:footerReference w:type="default" r:id="rId4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81BE" w14:textId="77777777" w:rsidR="006F517E" w:rsidRDefault="006F517E" w:rsidP="00BB7697">
      <w:pPr>
        <w:spacing w:after="0" w:line="240" w:lineRule="auto"/>
      </w:pPr>
      <w:r>
        <w:separator/>
      </w:r>
    </w:p>
  </w:endnote>
  <w:endnote w:type="continuationSeparator" w:id="0">
    <w:p w14:paraId="138D53B7" w14:textId="77777777" w:rsidR="006F517E" w:rsidRDefault="006F517E" w:rsidP="00BB7697">
      <w:pPr>
        <w:spacing w:after="0" w:line="240" w:lineRule="auto"/>
      </w:pPr>
      <w:r>
        <w:continuationSeparator/>
      </w:r>
    </w:p>
  </w:endnote>
  <w:endnote w:type="continuationNotice" w:id="1">
    <w:p w14:paraId="0D67B67A" w14:textId="77777777" w:rsidR="006F517E" w:rsidRDefault="006F5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ira Sans">
    <w:charset w:val="00"/>
    <w:family w:val="swiss"/>
    <w:pitch w:val="variable"/>
    <w:sig w:usb0="600002FF"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364957"/>
      <w:docPartObj>
        <w:docPartGallery w:val="Page Numbers (Bottom of Page)"/>
        <w:docPartUnique/>
      </w:docPartObj>
    </w:sdtPr>
    <w:sdtEndPr>
      <w:rPr>
        <w:noProof/>
      </w:rPr>
    </w:sdtEndPr>
    <w:sdtContent>
      <w:p w14:paraId="481E909D" w14:textId="7F95204B" w:rsidR="00BB7697" w:rsidRDefault="00BB769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51E7287A" w14:textId="77777777" w:rsidR="00BB7697" w:rsidRDefault="00BB7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199D" w14:textId="77777777" w:rsidR="006F517E" w:rsidRDefault="006F517E" w:rsidP="00BB7697">
      <w:pPr>
        <w:spacing w:after="0" w:line="240" w:lineRule="auto"/>
      </w:pPr>
      <w:r>
        <w:separator/>
      </w:r>
    </w:p>
  </w:footnote>
  <w:footnote w:type="continuationSeparator" w:id="0">
    <w:p w14:paraId="0F47E0C7" w14:textId="77777777" w:rsidR="006F517E" w:rsidRDefault="006F517E" w:rsidP="00BB7697">
      <w:pPr>
        <w:spacing w:after="0" w:line="240" w:lineRule="auto"/>
      </w:pPr>
      <w:r>
        <w:continuationSeparator/>
      </w:r>
    </w:p>
  </w:footnote>
  <w:footnote w:type="continuationNotice" w:id="1">
    <w:p w14:paraId="793AC776" w14:textId="77777777" w:rsidR="006F517E" w:rsidRDefault="006F51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4CE5"/>
    <w:multiLevelType w:val="hybridMultilevel"/>
    <w:tmpl w:val="56AEC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996F67"/>
    <w:multiLevelType w:val="hybridMultilevel"/>
    <w:tmpl w:val="FFFFFFFF"/>
    <w:lvl w:ilvl="0" w:tplc="27763A16">
      <w:start w:val="1"/>
      <w:numFmt w:val="bullet"/>
      <w:lvlText w:val="-"/>
      <w:lvlJc w:val="left"/>
      <w:pPr>
        <w:ind w:left="720" w:hanging="360"/>
      </w:pPr>
      <w:rPr>
        <w:rFonts w:ascii="Calibri" w:hAnsi="Calibri" w:hint="default"/>
      </w:rPr>
    </w:lvl>
    <w:lvl w:ilvl="1" w:tplc="CF3242C0">
      <w:start w:val="1"/>
      <w:numFmt w:val="bullet"/>
      <w:lvlText w:val="o"/>
      <w:lvlJc w:val="left"/>
      <w:pPr>
        <w:ind w:left="1440" w:hanging="360"/>
      </w:pPr>
      <w:rPr>
        <w:rFonts w:ascii="Courier New" w:hAnsi="Courier New" w:hint="default"/>
      </w:rPr>
    </w:lvl>
    <w:lvl w:ilvl="2" w:tplc="3154B5FA">
      <w:start w:val="1"/>
      <w:numFmt w:val="bullet"/>
      <w:lvlText w:val=""/>
      <w:lvlJc w:val="left"/>
      <w:pPr>
        <w:ind w:left="2160" w:hanging="360"/>
      </w:pPr>
      <w:rPr>
        <w:rFonts w:ascii="Wingdings" w:hAnsi="Wingdings" w:hint="default"/>
      </w:rPr>
    </w:lvl>
    <w:lvl w:ilvl="3" w:tplc="C21C5D7A">
      <w:start w:val="1"/>
      <w:numFmt w:val="bullet"/>
      <w:lvlText w:val=""/>
      <w:lvlJc w:val="left"/>
      <w:pPr>
        <w:ind w:left="2880" w:hanging="360"/>
      </w:pPr>
      <w:rPr>
        <w:rFonts w:ascii="Symbol" w:hAnsi="Symbol" w:hint="default"/>
      </w:rPr>
    </w:lvl>
    <w:lvl w:ilvl="4" w:tplc="65667C48">
      <w:start w:val="1"/>
      <w:numFmt w:val="bullet"/>
      <w:lvlText w:val="o"/>
      <w:lvlJc w:val="left"/>
      <w:pPr>
        <w:ind w:left="3600" w:hanging="360"/>
      </w:pPr>
      <w:rPr>
        <w:rFonts w:ascii="Courier New" w:hAnsi="Courier New" w:hint="default"/>
      </w:rPr>
    </w:lvl>
    <w:lvl w:ilvl="5" w:tplc="4FDE66CA">
      <w:start w:val="1"/>
      <w:numFmt w:val="bullet"/>
      <w:lvlText w:val=""/>
      <w:lvlJc w:val="left"/>
      <w:pPr>
        <w:ind w:left="4320" w:hanging="360"/>
      </w:pPr>
      <w:rPr>
        <w:rFonts w:ascii="Wingdings" w:hAnsi="Wingdings" w:hint="default"/>
      </w:rPr>
    </w:lvl>
    <w:lvl w:ilvl="6" w:tplc="D1B0CF80">
      <w:start w:val="1"/>
      <w:numFmt w:val="bullet"/>
      <w:lvlText w:val=""/>
      <w:lvlJc w:val="left"/>
      <w:pPr>
        <w:ind w:left="5040" w:hanging="360"/>
      </w:pPr>
      <w:rPr>
        <w:rFonts w:ascii="Symbol" w:hAnsi="Symbol" w:hint="default"/>
      </w:rPr>
    </w:lvl>
    <w:lvl w:ilvl="7" w:tplc="00A28B10">
      <w:start w:val="1"/>
      <w:numFmt w:val="bullet"/>
      <w:lvlText w:val="o"/>
      <w:lvlJc w:val="left"/>
      <w:pPr>
        <w:ind w:left="5760" w:hanging="360"/>
      </w:pPr>
      <w:rPr>
        <w:rFonts w:ascii="Courier New" w:hAnsi="Courier New" w:hint="default"/>
      </w:rPr>
    </w:lvl>
    <w:lvl w:ilvl="8" w:tplc="5F246590">
      <w:start w:val="1"/>
      <w:numFmt w:val="bullet"/>
      <w:lvlText w:val=""/>
      <w:lvlJc w:val="left"/>
      <w:pPr>
        <w:ind w:left="6480" w:hanging="360"/>
      </w:pPr>
      <w:rPr>
        <w:rFonts w:ascii="Wingdings" w:hAnsi="Wingdings" w:hint="default"/>
      </w:rPr>
    </w:lvl>
  </w:abstractNum>
  <w:abstractNum w:abstractNumId="2" w15:restartNumberingAfterBreak="0">
    <w:nsid w:val="314E362F"/>
    <w:multiLevelType w:val="hybridMultilevel"/>
    <w:tmpl w:val="AE7E8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DE7C40"/>
    <w:multiLevelType w:val="hybridMultilevel"/>
    <w:tmpl w:val="C7243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EA52F1"/>
    <w:multiLevelType w:val="hybridMultilevel"/>
    <w:tmpl w:val="81E0F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8024FA2"/>
    <w:multiLevelType w:val="hybridMultilevel"/>
    <w:tmpl w:val="0180F55C"/>
    <w:lvl w:ilvl="0" w:tplc="8DC4396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C5413C"/>
    <w:multiLevelType w:val="hybridMultilevel"/>
    <w:tmpl w:val="FFFFFFFF"/>
    <w:lvl w:ilvl="0" w:tplc="CD8E6B48">
      <w:start w:val="1"/>
      <w:numFmt w:val="bullet"/>
      <w:lvlText w:val="-"/>
      <w:lvlJc w:val="left"/>
      <w:pPr>
        <w:ind w:left="720" w:hanging="360"/>
      </w:pPr>
      <w:rPr>
        <w:rFonts w:ascii="Calibri" w:hAnsi="Calibri" w:hint="default"/>
      </w:rPr>
    </w:lvl>
    <w:lvl w:ilvl="1" w:tplc="3E407244">
      <w:start w:val="1"/>
      <w:numFmt w:val="bullet"/>
      <w:lvlText w:val="o"/>
      <w:lvlJc w:val="left"/>
      <w:pPr>
        <w:ind w:left="1440" w:hanging="360"/>
      </w:pPr>
      <w:rPr>
        <w:rFonts w:ascii="Courier New" w:hAnsi="Courier New" w:hint="default"/>
      </w:rPr>
    </w:lvl>
    <w:lvl w:ilvl="2" w:tplc="33CA4F04">
      <w:start w:val="1"/>
      <w:numFmt w:val="bullet"/>
      <w:lvlText w:val=""/>
      <w:lvlJc w:val="left"/>
      <w:pPr>
        <w:ind w:left="2160" w:hanging="360"/>
      </w:pPr>
      <w:rPr>
        <w:rFonts w:ascii="Wingdings" w:hAnsi="Wingdings" w:hint="default"/>
      </w:rPr>
    </w:lvl>
    <w:lvl w:ilvl="3" w:tplc="D19CD8DE">
      <w:start w:val="1"/>
      <w:numFmt w:val="bullet"/>
      <w:lvlText w:val=""/>
      <w:lvlJc w:val="left"/>
      <w:pPr>
        <w:ind w:left="2880" w:hanging="360"/>
      </w:pPr>
      <w:rPr>
        <w:rFonts w:ascii="Symbol" w:hAnsi="Symbol" w:hint="default"/>
      </w:rPr>
    </w:lvl>
    <w:lvl w:ilvl="4" w:tplc="6DA4BD60">
      <w:start w:val="1"/>
      <w:numFmt w:val="bullet"/>
      <w:lvlText w:val="o"/>
      <w:lvlJc w:val="left"/>
      <w:pPr>
        <w:ind w:left="3600" w:hanging="360"/>
      </w:pPr>
      <w:rPr>
        <w:rFonts w:ascii="Courier New" w:hAnsi="Courier New" w:hint="default"/>
      </w:rPr>
    </w:lvl>
    <w:lvl w:ilvl="5" w:tplc="C1D2242C">
      <w:start w:val="1"/>
      <w:numFmt w:val="bullet"/>
      <w:lvlText w:val=""/>
      <w:lvlJc w:val="left"/>
      <w:pPr>
        <w:ind w:left="4320" w:hanging="360"/>
      </w:pPr>
      <w:rPr>
        <w:rFonts w:ascii="Wingdings" w:hAnsi="Wingdings" w:hint="default"/>
      </w:rPr>
    </w:lvl>
    <w:lvl w:ilvl="6" w:tplc="0C8828FE">
      <w:start w:val="1"/>
      <w:numFmt w:val="bullet"/>
      <w:lvlText w:val=""/>
      <w:lvlJc w:val="left"/>
      <w:pPr>
        <w:ind w:left="5040" w:hanging="360"/>
      </w:pPr>
      <w:rPr>
        <w:rFonts w:ascii="Symbol" w:hAnsi="Symbol" w:hint="default"/>
      </w:rPr>
    </w:lvl>
    <w:lvl w:ilvl="7" w:tplc="176AB16C">
      <w:start w:val="1"/>
      <w:numFmt w:val="bullet"/>
      <w:lvlText w:val="o"/>
      <w:lvlJc w:val="left"/>
      <w:pPr>
        <w:ind w:left="5760" w:hanging="360"/>
      </w:pPr>
      <w:rPr>
        <w:rFonts w:ascii="Courier New" w:hAnsi="Courier New" w:hint="default"/>
      </w:rPr>
    </w:lvl>
    <w:lvl w:ilvl="8" w:tplc="26B8CA52">
      <w:start w:val="1"/>
      <w:numFmt w:val="bullet"/>
      <w:lvlText w:val=""/>
      <w:lvlJc w:val="left"/>
      <w:pPr>
        <w:ind w:left="6480" w:hanging="360"/>
      </w:pPr>
      <w:rPr>
        <w:rFonts w:ascii="Wingdings" w:hAnsi="Wingdings" w:hint="default"/>
      </w:rPr>
    </w:lvl>
  </w:abstractNum>
  <w:abstractNum w:abstractNumId="7" w15:restartNumberingAfterBreak="0">
    <w:nsid w:val="7314054A"/>
    <w:multiLevelType w:val="hybridMultilevel"/>
    <w:tmpl w:val="3488C298"/>
    <w:lvl w:ilvl="0" w:tplc="D566522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768236415">
    <w:abstractNumId w:val="3"/>
  </w:num>
  <w:num w:numId="2" w16cid:durableId="928737932">
    <w:abstractNumId w:val="4"/>
  </w:num>
  <w:num w:numId="3" w16cid:durableId="1184637833">
    <w:abstractNumId w:val="1"/>
  </w:num>
  <w:num w:numId="4" w16cid:durableId="2090880938">
    <w:abstractNumId w:val="6"/>
  </w:num>
  <w:num w:numId="5" w16cid:durableId="66659128">
    <w:abstractNumId w:val="0"/>
  </w:num>
  <w:num w:numId="6" w16cid:durableId="1914653938">
    <w:abstractNumId w:val="5"/>
  </w:num>
  <w:num w:numId="7" w16cid:durableId="1091466079">
    <w:abstractNumId w:val="7"/>
  </w:num>
  <w:num w:numId="8" w16cid:durableId="606622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62"/>
    <w:rsid w:val="00000A49"/>
    <w:rsid w:val="00001362"/>
    <w:rsid w:val="00005770"/>
    <w:rsid w:val="00010555"/>
    <w:rsid w:val="00011912"/>
    <w:rsid w:val="00012706"/>
    <w:rsid w:val="00012E37"/>
    <w:rsid w:val="00015009"/>
    <w:rsid w:val="000161C9"/>
    <w:rsid w:val="00017492"/>
    <w:rsid w:val="0002271C"/>
    <w:rsid w:val="00023685"/>
    <w:rsid w:val="0002373A"/>
    <w:rsid w:val="0002517F"/>
    <w:rsid w:val="000269D7"/>
    <w:rsid w:val="00030639"/>
    <w:rsid w:val="000313EB"/>
    <w:rsid w:val="000327DC"/>
    <w:rsid w:val="0003300F"/>
    <w:rsid w:val="000330F9"/>
    <w:rsid w:val="00037A55"/>
    <w:rsid w:val="00037BA5"/>
    <w:rsid w:val="00042A80"/>
    <w:rsid w:val="00043FE5"/>
    <w:rsid w:val="000449D2"/>
    <w:rsid w:val="00044CF8"/>
    <w:rsid w:val="000450B0"/>
    <w:rsid w:val="00047DF1"/>
    <w:rsid w:val="00051FFF"/>
    <w:rsid w:val="00052D08"/>
    <w:rsid w:val="00054097"/>
    <w:rsid w:val="00054DA3"/>
    <w:rsid w:val="000560C1"/>
    <w:rsid w:val="00056A2A"/>
    <w:rsid w:val="000572DC"/>
    <w:rsid w:val="000617D6"/>
    <w:rsid w:val="00063E9B"/>
    <w:rsid w:val="00067AE5"/>
    <w:rsid w:val="00075A2E"/>
    <w:rsid w:val="00075D10"/>
    <w:rsid w:val="0007756B"/>
    <w:rsid w:val="000829B6"/>
    <w:rsid w:val="000904CB"/>
    <w:rsid w:val="0009188A"/>
    <w:rsid w:val="000935DC"/>
    <w:rsid w:val="00096F05"/>
    <w:rsid w:val="000A3506"/>
    <w:rsid w:val="000A4C7B"/>
    <w:rsid w:val="000B0BBB"/>
    <w:rsid w:val="000B1D8C"/>
    <w:rsid w:val="000B26C0"/>
    <w:rsid w:val="000B49D1"/>
    <w:rsid w:val="000C23B1"/>
    <w:rsid w:val="000C40AF"/>
    <w:rsid w:val="000D09C8"/>
    <w:rsid w:val="000D170E"/>
    <w:rsid w:val="000D445A"/>
    <w:rsid w:val="000D4B55"/>
    <w:rsid w:val="000D61E9"/>
    <w:rsid w:val="000D7E9F"/>
    <w:rsid w:val="000E0681"/>
    <w:rsid w:val="000E5B17"/>
    <w:rsid w:val="000E5EC8"/>
    <w:rsid w:val="000E7BD0"/>
    <w:rsid w:val="000E7FB7"/>
    <w:rsid w:val="000F2BD7"/>
    <w:rsid w:val="000F3096"/>
    <w:rsid w:val="000F427A"/>
    <w:rsid w:val="000F4F6B"/>
    <w:rsid w:val="000F7F43"/>
    <w:rsid w:val="00100905"/>
    <w:rsid w:val="00100E15"/>
    <w:rsid w:val="001011F9"/>
    <w:rsid w:val="0010372A"/>
    <w:rsid w:val="00105303"/>
    <w:rsid w:val="0010555E"/>
    <w:rsid w:val="00105812"/>
    <w:rsid w:val="001077E4"/>
    <w:rsid w:val="00107BB3"/>
    <w:rsid w:val="00107D9A"/>
    <w:rsid w:val="00111BC4"/>
    <w:rsid w:val="00114080"/>
    <w:rsid w:val="00120502"/>
    <w:rsid w:val="001258B5"/>
    <w:rsid w:val="0012693B"/>
    <w:rsid w:val="001314BF"/>
    <w:rsid w:val="0013150B"/>
    <w:rsid w:val="0013270E"/>
    <w:rsid w:val="00143F57"/>
    <w:rsid w:val="00147E82"/>
    <w:rsid w:val="001533C1"/>
    <w:rsid w:val="001573AD"/>
    <w:rsid w:val="00167C7A"/>
    <w:rsid w:val="00172691"/>
    <w:rsid w:val="0017335F"/>
    <w:rsid w:val="0017375F"/>
    <w:rsid w:val="001737B5"/>
    <w:rsid w:val="00177982"/>
    <w:rsid w:val="00180352"/>
    <w:rsid w:val="00181696"/>
    <w:rsid w:val="00184C28"/>
    <w:rsid w:val="001850D6"/>
    <w:rsid w:val="00190C71"/>
    <w:rsid w:val="001925BC"/>
    <w:rsid w:val="00192BBD"/>
    <w:rsid w:val="00193F2C"/>
    <w:rsid w:val="00194C9E"/>
    <w:rsid w:val="001A3C60"/>
    <w:rsid w:val="001A63B8"/>
    <w:rsid w:val="001A6ABF"/>
    <w:rsid w:val="001A7229"/>
    <w:rsid w:val="001A788F"/>
    <w:rsid w:val="001B4D18"/>
    <w:rsid w:val="001B531E"/>
    <w:rsid w:val="001B6ACF"/>
    <w:rsid w:val="001C093E"/>
    <w:rsid w:val="001C0C22"/>
    <w:rsid w:val="001C2E7C"/>
    <w:rsid w:val="001C3F78"/>
    <w:rsid w:val="001C404E"/>
    <w:rsid w:val="001C47F1"/>
    <w:rsid w:val="001C7619"/>
    <w:rsid w:val="001D2C51"/>
    <w:rsid w:val="001D37D5"/>
    <w:rsid w:val="001D42D2"/>
    <w:rsid w:val="001D5B22"/>
    <w:rsid w:val="001D7694"/>
    <w:rsid w:val="001E055B"/>
    <w:rsid w:val="001E0A39"/>
    <w:rsid w:val="001E123B"/>
    <w:rsid w:val="001E4012"/>
    <w:rsid w:val="001E48FE"/>
    <w:rsid w:val="001E4ACE"/>
    <w:rsid w:val="001E705D"/>
    <w:rsid w:val="001E75E3"/>
    <w:rsid w:val="001F4704"/>
    <w:rsid w:val="001F5948"/>
    <w:rsid w:val="001F6531"/>
    <w:rsid w:val="0020072F"/>
    <w:rsid w:val="00200E54"/>
    <w:rsid w:val="00200F28"/>
    <w:rsid w:val="00201F71"/>
    <w:rsid w:val="002048C9"/>
    <w:rsid w:val="00205D4C"/>
    <w:rsid w:val="00206A45"/>
    <w:rsid w:val="00206E9E"/>
    <w:rsid w:val="002074C9"/>
    <w:rsid w:val="00207E69"/>
    <w:rsid w:val="00216B14"/>
    <w:rsid w:val="00217904"/>
    <w:rsid w:val="0022204C"/>
    <w:rsid w:val="002230AA"/>
    <w:rsid w:val="00226C08"/>
    <w:rsid w:val="00231140"/>
    <w:rsid w:val="0023397A"/>
    <w:rsid w:val="00233CFC"/>
    <w:rsid w:val="00235AA0"/>
    <w:rsid w:val="0023626C"/>
    <w:rsid w:val="0023641B"/>
    <w:rsid w:val="00245137"/>
    <w:rsid w:val="0024F96D"/>
    <w:rsid w:val="0025062B"/>
    <w:rsid w:val="00251D01"/>
    <w:rsid w:val="00253F53"/>
    <w:rsid w:val="002568BA"/>
    <w:rsid w:val="00257E82"/>
    <w:rsid w:val="00262E4E"/>
    <w:rsid w:val="00264FF8"/>
    <w:rsid w:val="00267A9F"/>
    <w:rsid w:val="0027192F"/>
    <w:rsid w:val="0027422E"/>
    <w:rsid w:val="00280883"/>
    <w:rsid w:val="002811DB"/>
    <w:rsid w:val="002819C6"/>
    <w:rsid w:val="002826C7"/>
    <w:rsid w:val="002850F3"/>
    <w:rsid w:val="00285C3A"/>
    <w:rsid w:val="002867F0"/>
    <w:rsid w:val="00290796"/>
    <w:rsid w:val="00294289"/>
    <w:rsid w:val="002951FD"/>
    <w:rsid w:val="00295CE9"/>
    <w:rsid w:val="0029656B"/>
    <w:rsid w:val="002965CD"/>
    <w:rsid w:val="002A007E"/>
    <w:rsid w:val="002A0159"/>
    <w:rsid w:val="002A2032"/>
    <w:rsid w:val="002A2C96"/>
    <w:rsid w:val="002A51E7"/>
    <w:rsid w:val="002A61C5"/>
    <w:rsid w:val="002B22BF"/>
    <w:rsid w:val="002B5E77"/>
    <w:rsid w:val="002B66B4"/>
    <w:rsid w:val="002C29F7"/>
    <w:rsid w:val="002C2AB4"/>
    <w:rsid w:val="002C45EE"/>
    <w:rsid w:val="002C4985"/>
    <w:rsid w:val="002C4DAB"/>
    <w:rsid w:val="002C6CE4"/>
    <w:rsid w:val="002D676B"/>
    <w:rsid w:val="002E0CDC"/>
    <w:rsid w:val="002E3C1C"/>
    <w:rsid w:val="002E6FD8"/>
    <w:rsid w:val="002F0D3B"/>
    <w:rsid w:val="002F3482"/>
    <w:rsid w:val="002F55CC"/>
    <w:rsid w:val="002F7E2D"/>
    <w:rsid w:val="0030183F"/>
    <w:rsid w:val="00303431"/>
    <w:rsid w:val="00304E09"/>
    <w:rsid w:val="00311292"/>
    <w:rsid w:val="0031282A"/>
    <w:rsid w:val="00312EF7"/>
    <w:rsid w:val="00317D20"/>
    <w:rsid w:val="00320E36"/>
    <w:rsid w:val="00323310"/>
    <w:rsid w:val="00323B74"/>
    <w:rsid w:val="00324CC9"/>
    <w:rsid w:val="0033091D"/>
    <w:rsid w:val="00334036"/>
    <w:rsid w:val="00335263"/>
    <w:rsid w:val="00344AED"/>
    <w:rsid w:val="0034584C"/>
    <w:rsid w:val="00347F91"/>
    <w:rsid w:val="00350247"/>
    <w:rsid w:val="0035218C"/>
    <w:rsid w:val="00352777"/>
    <w:rsid w:val="00354E9E"/>
    <w:rsid w:val="00362E46"/>
    <w:rsid w:val="003635A9"/>
    <w:rsid w:val="0036488C"/>
    <w:rsid w:val="00366030"/>
    <w:rsid w:val="00370ED0"/>
    <w:rsid w:val="003731D4"/>
    <w:rsid w:val="003732F5"/>
    <w:rsid w:val="00382B97"/>
    <w:rsid w:val="00382BDA"/>
    <w:rsid w:val="003848F6"/>
    <w:rsid w:val="003869E6"/>
    <w:rsid w:val="00392CEE"/>
    <w:rsid w:val="00394AFE"/>
    <w:rsid w:val="003956BA"/>
    <w:rsid w:val="003A2142"/>
    <w:rsid w:val="003A5039"/>
    <w:rsid w:val="003B13DA"/>
    <w:rsid w:val="003B1E6D"/>
    <w:rsid w:val="003B4530"/>
    <w:rsid w:val="003B72E6"/>
    <w:rsid w:val="003C2179"/>
    <w:rsid w:val="003C314E"/>
    <w:rsid w:val="003C44E9"/>
    <w:rsid w:val="003C4D7F"/>
    <w:rsid w:val="003D1C67"/>
    <w:rsid w:val="003D244A"/>
    <w:rsid w:val="003D5B5A"/>
    <w:rsid w:val="003D6DAF"/>
    <w:rsid w:val="003D75E7"/>
    <w:rsid w:val="003D7CD4"/>
    <w:rsid w:val="003E32D9"/>
    <w:rsid w:val="003E436F"/>
    <w:rsid w:val="003E604F"/>
    <w:rsid w:val="003F0076"/>
    <w:rsid w:val="003F5067"/>
    <w:rsid w:val="003F5BF2"/>
    <w:rsid w:val="004067C0"/>
    <w:rsid w:val="004069C7"/>
    <w:rsid w:val="0040768E"/>
    <w:rsid w:val="0041054E"/>
    <w:rsid w:val="00412708"/>
    <w:rsid w:val="00413DCF"/>
    <w:rsid w:val="00415D03"/>
    <w:rsid w:val="00420D3F"/>
    <w:rsid w:val="004221E0"/>
    <w:rsid w:val="00422721"/>
    <w:rsid w:val="00423424"/>
    <w:rsid w:val="00424DF5"/>
    <w:rsid w:val="0042568F"/>
    <w:rsid w:val="004273BC"/>
    <w:rsid w:val="00431790"/>
    <w:rsid w:val="00431AF8"/>
    <w:rsid w:val="00431BB2"/>
    <w:rsid w:val="00434B06"/>
    <w:rsid w:val="0044520F"/>
    <w:rsid w:val="004500D5"/>
    <w:rsid w:val="004524BB"/>
    <w:rsid w:val="00452EC1"/>
    <w:rsid w:val="00453373"/>
    <w:rsid w:val="00456E4C"/>
    <w:rsid w:val="0046264D"/>
    <w:rsid w:val="00467A62"/>
    <w:rsid w:val="0047191E"/>
    <w:rsid w:val="00473937"/>
    <w:rsid w:val="00474EEC"/>
    <w:rsid w:val="00481490"/>
    <w:rsid w:val="00481D3A"/>
    <w:rsid w:val="004843DC"/>
    <w:rsid w:val="004855FE"/>
    <w:rsid w:val="00485B8A"/>
    <w:rsid w:val="004861C5"/>
    <w:rsid w:val="004906F5"/>
    <w:rsid w:val="00491B56"/>
    <w:rsid w:val="00491C49"/>
    <w:rsid w:val="00493B11"/>
    <w:rsid w:val="00496157"/>
    <w:rsid w:val="00496DDF"/>
    <w:rsid w:val="00497A25"/>
    <w:rsid w:val="00497F54"/>
    <w:rsid w:val="004A03DF"/>
    <w:rsid w:val="004A1A3D"/>
    <w:rsid w:val="004A2C47"/>
    <w:rsid w:val="004A30B7"/>
    <w:rsid w:val="004A3484"/>
    <w:rsid w:val="004A6DA8"/>
    <w:rsid w:val="004C19F9"/>
    <w:rsid w:val="004C1CB5"/>
    <w:rsid w:val="004C1DA2"/>
    <w:rsid w:val="004C351B"/>
    <w:rsid w:val="004C66E8"/>
    <w:rsid w:val="004C7FCA"/>
    <w:rsid w:val="004D1F5A"/>
    <w:rsid w:val="004E02D8"/>
    <w:rsid w:val="004E591C"/>
    <w:rsid w:val="004F20EB"/>
    <w:rsid w:val="004F5061"/>
    <w:rsid w:val="004F5FAE"/>
    <w:rsid w:val="004F7C1C"/>
    <w:rsid w:val="005020A0"/>
    <w:rsid w:val="00503BD8"/>
    <w:rsid w:val="00504CC7"/>
    <w:rsid w:val="00506131"/>
    <w:rsid w:val="00506179"/>
    <w:rsid w:val="0050708F"/>
    <w:rsid w:val="00507BD3"/>
    <w:rsid w:val="00513FFE"/>
    <w:rsid w:val="00521203"/>
    <w:rsid w:val="0052325B"/>
    <w:rsid w:val="00523AA1"/>
    <w:rsid w:val="00530FE5"/>
    <w:rsid w:val="0053637F"/>
    <w:rsid w:val="00536A56"/>
    <w:rsid w:val="00542761"/>
    <w:rsid w:val="0054396B"/>
    <w:rsid w:val="005448DB"/>
    <w:rsid w:val="00545B25"/>
    <w:rsid w:val="00546C82"/>
    <w:rsid w:val="005475F4"/>
    <w:rsid w:val="00547C9A"/>
    <w:rsid w:val="00550005"/>
    <w:rsid w:val="00551374"/>
    <w:rsid w:val="0055695C"/>
    <w:rsid w:val="0056053B"/>
    <w:rsid w:val="005631AE"/>
    <w:rsid w:val="00564A0D"/>
    <w:rsid w:val="00565747"/>
    <w:rsid w:val="00566895"/>
    <w:rsid w:val="0056782A"/>
    <w:rsid w:val="00571BBA"/>
    <w:rsid w:val="0057204E"/>
    <w:rsid w:val="0057253B"/>
    <w:rsid w:val="005731A0"/>
    <w:rsid w:val="00574FD0"/>
    <w:rsid w:val="00575DCF"/>
    <w:rsid w:val="00581AA7"/>
    <w:rsid w:val="0058296C"/>
    <w:rsid w:val="00590BCB"/>
    <w:rsid w:val="00591DC3"/>
    <w:rsid w:val="00593A1C"/>
    <w:rsid w:val="00594720"/>
    <w:rsid w:val="00594F14"/>
    <w:rsid w:val="00595A72"/>
    <w:rsid w:val="0059754B"/>
    <w:rsid w:val="005977CE"/>
    <w:rsid w:val="005A077C"/>
    <w:rsid w:val="005A1173"/>
    <w:rsid w:val="005B0611"/>
    <w:rsid w:val="005B1CE0"/>
    <w:rsid w:val="005B2084"/>
    <w:rsid w:val="005B215F"/>
    <w:rsid w:val="005B361B"/>
    <w:rsid w:val="005B486D"/>
    <w:rsid w:val="005B591A"/>
    <w:rsid w:val="005B718E"/>
    <w:rsid w:val="005B75A6"/>
    <w:rsid w:val="005C45A2"/>
    <w:rsid w:val="005C67FC"/>
    <w:rsid w:val="005D2C15"/>
    <w:rsid w:val="005D2D74"/>
    <w:rsid w:val="005D49BD"/>
    <w:rsid w:val="005D5300"/>
    <w:rsid w:val="005D7784"/>
    <w:rsid w:val="005E0BE0"/>
    <w:rsid w:val="005E1355"/>
    <w:rsid w:val="005E13C8"/>
    <w:rsid w:val="005E41F6"/>
    <w:rsid w:val="005E56FF"/>
    <w:rsid w:val="005E74E5"/>
    <w:rsid w:val="005E7798"/>
    <w:rsid w:val="005F1279"/>
    <w:rsid w:val="005F2E29"/>
    <w:rsid w:val="005F37CA"/>
    <w:rsid w:val="005F4F13"/>
    <w:rsid w:val="005F7659"/>
    <w:rsid w:val="005F7F68"/>
    <w:rsid w:val="00603A61"/>
    <w:rsid w:val="0060661A"/>
    <w:rsid w:val="00610C1C"/>
    <w:rsid w:val="00611DE7"/>
    <w:rsid w:val="00614E08"/>
    <w:rsid w:val="00616F5B"/>
    <w:rsid w:val="006228CB"/>
    <w:rsid w:val="006257F1"/>
    <w:rsid w:val="006257F9"/>
    <w:rsid w:val="00626E51"/>
    <w:rsid w:val="00627B3F"/>
    <w:rsid w:val="00630DD9"/>
    <w:rsid w:val="0063306E"/>
    <w:rsid w:val="00634D65"/>
    <w:rsid w:val="00636940"/>
    <w:rsid w:val="0063695B"/>
    <w:rsid w:val="0063697B"/>
    <w:rsid w:val="0064234A"/>
    <w:rsid w:val="00643191"/>
    <w:rsid w:val="00643343"/>
    <w:rsid w:val="006435EE"/>
    <w:rsid w:val="00646300"/>
    <w:rsid w:val="0065012C"/>
    <w:rsid w:val="00650676"/>
    <w:rsid w:val="006516E5"/>
    <w:rsid w:val="006536C1"/>
    <w:rsid w:val="00656A9C"/>
    <w:rsid w:val="00661639"/>
    <w:rsid w:val="00661F3F"/>
    <w:rsid w:val="00662920"/>
    <w:rsid w:val="00662C94"/>
    <w:rsid w:val="00663E8C"/>
    <w:rsid w:val="00665FFD"/>
    <w:rsid w:val="00670D3E"/>
    <w:rsid w:val="00672E35"/>
    <w:rsid w:val="00673150"/>
    <w:rsid w:val="00676FAC"/>
    <w:rsid w:val="00680F66"/>
    <w:rsid w:val="00683779"/>
    <w:rsid w:val="00684624"/>
    <w:rsid w:val="00684830"/>
    <w:rsid w:val="00684D11"/>
    <w:rsid w:val="006903F7"/>
    <w:rsid w:val="00692747"/>
    <w:rsid w:val="00694365"/>
    <w:rsid w:val="006964AA"/>
    <w:rsid w:val="00697984"/>
    <w:rsid w:val="006A2598"/>
    <w:rsid w:val="006A3713"/>
    <w:rsid w:val="006A5ED5"/>
    <w:rsid w:val="006A69B8"/>
    <w:rsid w:val="006B4122"/>
    <w:rsid w:val="006B52FD"/>
    <w:rsid w:val="006B7B61"/>
    <w:rsid w:val="006B7B8B"/>
    <w:rsid w:val="006B7C79"/>
    <w:rsid w:val="006C1895"/>
    <w:rsid w:val="006C191D"/>
    <w:rsid w:val="006C2467"/>
    <w:rsid w:val="006C2871"/>
    <w:rsid w:val="006C31B8"/>
    <w:rsid w:val="006C3D8F"/>
    <w:rsid w:val="006C419D"/>
    <w:rsid w:val="006C58A2"/>
    <w:rsid w:val="006C6B23"/>
    <w:rsid w:val="006D05C7"/>
    <w:rsid w:val="006D2C21"/>
    <w:rsid w:val="006D32D7"/>
    <w:rsid w:val="006D71B2"/>
    <w:rsid w:val="006E0613"/>
    <w:rsid w:val="006E1411"/>
    <w:rsid w:val="006E1B21"/>
    <w:rsid w:val="006E2F8F"/>
    <w:rsid w:val="006E4E77"/>
    <w:rsid w:val="006E5888"/>
    <w:rsid w:val="006F1503"/>
    <w:rsid w:val="006F2918"/>
    <w:rsid w:val="006F517E"/>
    <w:rsid w:val="006F60DB"/>
    <w:rsid w:val="00701AC3"/>
    <w:rsid w:val="00703D48"/>
    <w:rsid w:val="00706BBB"/>
    <w:rsid w:val="00707304"/>
    <w:rsid w:val="00711210"/>
    <w:rsid w:val="00712381"/>
    <w:rsid w:val="00712C0A"/>
    <w:rsid w:val="00715D00"/>
    <w:rsid w:val="00716B32"/>
    <w:rsid w:val="0072000E"/>
    <w:rsid w:val="00723589"/>
    <w:rsid w:val="00724F48"/>
    <w:rsid w:val="0072716B"/>
    <w:rsid w:val="00727FEE"/>
    <w:rsid w:val="00730A5B"/>
    <w:rsid w:val="0073377F"/>
    <w:rsid w:val="0073460E"/>
    <w:rsid w:val="007361DC"/>
    <w:rsid w:val="00740364"/>
    <w:rsid w:val="00745603"/>
    <w:rsid w:val="007468E9"/>
    <w:rsid w:val="0075137C"/>
    <w:rsid w:val="00752B62"/>
    <w:rsid w:val="00753310"/>
    <w:rsid w:val="007555E6"/>
    <w:rsid w:val="00755D6D"/>
    <w:rsid w:val="007640EE"/>
    <w:rsid w:val="00764868"/>
    <w:rsid w:val="00764B30"/>
    <w:rsid w:val="007663C6"/>
    <w:rsid w:val="00770DF6"/>
    <w:rsid w:val="00772C54"/>
    <w:rsid w:val="007741EC"/>
    <w:rsid w:val="00775059"/>
    <w:rsid w:val="0077544A"/>
    <w:rsid w:val="00776812"/>
    <w:rsid w:val="00776864"/>
    <w:rsid w:val="00776F0E"/>
    <w:rsid w:val="00777173"/>
    <w:rsid w:val="00782315"/>
    <w:rsid w:val="00783949"/>
    <w:rsid w:val="0078574F"/>
    <w:rsid w:val="007877AD"/>
    <w:rsid w:val="00787C8D"/>
    <w:rsid w:val="00790FF0"/>
    <w:rsid w:val="007912C8"/>
    <w:rsid w:val="00792BED"/>
    <w:rsid w:val="00793C2A"/>
    <w:rsid w:val="007A36FE"/>
    <w:rsid w:val="007A3985"/>
    <w:rsid w:val="007A4AD2"/>
    <w:rsid w:val="007B1A40"/>
    <w:rsid w:val="007B37E9"/>
    <w:rsid w:val="007B7122"/>
    <w:rsid w:val="007C3655"/>
    <w:rsid w:val="007C48BA"/>
    <w:rsid w:val="007C6CB3"/>
    <w:rsid w:val="007D0327"/>
    <w:rsid w:val="007D06EC"/>
    <w:rsid w:val="007D1DA5"/>
    <w:rsid w:val="007E0861"/>
    <w:rsid w:val="007E3CB0"/>
    <w:rsid w:val="007E70D0"/>
    <w:rsid w:val="007F22FC"/>
    <w:rsid w:val="007F54BD"/>
    <w:rsid w:val="00800589"/>
    <w:rsid w:val="00802471"/>
    <w:rsid w:val="00804196"/>
    <w:rsid w:val="00813CE3"/>
    <w:rsid w:val="00813E8A"/>
    <w:rsid w:val="0082147B"/>
    <w:rsid w:val="00835452"/>
    <w:rsid w:val="008362CC"/>
    <w:rsid w:val="008362D4"/>
    <w:rsid w:val="00837D70"/>
    <w:rsid w:val="0084431A"/>
    <w:rsid w:val="00846BB6"/>
    <w:rsid w:val="00853A70"/>
    <w:rsid w:val="00854F10"/>
    <w:rsid w:val="00860130"/>
    <w:rsid w:val="0086027F"/>
    <w:rsid w:val="00863BC8"/>
    <w:rsid w:val="008645FF"/>
    <w:rsid w:val="0086732E"/>
    <w:rsid w:val="00870062"/>
    <w:rsid w:val="00871333"/>
    <w:rsid w:val="00874822"/>
    <w:rsid w:val="0087552C"/>
    <w:rsid w:val="00880F97"/>
    <w:rsid w:val="0088182E"/>
    <w:rsid w:val="008825CE"/>
    <w:rsid w:val="008835F1"/>
    <w:rsid w:val="0088550C"/>
    <w:rsid w:val="00885998"/>
    <w:rsid w:val="00885C89"/>
    <w:rsid w:val="00887B4E"/>
    <w:rsid w:val="0089099B"/>
    <w:rsid w:val="00892368"/>
    <w:rsid w:val="00892478"/>
    <w:rsid w:val="00892A42"/>
    <w:rsid w:val="00892CD5"/>
    <w:rsid w:val="00893157"/>
    <w:rsid w:val="00893D95"/>
    <w:rsid w:val="00895C6D"/>
    <w:rsid w:val="00896DC3"/>
    <w:rsid w:val="008A1ABA"/>
    <w:rsid w:val="008A66D2"/>
    <w:rsid w:val="008A69ED"/>
    <w:rsid w:val="008A6C8D"/>
    <w:rsid w:val="008A6F32"/>
    <w:rsid w:val="008A7C62"/>
    <w:rsid w:val="008B10BF"/>
    <w:rsid w:val="008B1245"/>
    <w:rsid w:val="008B28C0"/>
    <w:rsid w:val="008B471C"/>
    <w:rsid w:val="008B571B"/>
    <w:rsid w:val="008B682C"/>
    <w:rsid w:val="008B71DD"/>
    <w:rsid w:val="008C1C3B"/>
    <w:rsid w:val="008C494E"/>
    <w:rsid w:val="008C4AF1"/>
    <w:rsid w:val="008C5055"/>
    <w:rsid w:val="008C5FC8"/>
    <w:rsid w:val="008C74D3"/>
    <w:rsid w:val="008C7879"/>
    <w:rsid w:val="008D0A1E"/>
    <w:rsid w:val="008D39B0"/>
    <w:rsid w:val="008D4325"/>
    <w:rsid w:val="008D5B25"/>
    <w:rsid w:val="008E3CC8"/>
    <w:rsid w:val="008E4298"/>
    <w:rsid w:val="008E4DA5"/>
    <w:rsid w:val="008E539B"/>
    <w:rsid w:val="008E755E"/>
    <w:rsid w:val="008F14EC"/>
    <w:rsid w:val="008F1945"/>
    <w:rsid w:val="008F2A9D"/>
    <w:rsid w:val="008F39A4"/>
    <w:rsid w:val="008F3BAB"/>
    <w:rsid w:val="008F50D8"/>
    <w:rsid w:val="008F7170"/>
    <w:rsid w:val="00900744"/>
    <w:rsid w:val="0090475F"/>
    <w:rsid w:val="009066AF"/>
    <w:rsid w:val="00906BA1"/>
    <w:rsid w:val="00907B00"/>
    <w:rsid w:val="00907F29"/>
    <w:rsid w:val="009113B5"/>
    <w:rsid w:val="00912E09"/>
    <w:rsid w:val="00914131"/>
    <w:rsid w:val="00915694"/>
    <w:rsid w:val="00920B49"/>
    <w:rsid w:val="00924454"/>
    <w:rsid w:val="00924B3D"/>
    <w:rsid w:val="00926A50"/>
    <w:rsid w:val="00926E77"/>
    <w:rsid w:val="00934B75"/>
    <w:rsid w:val="0093607E"/>
    <w:rsid w:val="009413CB"/>
    <w:rsid w:val="00944066"/>
    <w:rsid w:val="00944922"/>
    <w:rsid w:val="009451D5"/>
    <w:rsid w:val="009467C9"/>
    <w:rsid w:val="00950BF8"/>
    <w:rsid w:val="00951911"/>
    <w:rsid w:val="0095218A"/>
    <w:rsid w:val="00953637"/>
    <w:rsid w:val="0095430A"/>
    <w:rsid w:val="00955215"/>
    <w:rsid w:val="009563D1"/>
    <w:rsid w:val="009564B4"/>
    <w:rsid w:val="0095668A"/>
    <w:rsid w:val="0095707F"/>
    <w:rsid w:val="00957DA8"/>
    <w:rsid w:val="009613A9"/>
    <w:rsid w:val="009712C5"/>
    <w:rsid w:val="00975930"/>
    <w:rsid w:val="00982654"/>
    <w:rsid w:val="00983055"/>
    <w:rsid w:val="00983D08"/>
    <w:rsid w:val="00983D25"/>
    <w:rsid w:val="00986351"/>
    <w:rsid w:val="00987FCA"/>
    <w:rsid w:val="009926DF"/>
    <w:rsid w:val="0099690D"/>
    <w:rsid w:val="0099720D"/>
    <w:rsid w:val="009973B3"/>
    <w:rsid w:val="009A0480"/>
    <w:rsid w:val="009A338A"/>
    <w:rsid w:val="009A3E66"/>
    <w:rsid w:val="009A476E"/>
    <w:rsid w:val="009A5E14"/>
    <w:rsid w:val="009B0353"/>
    <w:rsid w:val="009B113A"/>
    <w:rsid w:val="009B2C17"/>
    <w:rsid w:val="009B2CF4"/>
    <w:rsid w:val="009B6239"/>
    <w:rsid w:val="009B74A7"/>
    <w:rsid w:val="009D026A"/>
    <w:rsid w:val="009D0B7B"/>
    <w:rsid w:val="009D2CCE"/>
    <w:rsid w:val="009D3AA0"/>
    <w:rsid w:val="009D6989"/>
    <w:rsid w:val="009E1C3F"/>
    <w:rsid w:val="009E28CB"/>
    <w:rsid w:val="009E3100"/>
    <w:rsid w:val="009E376E"/>
    <w:rsid w:val="009E764F"/>
    <w:rsid w:val="009F23C3"/>
    <w:rsid w:val="009F3EE6"/>
    <w:rsid w:val="009F60A7"/>
    <w:rsid w:val="009F7756"/>
    <w:rsid w:val="00A03582"/>
    <w:rsid w:val="00A04848"/>
    <w:rsid w:val="00A05EE9"/>
    <w:rsid w:val="00A1193D"/>
    <w:rsid w:val="00A12AA8"/>
    <w:rsid w:val="00A2047D"/>
    <w:rsid w:val="00A25E99"/>
    <w:rsid w:val="00A34C16"/>
    <w:rsid w:val="00A37484"/>
    <w:rsid w:val="00A37572"/>
    <w:rsid w:val="00A3768D"/>
    <w:rsid w:val="00A40597"/>
    <w:rsid w:val="00A40640"/>
    <w:rsid w:val="00A40E92"/>
    <w:rsid w:val="00A434A9"/>
    <w:rsid w:val="00A47085"/>
    <w:rsid w:val="00A527BD"/>
    <w:rsid w:val="00A543E0"/>
    <w:rsid w:val="00A60B22"/>
    <w:rsid w:val="00A62468"/>
    <w:rsid w:val="00A65104"/>
    <w:rsid w:val="00A65C1A"/>
    <w:rsid w:val="00A67243"/>
    <w:rsid w:val="00A67BF9"/>
    <w:rsid w:val="00A708E3"/>
    <w:rsid w:val="00A747B3"/>
    <w:rsid w:val="00A74F65"/>
    <w:rsid w:val="00A8040D"/>
    <w:rsid w:val="00A83527"/>
    <w:rsid w:val="00A83F76"/>
    <w:rsid w:val="00A854E4"/>
    <w:rsid w:val="00A869FE"/>
    <w:rsid w:val="00A873DE"/>
    <w:rsid w:val="00A87B89"/>
    <w:rsid w:val="00A905C8"/>
    <w:rsid w:val="00A92263"/>
    <w:rsid w:val="00A94011"/>
    <w:rsid w:val="00A97CCB"/>
    <w:rsid w:val="00AA282C"/>
    <w:rsid w:val="00AA5693"/>
    <w:rsid w:val="00AB0446"/>
    <w:rsid w:val="00AB0ECE"/>
    <w:rsid w:val="00AB52C1"/>
    <w:rsid w:val="00AC364B"/>
    <w:rsid w:val="00AC3C64"/>
    <w:rsid w:val="00AC7356"/>
    <w:rsid w:val="00AC76B6"/>
    <w:rsid w:val="00AC77AF"/>
    <w:rsid w:val="00AD19F1"/>
    <w:rsid w:val="00AD470F"/>
    <w:rsid w:val="00AD6032"/>
    <w:rsid w:val="00AD63B8"/>
    <w:rsid w:val="00AD63F0"/>
    <w:rsid w:val="00AD7F8C"/>
    <w:rsid w:val="00AE136A"/>
    <w:rsid w:val="00AE1D9F"/>
    <w:rsid w:val="00AE224B"/>
    <w:rsid w:val="00AE3EE5"/>
    <w:rsid w:val="00AE69FA"/>
    <w:rsid w:val="00AF136D"/>
    <w:rsid w:val="00AF1895"/>
    <w:rsid w:val="00AF369E"/>
    <w:rsid w:val="00AF4FD0"/>
    <w:rsid w:val="00AF5A58"/>
    <w:rsid w:val="00B04234"/>
    <w:rsid w:val="00B04C9E"/>
    <w:rsid w:val="00B05068"/>
    <w:rsid w:val="00B062C5"/>
    <w:rsid w:val="00B06702"/>
    <w:rsid w:val="00B06CEC"/>
    <w:rsid w:val="00B12004"/>
    <w:rsid w:val="00B126CA"/>
    <w:rsid w:val="00B13566"/>
    <w:rsid w:val="00B208A4"/>
    <w:rsid w:val="00B21738"/>
    <w:rsid w:val="00B25D81"/>
    <w:rsid w:val="00B27DCD"/>
    <w:rsid w:val="00B33C85"/>
    <w:rsid w:val="00B3498E"/>
    <w:rsid w:val="00B34F0E"/>
    <w:rsid w:val="00B407CB"/>
    <w:rsid w:val="00B460FA"/>
    <w:rsid w:val="00B46DAE"/>
    <w:rsid w:val="00B47FCB"/>
    <w:rsid w:val="00B5023B"/>
    <w:rsid w:val="00B56721"/>
    <w:rsid w:val="00B568F8"/>
    <w:rsid w:val="00B571C7"/>
    <w:rsid w:val="00B61571"/>
    <w:rsid w:val="00B61D78"/>
    <w:rsid w:val="00B63719"/>
    <w:rsid w:val="00B7224B"/>
    <w:rsid w:val="00B74E81"/>
    <w:rsid w:val="00B75611"/>
    <w:rsid w:val="00B769C9"/>
    <w:rsid w:val="00B76A4E"/>
    <w:rsid w:val="00B7736A"/>
    <w:rsid w:val="00B80245"/>
    <w:rsid w:val="00B8038A"/>
    <w:rsid w:val="00B80E12"/>
    <w:rsid w:val="00B82BC5"/>
    <w:rsid w:val="00B842A4"/>
    <w:rsid w:val="00B8670E"/>
    <w:rsid w:val="00B904E0"/>
    <w:rsid w:val="00B9064C"/>
    <w:rsid w:val="00B909A1"/>
    <w:rsid w:val="00B9200D"/>
    <w:rsid w:val="00B95403"/>
    <w:rsid w:val="00B97B88"/>
    <w:rsid w:val="00BA45A4"/>
    <w:rsid w:val="00BB284E"/>
    <w:rsid w:val="00BB33A3"/>
    <w:rsid w:val="00BB4D31"/>
    <w:rsid w:val="00BB50CD"/>
    <w:rsid w:val="00BB7697"/>
    <w:rsid w:val="00BB7D9A"/>
    <w:rsid w:val="00BC1C82"/>
    <w:rsid w:val="00BC303E"/>
    <w:rsid w:val="00BC4BA0"/>
    <w:rsid w:val="00BC5C29"/>
    <w:rsid w:val="00BD1FED"/>
    <w:rsid w:val="00BD3862"/>
    <w:rsid w:val="00BD409F"/>
    <w:rsid w:val="00BD5BAB"/>
    <w:rsid w:val="00BF02F7"/>
    <w:rsid w:val="00BF192A"/>
    <w:rsid w:val="00BF3C13"/>
    <w:rsid w:val="00C00249"/>
    <w:rsid w:val="00C00F1A"/>
    <w:rsid w:val="00C0373F"/>
    <w:rsid w:val="00C04AB0"/>
    <w:rsid w:val="00C05988"/>
    <w:rsid w:val="00C05C23"/>
    <w:rsid w:val="00C06A74"/>
    <w:rsid w:val="00C17A1C"/>
    <w:rsid w:val="00C211A7"/>
    <w:rsid w:val="00C23811"/>
    <w:rsid w:val="00C253AF"/>
    <w:rsid w:val="00C25B95"/>
    <w:rsid w:val="00C27B42"/>
    <w:rsid w:val="00C30885"/>
    <w:rsid w:val="00C32178"/>
    <w:rsid w:val="00C33B8C"/>
    <w:rsid w:val="00C3467A"/>
    <w:rsid w:val="00C35522"/>
    <w:rsid w:val="00C4642E"/>
    <w:rsid w:val="00C47DE9"/>
    <w:rsid w:val="00C50A37"/>
    <w:rsid w:val="00C55FCE"/>
    <w:rsid w:val="00C562B3"/>
    <w:rsid w:val="00C6183E"/>
    <w:rsid w:val="00C625D6"/>
    <w:rsid w:val="00C6347F"/>
    <w:rsid w:val="00C63572"/>
    <w:rsid w:val="00C638E2"/>
    <w:rsid w:val="00C6517B"/>
    <w:rsid w:val="00C65434"/>
    <w:rsid w:val="00C66952"/>
    <w:rsid w:val="00C66A56"/>
    <w:rsid w:val="00C70CC2"/>
    <w:rsid w:val="00C727CD"/>
    <w:rsid w:val="00C7694E"/>
    <w:rsid w:val="00C8043E"/>
    <w:rsid w:val="00C806EA"/>
    <w:rsid w:val="00C80BC4"/>
    <w:rsid w:val="00C82132"/>
    <w:rsid w:val="00C84B81"/>
    <w:rsid w:val="00C84E80"/>
    <w:rsid w:val="00C93BF6"/>
    <w:rsid w:val="00C93FDF"/>
    <w:rsid w:val="00C96ADB"/>
    <w:rsid w:val="00C97F37"/>
    <w:rsid w:val="00CA02FD"/>
    <w:rsid w:val="00CA2858"/>
    <w:rsid w:val="00CB5487"/>
    <w:rsid w:val="00CB7ACC"/>
    <w:rsid w:val="00CC5802"/>
    <w:rsid w:val="00CD1526"/>
    <w:rsid w:val="00CD1621"/>
    <w:rsid w:val="00CD274C"/>
    <w:rsid w:val="00CD4763"/>
    <w:rsid w:val="00CD4EED"/>
    <w:rsid w:val="00CD52C3"/>
    <w:rsid w:val="00CD63A3"/>
    <w:rsid w:val="00CE0FBE"/>
    <w:rsid w:val="00CE1632"/>
    <w:rsid w:val="00CE19B9"/>
    <w:rsid w:val="00CE5BCB"/>
    <w:rsid w:val="00CE6AC3"/>
    <w:rsid w:val="00CF1BB2"/>
    <w:rsid w:val="00CF2CE5"/>
    <w:rsid w:val="00CF34DC"/>
    <w:rsid w:val="00CF4E43"/>
    <w:rsid w:val="00D00439"/>
    <w:rsid w:val="00D012EE"/>
    <w:rsid w:val="00D01A25"/>
    <w:rsid w:val="00D05499"/>
    <w:rsid w:val="00D078F0"/>
    <w:rsid w:val="00D11C86"/>
    <w:rsid w:val="00D20B76"/>
    <w:rsid w:val="00D267F1"/>
    <w:rsid w:val="00D31CA5"/>
    <w:rsid w:val="00D338A7"/>
    <w:rsid w:val="00D34149"/>
    <w:rsid w:val="00D362EF"/>
    <w:rsid w:val="00D403F3"/>
    <w:rsid w:val="00D4713D"/>
    <w:rsid w:val="00D4749C"/>
    <w:rsid w:val="00D53FD1"/>
    <w:rsid w:val="00D630FF"/>
    <w:rsid w:val="00D6511E"/>
    <w:rsid w:val="00D74B53"/>
    <w:rsid w:val="00D80AE4"/>
    <w:rsid w:val="00D82700"/>
    <w:rsid w:val="00D835E9"/>
    <w:rsid w:val="00D8493D"/>
    <w:rsid w:val="00D86C83"/>
    <w:rsid w:val="00D878CC"/>
    <w:rsid w:val="00D87F66"/>
    <w:rsid w:val="00D90589"/>
    <w:rsid w:val="00D90FAB"/>
    <w:rsid w:val="00D941F3"/>
    <w:rsid w:val="00D974FB"/>
    <w:rsid w:val="00DA11D2"/>
    <w:rsid w:val="00DA2505"/>
    <w:rsid w:val="00DA356B"/>
    <w:rsid w:val="00DA760B"/>
    <w:rsid w:val="00DA7788"/>
    <w:rsid w:val="00DB0838"/>
    <w:rsid w:val="00DB1426"/>
    <w:rsid w:val="00DB32D2"/>
    <w:rsid w:val="00DB3A5E"/>
    <w:rsid w:val="00DB7FDE"/>
    <w:rsid w:val="00DC1BC5"/>
    <w:rsid w:val="00DC21F4"/>
    <w:rsid w:val="00DC5E3B"/>
    <w:rsid w:val="00DC7692"/>
    <w:rsid w:val="00DD48E6"/>
    <w:rsid w:val="00DD667B"/>
    <w:rsid w:val="00DD7648"/>
    <w:rsid w:val="00DE0135"/>
    <w:rsid w:val="00DE49F5"/>
    <w:rsid w:val="00DE4C56"/>
    <w:rsid w:val="00DE5604"/>
    <w:rsid w:val="00DF07AF"/>
    <w:rsid w:val="00DF2B2E"/>
    <w:rsid w:val="00DF5952"/>
    <w:rsid w:val="00DF5FB8"/>
    <w:rsid w:val="00DF6AF2"/>
    <w:rsid w:val="00DF7575"/>
    <w:rsid w:val="00E005AA"/>
    <w:rsid w:val="00E008DD"/>
    <w:rsid w:val="00E00999"/>
    <w:rsid w:val="00E0107A"/>
    <w:rsid w:val="00E01EE4"/>
    <w:rsid w:val="00E01F0A"/>
    <w:rsid w:val="00E02EF3"/>
    <w:rsid w:val="00E03D30"/>
    <w:rsid w:val="00E07689"/>
    <w:rsid w:val="00E11FE9"/>
    <w:rsid w:val="00E13C24"/>
    <w:rsid w:val="00E15DD9"/>
    <w:rsid w:val="00E16BE9"/>
    <w:rsid w:val="00E22A4E"/>
    <w:rsid w:val="00E27CD6"/>
    <w:rsid w:val="00E309F6"/>
    <w:rsid w:val="00E31F9E"/>
    <w:rsid w:val="00E34472"/>
    <w:rsid w:val="00E35BBB"/>
    <w:rsid w:val="00E41EC2"/>
    <w:rsid w:val="00E42438"/>
    <w:rsid w:val="00E43120"/>
    <w:rsid w:val="00E43201"/>
    <w:rsid w:val="00E451ED"/>
    <w:rsid w:val="00E51DF7"/>
    <w:rsid w:val="00E51E67"/>
    <w:rsid w:val="00E56EE9"/>
    <w:rsid w:val="00E60181"/>
    <w:rsid w:val="00E60863"/>
    <w:rsid w:val="00E60EFF"/>
    <w:rsid w:val="00E60FBF"/>
    <w:rsid w:val="00E61476"/>
    <w:rsid w:val="00E61767"/>
    <w:rsid w:val="00E645D6"/>
    <w:rsid w:val="00E6519B"/>
    <w:rsid w:val="00E674AB"/>
    <w:rsid w:val="00E67526"/>
    <w:rsid w:val="00E67D4B"/>
    <w:rsid w:val="00E70025"/>
    <w:rsid w:val="00E70BC0"/>
    <w:rsid w:val="00E71644"/>
    <w:rsid w:val="00E71872"/>
    <w:rsid w:val="00E71DA2"/>
    <w:rsid w:val="00E76EE4"/>
    <w:rsid w:val="00E8058C"/>
    <w:rsid w:val="00E83252"/>
    <w:rsid w:val="00E842B5"/>
    <w:rsid w:val="00E868CE"/>
    <w:rsid w:val="00E927ED"/>
    <w:rsid w:val="00E9378E"/>
    <w:rsid w:val="00E93AD3"/>
    <w:rsid w:val="00E93FE9"/>
    <w:rsid w:val="00E957A1"/>
    <w:rsid w:val="00E95C7E"/>
    <w:rsid w:val="00E9745F"/>
    <w:rsid w:val="00EA1004"/>
    <w:rsid w:val="00EA56BB"/>
    <w:rsid w:val="00EA5820"/>
    <w:rsid w:val="00EA7F4F"/>
    <w:rsid w:val="00EB2BAE"/>
    <w:rsid w:val="00EB3B55"/>
    <w:rsid w:val="00EB481D"/>
    <w:rsid w:val="00EB5DBE"/>
    <w:rsid w:val="00EB6A1C"/>
    <w:rsid w:val="00EB78C5"/>
    <w:rsid w:val="00EC5984"/>
    <w:rsid w:val="00EC5B3C"/>
    <w:rsid w:val="00ED2275"/>
    <w:rsid w:val="00ED32AA"/>
    <w:rsid w:val="00ED6E3F"/>
    <w:rsid w:val="00ED6FFC"/>
    <w:rsid w:val="00EE2301"/>
    <w:rsid w:val="00EE5B5B"/>
    <w:rsid w:val="00EE720A"/>
    <w:rsid w:val="00EF0893"/>
    <w:rsid w:val="00EF0E8C"/>
    <w:rsid w:val="00EF19AA"/>
    <w:rsid w:val="00EF21B8"/>
    <w:rsid w:val="00EF2649"/>
    <w:rsid w:val="00EF4427"/>
    <w:rsid w:val="00EF7D02"/>
    <w:rsid w:val="00F00568"/>
    <w:rsid w:val="00F00899"/>
    <w:rsid w:val="00F03664"/>
    <w:rsid w:val="00F03CB9"/>
    <w:rsid w:val="00F060FE"/>
    <w:rsid w:val="00F0625A"/>
    <w:rsid w:val="00F104DE"/>
    <w:rsid w:val="00F10C2A"/>
    <w:rsid w:val="00F11257"/>
    <w:rsid w:val="00F13B25"/>
    <w:rsid w:val="00F17862"/>
    <w:rsid w:val="00F17BE5"/>
    <w:rsid w:val="00F17C4E"/>
    <w:rsid w:val="00F17C8E"/>
    <w:rsid w:val="00F21B44"/>
    <w:rsid w:val="00F231C6"/>
    <w:rsid w:val="00F24054"/>
    <w:rsid w:val="00F24F0B"/>
    <w:rsid w:val="00F2760B"/>
    <w:rsid w:val="00F32264"/>
    <w:rsid w:val="00F32B46"/>
    <w:rsid w:val="00F3303E"/>
    <w:rsid w:val="00F34CA9"/>
    <w:rsid w:val="00F3695C"/>
    <w:rsid w:val="00F439B9"/>
    <w:rsid w:val="00F445AF"/>
    <w:rsid w:val="00F45429"/>
    <w:rsid w:val="00F50429"/>
    <w:rsid w:val="00F54267"/>
    <w:rsid w:val="00F55326"/>
    <w:rsid w:val="00F56EEB"/>
    <w:rsid w:val="00F56F29"/>
    <w:rsid w:val="00F63D45"/>
    <w:rsid w:val="00F64E3D"/>
    <w:rsid w:val="00F6564A"/>
    <w:rsid w:val="00F6679A"/>
    <w:rsid w:val="00F70EC9"/>
    <w:rsid w:val="00F752DC"/>
    <w:rsid w:val="00F773B1"/>
    <w:rsid w:val="00F81029"/>
    <w:rsid w:val="00F860D1"/>
    <w:rsid w:val="00F87973"/>
    <w:rsid w:val="00F93F4F"/>
    <w:rsid w:val="00F97FE9"/>
    <w:rsid w:val="00FA2A22"/>
    <w:rsid w:val="00FA5C46"/>
    <w:rsid w:val="00FA6F83"/>
    <w:rsid w:val="00FB2285"/>
    <w:rsid w:val="00FB4A54"/>
    <w:rsid w:val="00FB6B73"/>
    <w:rsid w:val="00FC4D05"/>
    <w:rsid w:val="00FC7F56"/>
    <w:rsid w:val="00FD181A"/>
    <w:rsid w:val="00FD5037"/>
    <w:rsid w:val="00FD59C0"/>
    <w:rsid w:val="00FD5D29"/>
    <w:rsid w:val="00FD6D91"/>
    <w:rsid w:val="00FD7068"/>
    <w:rsid w:val="00FE0836"/>
    <w:rsid w:val="00FE1DBF"/>
    <w:rsid w:val="00FE2223"/>
    <w:rsid w:val="00FE5CE6"/>
    <w:rsid w:val="00FE652D"/>
    <w:rsid w:val="00FE7346"/>
    <w:rsid w:val="00FF6CF2"/>
    <w:rsid w:val="00FF7B15"/>
    <w:rsid w:val="01085959"/>
    <w:rsid w:val="0136A768"/>
    <w:rsid w:val="015C2D2A"/>
    <w:rsid w:val="0183C606"/>
    <w:rsid w:val="01B7FD36"/>
    <w:rsid w:val="01D3B9CB"/>
    <w:rsid w:val="02361304"/>
    <w:rsid w:val="0263846A"/>
    <w:rsid w:val="026D1750"/>
    <w:rsid w:val="027C64C7"/>
    <w:rsid w:val="02A9A82C"/>
    <w:rsid w:val="02E1AD0C"/>
    <w:rsid w:val="02EB16A9"/>
    <w:rsid w:val="033F4F7F"/>
    <w:rsid w:val="03D7FD0E"/>
    <w:rsid w:val="03FF0CCB"/>
    <w:rsid w:val="0419D47F"/>
    <w:rsid w:val="0427D7A9"/>
    <w:rsid w:val="04440756"/>
    <w:rsid w:val="045764E4"/>
    <w:rsid w:val="04663FF4"/>
    <w:rsid w:val="0477C5F6"/>
    <w:rsid w:val="04BB66C8"/>
    <w:rsid w:val="04DF0284"/>
    <w:rsid w:val="053539F9"/>
    <w:rsid w:val="0589A255"/>
    <w:rsid w:val="059588B8"/>
    <w:rsid w:val="0608D43E"/>
    <w:rsid w:val="068D7806"/>
    <w:rsid w:val="06AA6040"/>
    <w:rsid w:val="06FF6C77"/>
    <w:rsid w:val="0731AC75"/>
    <w:rsid w:val="075F7EE6"/>
    <w:rsid w:val="0767F851"/>
    <w:rsid w:val="07C73DA1"/>
    <w:rsid w:val="086FA495"/>
    <w:rsid w:val="08B36C94"/>
    <w:rsid w:val="096BE043"/>
    <w:rsid w:val="09E927F1"/>
    <w:rsid w:val="0A115CE2"/>
    <w:rsid w:val="0AC7EE21"/>
    <w:rsid w:val="0B0299C7"/>
    <w:rsid w:val="0B0363DF"/>
    <w:rsid w:val="0B07AB00"/>
    <w:rsid w:val="0B2C43C0"/>
    <w:rsid w:val="0B76E2D6"/>
    <w:rsid w:val="0B96A01D"/>
    <w:rsid w:val="0BA18548"/>
    <w:rsid w:val="0BA51079"/>
    <w:rsid w:val="0BC8A6E2"/>
    <w:rsid w:val="0C307F64"/>
    <w:rsid w:val="0C5CCB78"/>
    <w:rsid w:val="0D53F4A5"/>
    <w:rsid w:val="0D7ED066"/>
    <w:rsid w:val="0DA79526"/>
    <w:rsid w:val="0DC2CEFD"/>
    <w:rsid w:val="0E067CB1"/>
    <w:rsid w:val="0E1F9A29"/>
    <w:rsid w:val="0F000433"/>
    <w:rsid w:val="108B9567"/>
    <w:rsid w:val="10CE68D1"/>
    <w:rsid w:val="1132240B"/>
    <w:rsid w:val="11C44DFF"/>
    <w:rsid w:val="122FBA3A"/>
    <w:rsid w:val="127951B8"/>
    <w:rsid w:val="12D64244"/>
    <w:rsid w:val="1312BCE5"/>
    <w:rsid w:val="1334D8A4"/>
    <w:rsid w:val="1379FAD0"/>
    <w:rsid w:val="141ADD7B"/>
    <w:rsid w:val="1462595E"/>
    <w:rsid w:val="1463F5E8"/>
    <w:rsid w:val="1480C2A9"/>
    <w:rsid w:val="148464A2"/>
    <w:rsid w:val="14B36240"/>
    <w:rsid w:val="14DB4851"/>
    <w:rsid w:val="150EBAED"/>
    <w:rsid w:val="1552B6AB"/>
    <w:rsid w:val="160C60F1"/>
    <w:rsid w:val="163654B3"/>
    <w:rsid w:val="1664C70A"/>
    <w:rsid w:val="167C363A"/>
    <w:rsid w:val="16D60EAD"/>
    <w:rsid w:val="16D6EB02"/>
    <w:rsid w:val="16DE148E"/>
    <w:rsid w:val="16F1D037"/>
    <w:rsid w:val="16FAD6EB"/>
    <w:rsid w:val="176CA405"/>
    <w:rsid w:val="17BC6B84"/>
    <w:rsid w:val="17FA55FC"/>
    <w:rsid w:val="180C7547"/>
    <w:rsid w:val="180EBB3E"/>
    <w:rsid w:val="1842D1D7"/>
    <w:rsid w:val="18555D77"/>
    <w:rsid w:val="18796077"/>
    <w:rsid w:val="187DE7A5"/>
    <w:rsid w:val="18B6C015"/>
    <w:rsid w:val="1913ADD3"/>
    <w:rsid w:val="1917FD1A"/>
    <w:rsid w:val="199B5AD2"/>
    <w:rsid w:val="19A805D4"/>
    <w:rsid w:val="1A733742"/>
    <w:rsid w:val="1AA16F56"/>
    <w:rsid w:val="1AE08EA0"/>
    <w:rsid w:val="1AE2A900"/>
    <w:rsid w:val="1AF11F2F"/>
    <w:rsid w:val="1B840824"/>
    <w:rsid w:val="1C1B66AC"/>
    <w:rsid w:val="1C972315"/>
    <w:rsid w:val="1CB45A00"/>
    <w:rsid w:val="1CC66AEA"/>
    <w:rsid w:val="1D817BA8"/>
    <w:rsid w:val="1D9D327E"/>
    <w:rsid w:val="1E3E2F3E"/>
    <w:rsid w:val="1E556F8C"/>
    <w:rsid w:val="1E6A28A5"/>
    <w:rsid w:val="1E7ECBAD"/>
    <w:rsid w:val="1EB48B4A"/>
    <w:rsid w:val="1EBCCE2A"/>
    <w:rsid w:val="1F37DF2A"/>
    <w:rsid w:val="1F52C65B"/>
    <w:rsid w:val="1F9D2109"/>
    <w:rsid w:val="1FDDE1C6"/>
    <w:rsid w:val="202142FB"/>
    <w:rsid w:val="208CB27E"/>
    <w:rsid w:val="20C1CAA8"/>
    <w:rsid w:val="20E96AA2"/>
    <w:rsid w:val="20F1AB10"/>
    <w:rsid w:val="21249ECB"/>
    <w:rsid w:val="218D104E"/>
    <w:rsid w:val="21E98F91"/>
    <w:rsid w:val="222C50EC"/>
    <w:rsid w:val="222D960A"/>
    <w:rsid w:val="2251DA41"/>
    <w:rsid w:val="22D6A140"/>
    <w:rsid w:val="22EB2F85"/>
    <w:rsid w:val="2328E0AF"/>
    <w:rsid w:val="234A04C6"/>
    <w:rsid w:val="234C1C56"/>
    <w:rsid w:val="23532FEE"/>
    <w:rsid w:val="23B877DC"/>
    <w:rsid w:val="23E14779"/>
    <w:rsid w:val="242D2687"/>
    <w:rsid w:val="2433A9B3"/>
    <w:rsid w:val="249226A8"/>
    <w:rsid w:val="24AFDB1C"/>
    <w:rsid w:val="25279319"/>
    <w:rsid w:val="25587F91"/>
    <w:rsid w:val="259F4BA6"/>
    <w:rsid w:val="25A09D7B"/>
    <w:rsid w:val="262EF16C"/>
    <w:rsid w:val="265C05F0"/>
    <w:rsid w:val="26DF0248"/>
    <w:rsid w:val="271AD927"/>
    <w:rsid w:val="2729A182"/>
    <w:rsid w:val="276A2715"/>
    <w:rsid w:val="27F92749"/>
    <w:rsid w:val="281BFB39"/>
    <w:rsid w:val="2880DD99"/>
    <w:rsid w:val="288BE8FF"/>
    <w:rsid w:val="2892E750"/>
    <w:rsid w:val="28A46793"/>
    <w:rsid w:val="28CD93C7"/>
    <w:rsid w:val="2964999D"/>
    <w:rsid w:val="29728C1B"/>
    <w:rsid w:val="2A0B5674"/>
    <w:rsid w:val="2AA14BCC"/>
    <w:rsid w:val="2B3D029E"/>
    <w:rsid w:val="2B722EB1"/>
    <w:rsid w:val="2BBF15F5"/>
    <w:rsid w:val="2BD650DD"/>
    <w:rsid w:val="2C28D3A2"/>
    <w:rsid w:val="2C7B54F1"/>
    <w:rsid w:val="2CADB56D"/>
    <w:rsid w:val="2CC46E94"/>
    <w:rsid w:val="2CD3108D"/>
    <w:rsid w:val="2D2BDC4A"/>
    <w:rsid w:val="2D5F5A22"/>
    <w:rsid w:val="2D66958C"/>
    <w:rsid w:val="2DC11ED6"/>
    <w:rsid w:val="2DF0287F"/>
    <w:rsid w:val="2E8DC0C9"/>
    <w:rsid w:val="2E95763A"/>
    <w:rsid w:val="2F02A111"/>
    <w:rsid w:val="2F0AA070"/>
    <w:rsid w:val="2F4952D5"/>
    <w:rsid w:val="2F7ECC85"/>
    <w:rsid w:val="2FAB6808"/>
    <w:rsid w:val="2FAEE17F"/>
    <w:rsid w:val="300FE604"/>
    <w:rsid w:val="30187F0F"/>
    <w:rsid w:val="303D2F18"/>
    <w:rsid w:val="30A2BE57"/>
    <w:rsid w:val="30F89C90"/>
    <w:rsid w:val="311BB671"/>
    <w:rsid w:val="318A10DA"/>
    <w:rsid w:val="318ADCDF"/>
    <w:rsid w:val="31B05C8B"/>
    <w:rsid w:val="32319E39"/>
    <w:rsid w:val="327DCEAE"/>
    <w:rsid w:val="329E7087"/>
    <w:rsid w:val="32C31A9D"/>
    <w:rsid w:val="32E5D07E"/>
    <w:rsid w:val="32EB0BDB"/>
    <w:rsid w:val="32F3764E"/>
    <w:rsid w:val="331AB061"/>
    <w:rsid w:val="33A45E0D"/>
    <w:rsid w:val="33E057B9"/>
    <w:rsid w:val="33E69758"/>
    <w:rsid w:val="33FA3B28"/>
    <w:rsid w:val="340920D9"/>
    <w:rsid w:val="341F6D17"/>
    <w:rsid w:val="3445E69F"/>
    <w:rsid w:val="345D21DE"/>
    <w:rsid w:val="34BF2D42"/>
    <w:rsid w:val="34C25D0A"/>
    <w:rsid w:val="35E79FB0"/>
    <w:rsid w:val="35FCA3C5"/>
    <w:rsid w:val="36656A64"/>
    <w:rsid w:val="36FD656D"/>
    <w:rsid w:val="3706DCB5"/>
    <w:rsid w:val="370927EE"/>
    <w:rsid w:val="371607F8"/>
    <w:rsid w:val="371EFF23"/>
    <w:rsid w:val="373223C9"/>
    <w:rsid w:val="37592D57"/>
    <w:rsid w:val="375A0D06"/>
    <w:rsid w:val="376C5BDB"/>
    <w:rsid w:val="37B46F65"/>
    <w:rsid w:val="3812A7BE"/>
    <w:rsid w:val="382259FC"/>
    <w:rsid w:val="38BFE678"/>
    <w:rsid w:val="38C1A105"/>
    <w:rsid w:val="38ED1032"/>
    <w:rsid w:val="38EEB620"/>
    <w:rsid w:val="393BB610"/>
    <w:rsid w:val="3947297B"/>
    <w:rsid w:val="39BF37B1"/>
    <w:rsid w:val="39CB4B6C"/>
    <w:rsid w:val="3A410351"/>
    <w:rsid w:val="3A447934"/>
    <w:rsid w:val="3ACF18C9"/>
    <w:rsid w:val="3B23BE4A"/>
    <w:rsid w:val="3B497EE1"/>
    <w:rsid w:val="3B8206F2"/>
    <w:rsid w:val="3BCCB492"/>
    <w:rsid w:val="3BDDDC03"/>
    <w:rsid w:val="3BF4F0C4"/>
    <w:rsid w:val="3BFA8BF3"/>
    <w:rsid w:val="3C23D40C"/>
    <w:rsid w:val="3C464D38"/>
    <w:rsid w:val="3C46DD7F"/>
    <w:rsid w:val="3C65C3DA"/>
    <w:rsid w:val="3CB78592"/>
    <w:rsid w:val="3D2869B2"/>
    <w:rsid w:val="3D287005"/>
    <w:rsid w:val="3D3979B4"/>
    <w:rsid w:val="3D6D7319"/>
    <w:rsid w:val="3D7DD736"/>
    <w:rsid w:val="3DCC775D"/>
    <w:rsid w:val="3DD8C981"/>
    <w:rsid w:val="3DF8B8EE"/>
    <w:rsid w:val="3E18D89F"/>
    <w:rsid w:val="3E2B340B"/>
    <w:rsid w:val="3E37FACD"/>
    <w:rsid w:val="3E81AE5A"/>
    <w:rsid w:val="3EAACB9E"/>
    <w:rsid w:val="3F05DE8D"/>
    <w:rsid w:val="3F09DC14"/>
    <w:rsid w:val="3F20DE7B"/>
    <w:rsid w:val="3F306182"/>
    <w:rsid w:val="3F42A3C8"/>
    <w:rsid w:val="3F643F3C"/>
    <w:rsid w:val="3F7499E2"/>
    <w:rsid w:val="3F778364"/>
    <w:rsid w:val="3F7C4A05"/>
    <w:rsid w:val="4040B6B0"/>
    <w:rsid w:val="406DCE54"/>
    <w:rsid w:val="40C6F613"/>
    <w:rsid w:val="40D5A48F"/>
    <w:rsid w:val="41106A43"/>
    <w:rsid w:val="4146FB8A"/>
    <w:rsid w:val="415653BA"/>
    <w:rsid w:val="419811AB"/>
    <w:rsid w:val="41C8701A"/>
    <w:rsid w:val="41EF3D72"/>
    <w:rsid w:val="42423912"/>
    <w:rsid w:val="424BC26F"/>
    <w:rsid w:val="42596E4B"/>
    <w:rsid w:val="4283BE94"/>
    <w:rsid w:val="42CC1246"/>
    <w:rsid w:val="42D3C8E5"/>
    <w:rsid w:val="433C394E"/>
    <w:rsid w:val="4344FBE2"/>
    <w:rsid w:val="434D52C3"/>
    <w:rsid w:val="4435E753"/>
    <w:rsid w:val="444C8BD6"/>
    <w:rsid w:val="445D0233"/>
    <w:rsid w:val="446E4020"/>
    <w:rsid w:val="448F41E1"/>
    <w:rsid w:val="44C32470"/>
    <w:rsid w:val="44EA9824"/>
    <w:rsid w:val="44F9DD07"/>
    <w:rsid w:val="44FCC782"/>
    <w:rsid w:val="45302026"/>
    <w:rsid w:val="458046D8"/>
    <w:rsid w:val="459013F0"/>
    <w:rsid w:val="45A7DCAE"/>
    <w:rsid w:val="45B46A94"/>
    <w:rsid w:val="45F31346"/>
    <w:rsid w:val="46223CF9"/>
    <w:rsid w:val="466D8A66"/>
    <w:rsid w:val="469BF866"/>
    <w:rsid w:val="46ABE22C"/>
    <w:rsid w:val="46FDD862"/>
    <w:rsid w:val="47064DCF"/>
    <w:rsid w:val="4719BC6F"/>
    <w:rsid w:val="474E38F9"/>
    <w:rsid w:val="4771AE34"/>
    <w:rsid w:val="479B6669"/>
    <w:rsid w:val="47A662AA"/>
    <w:rsid w:val="47D29E67"/>
    <w:rsid w:val="48589C74"/>
    <w:rsid w:val="4879AF25"/>
    <w:rsid w:val="48C21668"/>
    <w:rsid w:val="48EFC18F"/>
    <w:rsid w:val="48F1F925"/>
    <w:rsid w:val="492D4137"/>
    <w:rsid w:val="49E331FE"/>
    <w:rsid w:val="49FC9C93"/>
    <w:rsid w:val="4A0DC9BF"/>
    <w:rsid w:val="4A327C74"/>
    <w:rsid w:val="4A4A16E7"/>
    <w:rsid w:val="4AA4D7D7"/>
    <w:rsid w:val="4AA6F1E3"/>
    <w:rsid w:val="4AC91E6E"/>
    <w:rsid w:val="4AE03DDB"/>
    <w:rsid w:val="4AE43CA4"/>
    <w:rsid w:val="4AFE04FD"/>
    <w:rsid w:val="4B155132"/>
    <w:rsid w:val="4B29BD12"/>
    <w:rsid w:val="4B573331"/>
    <w:rsid w:val="4B7F025F"/>
    <w:rsid w:val="4BAA75BF"/>
    <w:rsid w:val="4BDE967E"/>
    <w:rsid w:val="4BEFA6D7"/>
    <w:rsid w:val="4C3BF2D4"/>
    <w:rsid w:val="4C5DCDD6"/>
    <w:rsid w:val="4CC4D4F3"/>
    <w:rsid w:val="4CD307C8"/>
    <w:rsid w:val="4D1AD2C0"/>
    <w:rsid w:val="4D1CCE2B"/>
    <w:rsid w:val="4D5525C3"/>
    <w:rsid w:val="4D62C234"/>
    <w:rsid w:val="4D78C6F0"/>
    <w:rsid w:val="4DAC51F7"/>
    <w:rsid w:val="4DE604A1"/>
    <w:rsid w:val="4E394889"/>
    <w:rsid w:val="4E79705C"/>
    <w:rsid w:val="4E7E37FE"/>
    <w:rsid w:val="4EADB1CC"/>
    <w:rsid w:val="4EBBD3FC"/>
    <w:rsid w:val="4EE083AC"/>
    <w:rsid w:val="4F0C5492"/>
    <w:rsid w:val="4F482258"/>
    <w:rsid w:val="4FAA5DDE"/>
    <w:rsid w:val="4FB202C9"/>
    <w:rsid w:val="50251EA8"/>
    <w:rsid w:val="506B9BDF"/>
    <w:rsid w:val="507E809F"/>
    <w:rsid w:val="508D53FF"/>
    <w:rsid w:val="50C4BEF5"/>
    <w:rsid w:val="50E1BE35"/>
    <w:rsid w:val="512E7B93"/>
    <w:rsid w:val="51313D75"/>
    <w:rsid w:val="5161F4D5"/>
    <w:rsid w:val="517BBA1D"/>
    <w:rsid w:val="5196B949"/>
    <w:rsid w:val="5198B5C9"/>
    <w:rsid w:val="51B6C156"/>
    <w:rsid w:val="52151BD3"/>
    <w:rsid w:val="5221582A"/>
    <w:rsid w:val="527427BD"/>
    <w:rsid w:val="527D8E96"/>
    <w:rsid w:val="52D43053"/>
    <w:rsid w:val="53F8A6D5"/>
    <w:rsid w:val="547000B4"/>
    <w:rsid w:val="54731F24"/>
    <w:rsid w:val="549CAD9C"/>
    <w:rsid w:val="54AA536C"/>
    <w:rsid w:val="54D4C43D"/>
    <w:rsid w:val="54DD6B56"/>
    <w:rsid w:val="54F4A061"/>
    <w:rsid w:val="556195A4"/>
    <w:rsid w:val="55667ADE"/>
    <w:rsid w:val="556C5067"/>
    <w:rsid w:val="5595FCFE"/>
    <w:rsid w:val="559E3B7F"/>
    <w:rsid w:val="563BB8FD"/>
    <w:rsid w:val="566EEA8D"/>
    <w:rsid w:val="56812C85"/>
    <w:rsid w:val="570EA53C"/>
    <w:rsid w:val="576011A4"/>
    <w:rsid w:val="577C26D8"/>
    <w:rsid w:val="57882C0B"/>
    <w:rsid w:val="57CE1E8A"/>
    <w:rsid w:val="57DFB130"/>
    <w:rsid w:val="581ACE88"/>
    <w:rsid w:val="582D12BD"/>
    <w:rsid w:val="58548671"/>
    <w:rsid w:val="585F3AA0"/>
    <w:rsid w:val="5876ADC4"/>
    <w:rsid w:val="588B098F"/>
    <w:rsid w:val="58F21D98"/>
    <w:rsid w:val="58FA3234"/>
    <w:rsid w:val="594EB9CC"/>
    <w:rsid w:val="59F386F7"/>
    <w:rsid w:val="5A01E7E9"/>
    <w:rsid w:val="5A277AA5"/>
    <w:rsid w:val="5A51F12E"/>
    <w:rsid w:val="5A9C3932"/>
    <w:rsid w:val="5AA67002"/>
    <w:rsid w:val="5ACEE971"/>
    <w:rsid w:val="5AD3F05E"/>
    <w:rsid w:val="5B06856C"/>
    <w:rsid w:val="5B26630A"/>
    <w:rsid w:val="5B5CEC72"/>
    <w:rsid w:val="5B64CAE3"/>
    <w:rsid w:val="5B6BE074"/>
    <w:rsid w:val="5B7614CF"/>
    <w:rsid w:val="5BB1A1AC"/>
    <w:rsid w:val="5BFF4E80"/>
    <w:rsid w:val="5C23A97C"/>
    <w:rsid w:val="5C555B16"/>
    <w:rsid w:val="5C7DE1D0"/>
    <w:rsid w:val="5C88E91C"/>
    <w:rsid w:val="5CA21A38"/>
    <w:rsid w:val="5CDF22F2"/>
    <w:rsid w:val="5D4C7281"/>
    <w:rsid w:val="5D52830F"/>
    <w:rsid w:val="5DEA0969"/>
    <w:rsid w:val="5E0B9120"/>
    <w:rsid w:val="5E2A5649"/>
    <w:rsid w:val="5E55D9AC"/>
    <w:rsid w:val="5E706501"/>
    <w:rsid w:val="5EA8B957"/>
    <w:rsid w:val="5EB24BA5"/>
    <w:rsid w:val="5ECF5105"/>
    <w:rsid w:val="5F026F9A"/>
    <w:rsid w:val="5F254178"/>
    <w:rsid w:val="5F8E4FD3"/>
    <w:rsid w:val="5FA3BC37"/>
    <w:rsid w:val="5FCC08CC"/>
    <w:rsid w:val="5FF52A0C"/>
    <w:rsid w:val="60094B1D"/>
    <w:rsid w:val="60EB6629"/>
    <w:rsid w:val="61166774"/>
    <w:rsid w:val="6159B418"/>
    <w:rsid w:val="61CC2DF6"/>
    <w:rsid w:val="622D3906"/>
    <w:rsid w:val="6252C0F5"/>
    <w:rsid w:val="629CF8DF"/>
    <w:rsid w:val="6327A881"/>
    <w:rsid w:val="636765FF"/>
    <w:rsid w:val="6404A44F"/>
    <w:rsid w:val="6429F31B"/>
    <w:rsid w:val="642C1803"/>
    <w:rsid w:val="6435D3D4"/>
    <w:rsid w:val="64BD3B05"/>
    <w:rsid w:val="656905FE"/>
    <w:rsid w:val="65DA2C97"/>
    <w:rsid w:val="65F40753"/>
    <w:rsid w:val="669F06C1"/>
    <w:rsid w:val="66C13A8D"/>
    <w:rsid w:val="66E1537B"/>
    <w:rsid w:val="671B17CD"/>
    <w:rsid w:val="6730DE8C"/>
    <w:rsid w:val="67423C51"/>
    <w:rsid w:val="6778C5B8"/>
    <w:rsid w:val="679A494B"/>
    <w:rsid w:val="67CA7B77"/>
    <w:rsid w:val="68120785"/>
    <w:rsid w:val="682C0361"/>
    <w:rsid w:val="6857B8B2"/>
    <w:rsid w:val="6880F95F"/>
    <w:rsid w:val="688B70FB"/>
    <w:rsid w:val="690AB570"/>
    <w:rsid w:val="6934CC6C"/>
    <w:rsid w:val="694E43C7"/>
    <w:rsid w:val="6963CF7A"/>
    <w:rsid w:val="696A0975"/>
    <w:rsid w:val="69903D7D"/>
    <w:rsid w:val="6A2A28C1"/>
    <w:rsid w:val="6A60DD1F"/>
    <w:rsid w:val="6AE009DB"/>
    <w:rsid w:val="6AEA1428"/>
    <w:rsid w:val="6AF201AE"/>
    <w:rsid w:val="6B1F2F33"/>
    <w:rsid w:val="6B32691C"/>
    <w:rsid w:val="6BA2A263"/>
    <w:rsid w:val="6BBEFFCA"/>
    <w:rsid w:val="6C66655B"/>
    <w:rsid w:val="6C6B7854"/>
    <w:rsid w:val="6CD2A16E"/>
    <w:rsid w:val="6D17A8ED"/>
    <w:rsid w:val="6D3CD20C"/>
    <w:rsid w:val="6DBD7E20"/>
    <w:rsid w:val="6DBDE5CB"/>
    <w:rsid w:val="6DC38DBD"/>
    <w:rsid w:val="6E5DA226"/>
    <w:rsid w:val="6F11BFB5"/>
    <w:rsid w:val="6F9E3FB5"/>
    <w:rsid w:val="6FA33079"/>
    <w:rsid w:val="70396836"/>
    <w:rsid w:val="70D01EA3"/>
    <w:rsid w:val="71104356"/>
    <w:rsid w:val="71614332"/>
    <w:rsid w:val="7161DCAF"/>
    <w:rsid w:val="71A3C8CD"/>
    <w:rsid w:val="71E0711F"/>
    <w:rsid w:val="724B4A56"/>
    <w:rsid w:val="724E9C2A"/>
    <w:rsid w:val="72938461"/>
    <w:rsid w:val="72BA3FB8"/>
    <w:rsid w:val="72F5260D"/>
    <w:rsid w:val="7309DB10"/>
    <w:rsid w:val="73231E13"/>
    <w:rsid w:val="733E71DA"/>
    <w:rsid w:val="733F992E"/>
    <w:rsid w:val="73BFC83F"/>
    <w:rsid w:val="742CF598"/>
    <w:rsid w:val="74CDD024"/>
    <w:rsid w:val="74DB698F"/>
    <w:rsid w:val="75094D48"/>
    <w:rsid w:val="75414432"/>
    <w:rsid w:val="755499F0"/>
    <w:rsid w:val="7581935B"/>
    <w:rsid w:val="75E64998"/>
    <w:rsid w:val="75EC0A7A"/>
    <w:rsid w:val="760057E9"/>
    <w:rsid w:val="7619629F"/>
    <w:rsid w:val="765F4C16"/>
    <w:rsid w:val="76653EB1"/>
    <w:rsid w:val="76726725"/>
    <w:rsid w:val="76933100"/>
    <w:rsid w:val="76E9752A"/>
    <w:rsid w:val="76FF74DA"/>
    <w:rsid w:val="7754F37D"/>
    <w:rsid w:val="7766F584"/>
    <w:rsid w:val="778219F9"/>
    <w:rsid w:val="77ADDDB7"/>
    <w:rsid w:val="77D4E694"/>
    <w:rsid w:val="78C85BEF"/>
    <w:rsid w:val="7A4BBD7D"/>
    <w:rsid w:val="7A854763"/>
    <w:rsid w:val="7AB1F4DA"/>
    <w:rsid w:val="7AC6F8EF"/>
    <w:rsid w:val="7AC765E3"/>
    <w:rsid w:val="7B89AAAC"/>
    <w:rsid w:val="7C02C3AE"/>
    <w:rsid w:val="7C1001CD"/>
    <w:rsid w:val="7C12584A"/>
    <w:rsid w:val="7C1F9E55"/>
    <w:rsid w:val="7C9EAFD7"/>
    <w:rsid w:val="7CD136E3"/>
    <w:rsid w:val="7CF3E6CD"/>
    <w:rsid w:val="7CF9C764"/>
    <w:rsid w:val="7D00FE9D"/>
    <w:rsid w:val="7D97DC3C"/>
    <w:rsid w:val="7E5294DF"/>
    <w:rsid w:val="7E589B73"/>
    <w:rsid w:val="7EC96127"/>
    <w:rsid w:val="7F4DEB3F"/>
    <w:rsid w:val="7FC5FC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B1C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1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09C8"/>
    <w:rPr>
      <w:color w:val="0563C1" w:themeColor="hyperlink"/>
      <w:u w:val="single"/>
    </w:rPr>
  </w:style>
  <w:style w:type="character" w:styleId="UnresolvedMention">
    <w:name w:val="Unresolved Mention"/>
    <w:basedOn w:val="DefaultParagraphFont"/>
    <w:uiPriority w:val="99"/>
    <w:semiHidden/>
    <w:unhideWhenUsed/>
    <w:rsid w:val="000D09C8"/>
    <w:rPr>
      <w:color w:val="605E5C"/>
      <w:shd w:val="clear" w:color="auto" w:fill="E1DFDD"/>
    </w:rPr>
  </w:style>
  <w:style w:type="paragraph" w:styleId="Header">
    <w:name w:val="header"/>
    <w:basedOn w:val="Normal"/>
    <w:link w:val="HeaderChar"/>
    <w:uiPriority w:val="99"/>
    <w:unhideWhenUsed/>
    <w:rsid w:val="00BB7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97"/>
  </w:style>
  <w:style w:type="paragraph" w:styleId="Footer">
    <w:name w:val="footer"/>
    <w:basedOn w:val="Normal"/>
    <w:link w:val="FooterChar"/>
    <w:uiPriority w:val="99"/>
    <w:unhideWhenUsed/>
    <w:rsid w:val="00BB7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97"/>
  </w:style>
  <w:style w:type="paragraph" w:styleId="BalloonText">
    <w:name w:val="Balloon Text"/>
    <w:basedOn w:val="Normal"/>
    <w:link w:val="BalloonTextChar"/>
    <w:uiPriority w:val="99"/>
    <w:semiHidden/>
    <w:unhideWhenUsed/>
    <w:rsid w:val="00190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C71"/>
    <w:rPr>
      <w:rFonts w:ascii="Segoe UI" w:hAnsi="Segoe UI" w:cs="Segoe UI"/>
      <w:sz w:val="18"/>
      <w:szCs w:val="18"/>
    </w:rPr>
  </w:style>
  <w:style w:type="character" w:styleId="Emphasis">
    <w:name w:val="Emphasis"/>
    <w:basedOn w:val="DefaultParagraphFont"/>
    <w:uiPriority w:val="20"/>
    <w:qFormat/>
    <w:rsid w:val="00E15DD9"/>
    <w:rPr>
      <w:i/>
      <w:iCs/>
    </w:rPr>
  </w:style>
  <w:style w:type="character" w:styleId="CommentReference">
    <w:name w:val="annotation reference"/>
    <w:basedOn w:val="DefaultParagraphFont"/>
    <w:uiPriority w:val="99"/>
    <w:semiHidden/>
    <w:unhideWhenUsed/>
    <w:rsid w:val="00A60B22"/>
    <w:rPr>
      <w:sz w:val="16"/>
      <w:szCs w:val="16"/>
    </w:rPr>
  </w:style>
  <w:style w:type="paragraph" w:styleId="CommentText">
    <w:name w:val="annotation text"/>
    <w:basedOn w:val="Normal"/>
    <w:link w:val="CommentTextChar"/>
    <w:uiPriority w:val="99"/>
    <w:unhideWhenUsed/>
    <w:rsid w:val="00A60B22"/>
    <w:pPr>
      <w:spacing w:line="240" w:lineRule="auto"/>
    </w:pPr>
    <w:rPr>
      <w:sz w:val="20"/>
      <w:szCs w:val="20"/>
    </w:rPr>
  </w:style>
  <w:style w:type="character" w:customStyle="1" w:styleId="CommentTextChar">
    <w:name w:val="Comment Text Char"/>
    <w:basedOn w:val="DefaultParagraphFont"/>
    <w:link w:val="CommentText"/>
    <w:uiPriority w:val="99"/>
    <w:rsid w:val="00A60B22"/>
    <w:rPr>
      <w:sz w:val="20"/>
      <w:szCs w:val="20"/>
    </w:rPr>
  </w:style>
  <w:style w:type="paragraph" w:styleId="CommentSubject">
    <w:name w:val="annotation subject"/>
    <w:basedOn w:val="CommentText"/>
    <w:next w:val="CommentText"/>
    <w:link w:val="CommentSubjectChar"/>
    <w:uiPriority w:val="99"/>
    <w:semiHidden/>
    <w:unhideWhenUsed/>
    <w:rsid w:val="00A60B22"/>
    <w:rPr>
      <w:b/>
      <w:bCs/>
    </w:rPr>
  </w:style>
  <w:style w:type="character" w:customStyle="1" w:styleId="CommentSubjectChar">
    <w:name w:val="Comment Subject Char"/>
    <w:basedOn w:val="CommentTextChar"/>
    <w:link w:val="CommentSubject"/>
    <w:uiPriority w:val="99"/>
    <w:semiHidden/>
    <w:rsid w:val="00A60B22"/>
    <w:rPr>
      <w:b/>
      <w:bCs/>
      <w:sz w:val="20"/>
      <w:szCs w:val="20"/>
    </w:rPr>
  </w:style>
  <w:style w:type="character" w:styleId="FollowedHyperlink">
    <w:name w:val="FollowedHyperlink"/>
    <w:basedOn w:val="DefaultParagraphFont"/>
    <w:uiPriority w:val="99"/>
    <w:semiHidden/>
    <w:unhideWhenUsed/>
    <w:rsid w:val="00745603"/>
    <w:rPr>
      <w:color w:val="954F72" w:themeColor="followedHyperlink"/>
      <w:u w:val="single"/>
    </w:rPr>
  </w:style>
  <w:style w:type="paragraph" w:styleId="ListParagraph">
    <w:name w:val="List Paragraph"/>
    <w:basedOn w:val="Normal"/>
    <w:uiPriority w:val="34"/>
    <w:qFormat/>
    <w:rsid w:val="00643343"/>
    <w:pPr>
      <w:ind w:left="720"/>
      <w:contextualSpacing/>
    </w:p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FE1DB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4321">
      <w:bodyDiv w:val="1"/>
      <w:marLeft w:val="0"/>
      <w:marRight w:val="0"/>
      <w:marTop w:val="0"/>
      <w:marBottom w:val="0"/>
      <w:divBdr>
        <w:top w:val="none" w:sz="0" w:space="0" w:color="auto"/>
        <w:left w:val="none" w:sz="0" w:space="0" w:color="auto"/>
        <w:bottom w:val="none" w:sz="0" w:space="0" w:color="auto"/>
        <w:right w:val="none" w:sz="0" w:space="0" w:color="auto"/>
      </w:divBdr>
    </w:div>
    <w:div w:id="233009125">
      <w:bodyDiv w:val="1"/>
      <w:marLeft w:val="0"/>
      <w:marRight w:val="0"/>
      <w:marTop w:val="0"/>
      <w:marBottom w:val="0"/>
      <w:divBdr>
        <w:top w:val="none" w:sz="0" w:space="0" w:color="auto"/>
        <w:left w:val="none" w:sz="0" w:space="0" w:color="auto"/>
        <w:bottom w:val="none" w:sz="0" w:space="0" w:color="auto"/>
        <w:right w:val="none" w:sz="0" w:space="0" w:color="auto"/>
      </w:divBdr>
    </w:div>
    <w:div w:id="524175419">
      <w:bodyDiv w:val="1"/>
      <w:marLeft w:val="0"/>
      <w:marRight w:val="0"/>
      <w:marTop w:val="0"/>
      <w:marBottom w:val="0"/>
      <w:divBdr>
        <w:top w:val="none" w:sz="0" w:space="0" w:color="auto"/>
        <w:left w:val="none" w:sz="0" w:space="0" w:color="auto"/>
        <w:bottom w:val="none" w:sz="0" w:space="0" w:color="auto"/>
        <w:right w:val="none" w:sz="0" w:space="0" w:color="auto"/>
      </w:divBdr>
    </w:div>
    <w:div w:id="608241508">
      <w:bodyDiv w:val="1"/>
      <w:marLeft w:val="0"/>
      <w:marRight w:val="0"/>
      <w:marTop w:val="0"/>
      <w:marBottom w:val="0"/>
      <w:divBdr>
        <w:top w:val="none" w:sz="0" w:space="0" w:color="auto"/>
        <w:left w:val="none" w:sz="0" w:space="0" w:color="auto"/>
        <w:bottom w:val="none" w:sz="0" w:space="0" w:color="auto"/>
        <w:right w:val="none" w:sz="0" w:space="0" w:color="auto"/>
      </w:divBdr>
    </w:div>
    <w:div w:id="892425704">
      <w:bodyDiv w:val="1"/>
      <w:marLeft w:val="0"/>
      <w:marRight w:val="0"/>
      <w:marTop w:val="0"/>
      <w:marBottom w:val="0"/>
      <w:divBdr>
        <w:top w:val="none" w:sz="0" w:space="0" w:color="auto"/>
        <w:left w:val="none" w:sz="0" w:space="0" w:color="auto"/>
        <w:bottom w:val="none" w:sz="0" w:space="0" w:color="auto"/>
        <w:right w:val="none" w:sz="0" w:space="0" w:color="auto"/>
      </w:divBdr>
    </w:div>
    <w:div w:id="951520041">
      <w:bodyDiv w:val="1"/>
      <w:marLeft w:val="0"/>
      <w:marRight w:val="0"/>
      <w:marTop w:val="0"/>
      <w:marBottom w:val="0"/>
      <w:divBdr>
        <w:top w:val="none" w:sz="0" w:space="0" w:color="auto"/>
        <w:left w:val="none" w:sz="0" w:space="0" w:color="auto"/>
        <w:bottom w:val="none" w:sz="0" w:space="0" w:color="auto"/>
        <w:right w:val="none" w:sz="0" w:space="0" w:color="auto"/>
      </w:divBdr>
    </w:div>
    <w:div w:id="1470243902">
      <w:bodyDiv w:val="1"/>
      <w:marLeft w:val="0"/>
      <w:marRight w:val="0"/>
      <w:marTop w:val="0"/>
      <w:marBottom w:val="0"/>
      <w:divBdr>
        <w:top w:val="none" w:sz="0" w:space="0" w:color="auto"/>
        <w:left w:val="none" w:sz="0" w:space="0" w:color="auto"/>
        <w:bottom w:val="none" w:sz="0" w:space="0" w:color="auto"/>
        <w:right w:val="none" w:sz="0" w:space="0" w:color="auto"/>
      </w:divBdr>
    </w:div>
    <w:div w:id="1525903184">
      <w:bodyDiv w:val="1"/>
      <w:marLeft w:val="0"/>
      <w:marRight w:val="0"/>
      <w:marTop w:val="0"/>
      <w:marBottom w:val="0"/>
      <w:divBdr>
        <w:top w:val="none" w:sz="0" w:space="0" w:color="auto"/>
        <w:left w:val="none" w:sz="0" w:space="0" w:color="auto"/>
        <w:bottom w:val="none" w:sz="0" w:space="0" w:color="auto"/>
        <w:right w:val="none" w:sz="0" w:space="0" w:color="auto"/>
      </w:divBdr>
    </w:div>
    <w:div w:id="1682512145">
      <w:bodyDiv w:val="1"/>
      <w:marLeft w:val="0"/>
      <w:marRight w:val="0"/>
      <w:marTop w:val="0"/>
      <w:marBottom w:val="0"/>
      <w:divBdr>
        <w:top w:val="none" w:sz="0" w:space="0" w:color="auto"/>
        <w:left w:val="none" w:sz="0" w:space="0" w:color="auto"/>
        <w:bottom w:val="none" w:sz="0" w:space="0" w:color="auto"/>
        <w:right w:val="none" w:sz="0" w:space="0" w:color="auto"/>
      </w:divBdr>
    </w:div>
    <w:div w:id="1751388551">
      <w:bodyDiv w:val="1"/>
      <w:marLeft w:val="0"/>
      <w:marRight w:val="0"/>
      <w:marTop w:val="0"/>
      <w:marBottom w:val="0"/>
      <w:divBdr>
        <w:top w:val="none" w:sz="0" w:space="0" w:color="auto"/>
        <w:left w:val="none" w:sz="0" w:space="0" w:color="auto"/>
        <w:bottom w:val="none" w:sz="0" w:space="0" w:color="auto"/>
        <w:right w:val="none" w:sz="0" w:space="0" w:color="auto"/>
      </w:divBdr>
    </w:div>
    <w:div w:id="1977372220">
      <w:bodyDiv w:val="1"/>
      <w:marLeft w:val="0"/>
      <w:marRight w:val="0"/>
      <w:marTop w:val="0"/>
      <w:marBottom w:val="0"/>
      <w:divBdr>
        <w:top w:val="none" w:sz="0" w:space="0" w:color="auto"/>
        <w:left w:val="none" w:sz="0" w:space="0" w:color="auto"/>
        <w:bottom w:val="none" w:sz="0" w:space="0" w:color="auto"/>
        <w:right w:val="none" w:sz="0" w:space="0" w:color="auto"/>
      </w:divBdr>
    </w:div>
    <w:div w:id="2037654915">
      <w:bodyDiv w:val="1"/>
      <w:marLeft w:val="0"/>
      <w:marRight w:val="0"/>
      <w:marTop w:val="0"/>
      <w:marBottom w:val="0"/>
      <w:divBdr>
        <w:top w:val="none" w:sz="0" w:space="0" w:color="auto"/>
        <w:left w:val="none" w:sz="0" w:space="0" w:color="auto"/>
        <w:bottom w:val="none" w:sz="0" w:space="0" w:color="auto"/>
        <w:right w:val="none" w:sz="0" w:space="0" w:color="auto"/>
      </w:divBdr>
    </w:div>
    <w:div w:id="21170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arratings@health.gov.au" TargetMode="External"/><Relationship Id="rId18" Type="http://schemas.openxmlformats.org/officeDocument/2006/relationships/hyperlink" Target="mailto:starratings@health.gov.au" TargetMode="External"/><Relationship Id="rId26" Type="http://schemas.openxmlformats.org/officeDocument/2006/relationships/hyperlink" Target="http://methodology" TargetMode="External"/><Relationship Id="rId39" Type="http://schemas.openxmlformats.org/officeDocument/2006/relationships/hyperlink" Target="https://www.agedcarequality.gov.au/reforms" TargetMode="External"/><Relationship Id="rId21" Type="http://schemas.openxmlformats.org/officeDocument/2006/relationships/hyperlink" Target="mailto:starratings@health.gov.au" TargetMode="External"/><Relationship Id="rId34" Type="http://schemas.openxmlformats.org/officeDocument/2006/relationships/hyperlink" Target="https://www.agedcarequality.gov.au/resources/serious-incident-response-scheme-guidelines-providers-home-services" TargetMode="External"/><Relationship Id="rId42" Type="http://schemas.openxmlformats.org/officeDocument/2006/relationships/hyperlink" Target="https://www.agedcarequality.gov.au/online-learning" TargetMode="External"/><Relationship Id="rId47" Type="http://schemas.openxmlformats.org/officeDocument/2006/relationships/hyperlink" Target="https://www.agedcarequality.gov.au/resources/workforce-governance-and-management-fact-sheet-providers"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yagedcare.gov.au/" TargetMode="External"/><Relationship Id="rId29" Type="http://schemas.openxmlformats.org/officeDocument/2006/relationships/hyperlink" Target="https://www.agedcarequality.gov.au/minimising-restrictive-practices" TargetMode="External"/><Relationship Id="rId11" Type="http://schemas.openxmlformats.org/officeDocument/2006/relationships/hyperlink" Target="mailto:info@agedcarequality.gov.au" TargetMode="External"/><Relationship Id="rId24" Type="http://schemas.openxmlformats.org/officeDocument/2006/relationships/hyperlink" Target="https://www.agedcarequality.gov.au/reforms" TargetMode="External"/><Relationship Id="rId32" Type="http://schemas.openxmlformats.org/officeDocument/2006/relationships/hyperlink" Target="https://www.agedcarequality.gov.au/making-complaint" TargetMode="External"/><Relationship Id="rId37" Type="http://schemas.openxmlformats.org/officeDocument/2006/relationships/hyperlink" Target="https://www.agedcarequality.gov.au/resources/sirs-insight-report-march-2023" TargetMode="External"/><Relationship Id="rId40" Type="http://schemas.openxmlformats.org/officeDocument/2006/relationships/hyperlink" Target="https://www.agedcarequality.gov.au/providers/code-conduct-aged-care-information-workers" TargetMode="External"/><Relationship Id="rId45" Type="http://schemas.openxmlformats.org/officeDocument/2006/relationships/hyperlink" Target="https://www.agedcarequality.gov.au/providers/home-services" TargetMode="External"/><Relationship Id="rId5" Type="http://schemas.openxmlformats.org/officeDocument/2006/relationships/webSettings" Target="webSettings.xml"/><Relationship Id="rId15" Type="http://schemas.openxmlformats.org/officeDocument/2006/relationships/hyperlink" Target="mailto:starratings@health.gov.au" TargetMode="External"/><Relationship Id="rId23" Type="http://schemas.openxmlformats.org/officeDocument/2006/relationships/hyperlink" Target="https://www.agedcarequality.gov.au/providers/strengthening-provider-governance" TargetMode="External"/><Relationship Id="rId28" Type="http://schemas.openxmlformats.org/officeDocument/2006/relationships/hyperlink" Target="https://www.agedcarequality.gov.au/resources/sirs-home-services-reportable-incidents-inappropriate-use-restrictive-practices" TargetMode="External"/><Relationship Id="rId36" Type="http://schemas.openxmlformats.org/officeDocument/2006/relationships/hyperlink" Target="https://www.agedcarequality.gov.au/sector-performance" TargetMode="External"/><Relationship Id="rId49" Type="http://schemas.openxmlformats.org/officeDocument/2006/relationships/fontTable" Target="fontTable.xml"/><Relationship Id="rId10" Type="http://schemas.openxmlformats.org/officeDocument/2006/relationships/hyperlink" Target="https://www.myagedcare.gov.au/" TargetMode="External"/><Relationship Id="rId19" Type="http://schemas.openxmlformats.org/officeDocument/2006/relationships/hyperlink" Target="https://www.myagedcare.gov.au/" TargetMode="External"/><Relationship Id="rId31" Type="http://schemas.openxmlformats.org/officeDocument/2006/relationships/hyperlink" Target="https://www.agedcarequality.gov.au/sirs/provider-resources" TargetMode="External"/><Relationship Id="rId44" Type="http://schemas.openxmlformats.org/officeDocument/2006/relationships/hyperlink" Target="https://www.agedcarequality.gov.au/resources/rb-2022-16-changes-administration-and-management-charges-home-care-packages-program" TargetMode="External"/><Relationship Id="rId4" Type="http://schemas.openxmlformats.org/officeDocument/2006/relationships/settings" Target="settings.xml"/><Relationship Id="rId9" Type="http://schemas.openxmlformats.org/officeDocument/2006/relationships/hyperlink" Target="https://www.agedcarequality.gov.au/providers/star-ratings-residential-services" TargetMode="External"/><Relationship Id="rId14" Type="http://schemas.openxmlformats.org/officeDocument/2006/relationships/hyperlink" Target="mailto:starratings@health.gov.au" TargetMode="External"/><Relationship Id="rId22" Type="http://schemas.openxmlformats.org/officeDocument/2006/relationships/hyperlink" Target="mailto:info@agedcarequality.gov.au" TargetMode="External"/><Relationship Id="rId27" Type="http://schemas.openxmlformats.org/officeDocument/2006/relationships/hyperlink" Target="https://www.agedcarequality.gov.au/resources/regulatory-bulletin-2020-1.0" TargetMode="External"/><Relationship Id="rId30" Type="http://schemas.openxmlformats.org/officeDocument/2006/relationships/hyperlink" Target="https://www.health.gov.au/topics/aged-care/providing-aged-care-services/working-in-aged-care/restrictive-practices-in-aged-care-a-last-resort" TargetMode="External"/><Relationship Id="rId35" Type="http://schemas.openxmlformats.org/officeDocument/2006/relationships/hyperlink" Target="https://opan.org.au/" TargetMode="External"/><Relationship Id="rId43" Type="http://schemas.openxmlformats.org/officeDocument/2006/relationships/hyperlink" Target="https://www.agedcarequality.gov.au/resources/code-conduct-aged-care-worker-quick-guide" TargetMode="External"/><Relationship Id="rId48" Type="http://schemas.openxmlformats.org/officeDocument/2006/relationships/footer" Target="footer1.xml"/><Relationship Id="rId8" Type="http://schemas.openxmlformats.org/officeDocument/2006/relationships/hyperlink" Target="https://www.agedcarequality.gov.au/providers/star-ratings-residential-services" TargetMode="External"/><Relationship Id="rId3" Type="http://schemas.openxmlformats.org/officeDocument/2006/relationships/styles" Target="styles.xml"/><Relationship Id="rId12" Type="http://schemas.openxmlformats.org/officeDocument/2006/relationships/hyperlink" Target="https://www.agedcarequality.gov.au/providers/star-ratings-residential-services" TargetMode="External"/><Relationship Id="rId17" Type="http://schemas.openxmlformats.org/officeDocument/2006/relationships/hyperlink" Target="mailto:starratings@health.gov.au" TargetMode="External"/><Relationship Id="rId25" Type="http://schemas.openxmlformats.org/officeDocument/2006/relationships/hyperlink" Target="https://www.agedcarequality.gov.au/resources/regulatory-bulletin-2019-5" TargetMode="External"/><Relationship Id="rId33" Type="http://schemas.openxmlformats.org/officeDocument/2006/relationships/hyperlink" Target="https://www.agedcarequality.gov.au/sirs/provider-resources" TargetMode="External"/><Relationship Id="rId38" Type="http://schemas.openxmlformats.org/officeDocument/2006/relationships/hyperlink" Target="https://www.agedcarequality.gov.au/resources/regulatory-strategy" TargetMode="External"/><Relationship Id="rId46" Type="http://schemas.openxmlformats.org/officeDocument/2006/relationships/hyperlink" Target="https://www.agedcarequality.gov.au/providers" TargetMode="External"/><Relationship Id="rId20" Type="http://schemas.openxmlformats.org/officeDocument/2006/relationships/hyperlink" Target="https://www.agedcarequality.gov.au/providers/star-ratings-residential-services" TargetMode="External"/><Relationship Id="rId41" Type="http://schemas.openxmlformats.org/officeDocument/2006/relationships/hyperlink" Target="https://www.agedcarequality.gov.au/providers/code-conduct-aged-care-information-provider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A0CB5-F44A-4B8C-AB84-8EC11A45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4353</Words>
  <Characters>24814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2025-09-15T07:03:00Z</dcterms:created>
  <dcterms:modified xsi:type="dcterms:W3CDTF">2025-09-15T07:03:00Z</dcterms:modified>
</cp:coreProperties>
</file>