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A42EB" w14:textId="14C510AA" w:rsidR="00FC0D35" w:rsidRDefault="00FC0D35" w:rsidP="00FC0D35">
      <w:pPr>
        <w:pStyle w:val="Title"/>
        <w:spacing w:before="400"/>
        <w:rPr>
          <w:szCs w:val="72"/>
        </w:rPr>
      </w:pPr>
      <w:r>
        <w:rPr>
          <w:noProof/>
          <w:color w:val="2B579A"/>
          <w:shd w:val="clear" w:color="auto" w:fill="E6E6E6"/>
          <w:lang w:eastAsia="en-AU"/>
        </w:rPr>
        <w:drawing>
          <wp:anchor distT="0" distB="0" distL="114300" distR="114300" simplePos="0" relativeHeight="251658240" behindDoc="1" locked="0" layoutInCell="1" allowOverlap="1" wp14:anchorId="13068B25" wp14:editId="0F4542E6">
            <wp:simplePos x="0" y="0"/>
            <wp:positionH relativeFrom="page">
              <wp:posOffset>-1</wp:posOffset>
            </wp:positionH>
            <wp:positionV relativeFrom="paragraph">
              <wp:posOffset>-1080135</wp:posOffset>
            </wp:positionV>
            <wp:extent cx="7566463" cy="21526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85646" cy="2158108"/>
                    </a:xfrm>
                    <a:prstGeom prst="rect">
                      <a:avLst/>
                    </a:prstGeom>
                    <a:noFill/>
                  </pic:spPr>
                </pic:pic>
              </a:graphicData>
            </a:graphic>
            <wp14:sizeRelH relativeFrom="page">
              <wp14:pctWidth>0</wp14:pctWidth>
            </wp14:sizeRelH>
            <wp14:sizeRelV relativeFrom="page">
              <wp14:pctHeight>0</wp14:pctHeight>
            </wp14:sizeRelV>
          </wp:anchor>
        </w:drawing>
      </w:r>
      <w:r>
        <w:rPr>
          <w:szCs w:val="72"/>
        </w:rPr>
        <w:t>Regulatory Bulletin</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4"/>
        <w:gridCol w:w="7074"/>
      </w:tblGrid>
      <w:tr w:rsidR="00FC0D35" w14:paraId="47CF0A18" w14:textId="77777777" w:rsidTr="60AD52AA">
        <w:tc>
          <w:tcPr>
            <w:tcW w:w="1330" w:type="pct"/>
            <w:tcBorders>
              <w:top w:val="single" w:sz="12" w:space="0" w:color="auto"/>
              <w:left w:val="nil"/>
              <w:bottom w:val="single" w:sz="12" w:space="0" w:color="auto"/>
              <w:right w:val="nil"/>
            </w:tcBorders>
            <w:hideMark/>
          </w:tcPr>
          <w:p w14:paraId="3C762549" w14:textId="77777777" w:rsidR="00FC0D35" w:rsidRDefault="00FC0D35">
            <w:pPr>
              <w:spacing w:before="120"/>
              <w:rPr>
                <w:b/>
                <w:sz w:val="28"/>
              </w:rPr>
            </w:pPr>
            <w:r>
              <w:rPr>
                <w:b/>
                <w:sz w:val="28"/>
              </w:rPr>
              <w:t>TITLE</w:t>
            </w:r>
          </w:p>
        </w:tc>
        <w:tc>
          <w:tcPr>
            <w:tcW w:w="3670" w:type="pct"/>
            <w:tcBorders>
              <w:top w:val="single" w:sz="12" w:space="0" w:color="auto"/>
              <w:left w:val="nil"/>
              <w:bottom w:val="single" w:sz="12" w:space="0" w:color="auto"/>
              <w:right w:val="nil"/>
            </w:tcBorders>
            <w:hideMark/>
          </w:tcPr>
          <w:p w14:paraId="1B813B5C" w14:textId="77777777" w:rsidR="00FC0D35" w:rsidRDefault="00FC0D35">
            <w:pPr>
              <w:spacing w:before="120"/>
              <w:rPr>
                <w:b/>
                <w:sz w:val="28"/>
              </w:rPr>
            </w:pPr>
            <w:r>
              <w:rPr>
                <w:b/>
                <w:sz w:val="28"/>
              </w:rPr>
              <w:t>Publication of provider performance information</w:t>
            </w:r>
          </w:p>
        </w:tc>
      </w:tr>
      <w:tr w:rsidR="00FC0D35" w14:paraId="4D37C8CF" w14:textId="77777777" w:rsidTr="60AD52AA">
        <w:tc>
          <w:tcPr>
            <w:tcW w:w="1330" w:type="pct"/>
            <w:tcBorders>
              <w:top w:val="single" w:sz="12" w:space="0" w:color="auto"/>
              <w:left w:val="nil"/>
              <w:bottom w:val="single" w:sz="2" w:space="0" w:color="auto"/>
              <w:right w:val="nil"/>
            </w:tcBorders>
            <w:hideMark/>
          </w:tcPr>
          <w:p w14:paraId="6CC3141B" w14:textId="77777777" w:rsidR="00FC0D35" w:rsidRPr="000562A2" w:rsidRDefault="00FC0D35">
            <w:pPr>
              <w:spacing w:before="120"/>
              <w:rPr>
                <w:sz w:val="22"/>
              </w:rPr>
            </w:pPr>
            <w:r w:rsidRPr="000562A2">
              <w:rPr>
                <w:sz w:val="22"/>
              </w:rPr>
              <w:t>Bulletin number</w:t>
            </w:r>
          </w:p>
        </w:tc>
        <w:tc>
          <w:tcPr>
            <w:tcW w:w="3670" w:type="pct"/>
            <w:tcBorders>
              <w:top w:val="single" w:sz="12" w:space="0" w:color="auto"/>
              <w:left w:val="nil"/>
              <w:bottom w:val="single" w:sz="2" w:space="0" w:color="auto"/>
              <w:right w:val="nil"/>
            </w:tcBorders>
            <w:hideMark/>
          </w:tcPr>
          <w:p w14:paraId="12E74466" w14:textId="0ED8EBBF" w:rsidR="00FC0D35" w:rsidRPr="000562A2" w:rsidRDefault="00FC0D35">
            <w:pPr>
              <w:spacing w:before="120"/>
              <w:rPr>
                <w:sz w:val="22"/>
              </w:rPr>
            </w:pPr>
            <w:r w:rsidRPr="000562A2">
              <w:rPr>
                <w:sz w:val="22"/>
              </w:rPr>
              <w:t>RB 202</w:t>
            </w:r>
            <w:r w:rsidR="00E44331">
              <w:rPr>
                <w:sz w:val="22"/>
              </w:rPr>
              <w:t>3</w:t>
            </w:r>
            <w:r w:rsidRPr="000562A2">
              <w:rPr>
                <w:sz w:val="22"/>
              </w:rPr>
              <w:t>-1</w:t>
            </w:r>
            <w:r w:rsidR="00E44331">
              <w:rPr>
                <w:sz w:val="22"/>
              </w:rPr>
              <w:t>8</w:t>
            </w:r>
          </w:p>
        </w:tc>
      </w:tr>
      <w:tr w:rsidR="00FC0D35" w14:paraId="66DB7007" w14:textId="77777777" w:rsidTr="60AD52AA">
        <w:tc>
          <w:tcPr>
            <w:tcW w:w="1330" w:type="pct"/>
            <w:tcBorders>
              <w:top w:val="single" w:sz="2" w:space="0" w:color="auto"/>
              <w:left w:val="nil"/>
              <w:bottom w:val="single" w:sz="2" w:space="0" w:color="auto"/>
              <w:right w:val="nil"/>
            </w:tcBorders>
            <w:hideMark/>
          </w:tcPr>
          <w:p w14:paraId="701F792D" w14:textId="77777777" w:rsidR="00FC0D35" w:rsidRPr="000562A2" w:rsidRDefault="00FC0D35">
            <w:pPr>
              <w:spacing w:before="120"/>
              <w:rPr>
                <w:sz w:val="22"/>
              </w:rPr>
            </w:pPr>
            <w:r w:rsidRPr="000562A2">
              <w:rPr>
                <w:sz w:val="22"/>
              </w:rPr>
              <w:t>Version number</w:t>
            </w:r>
          </w:p>
        </w:tc>
        <w:tc>
          <w:tcPr>
            <w:tcW w:w="3670" w:type="pct"/>
            <w:tcBorders>
              <w:top w:val="single" w:sz="2" w:space="0" w:color="auto"/>
              <w:left w:val="nil"/>
              <w:bottom w:val="single" w:sz="2" w:space="0" w:color="auto"/>
              <w:right w:val="nil"/>
            </w:tcBorders>
            <w:hideMark/>
          </w:tcPr>
          <w:p w14:paraId="0278943C" w14:textId="75F7ED2E" w:rsidR="00FC0D35" w:rsidRPr="000562A2" w:rsidRDefault="00FC0D35">
            <w:pPr>
              <w:spacing w:before="120"/>
              <w:rPr>
                <w:sz w:val="22"/>
              </w:rPr>
            </w:pPr>
            <w:r w:rsidRPr="000562A2">
              <w:rPr>
                <w:sz w:val="22"/>
              </w:rPr>
              <w:t>1.</w:t>
            </w:r>
            <w:r w:rsidR="00462157" w:rsidRPr="000562A2">
              <w:rPr>
                <w:sz w:val="22"/>
              </w:rPr>
              <w:t>2</w:t>
            </w:r>
          </w:p>
        </w:tc>
      </w:tr>
      <w:tr w:rsidR="00FC0D35" w14:paraId="595BC012" w14:textId="77777777" w:rsidTr="60AD52AA">
        <w:tc>
          <w:tcPr>
            <w:tcW w:w="1330" w:type="pct"/>
            <w:tcBorders>
              <w:top w:val="single" w:sz="2" w:space="0" w:color="auto"/>
              <w:left w:val="nil"/>
              <w:bottom w:val="single" w:sz="2" w:space="0" w:color="auto"/>
              <w:right w:val="nil"/>
            </w:tcBorders>
            <w:hideMark/>
          </w:tcPr>
          <w:p w14:paraId="0B659929" w14:textId="77777777" w:rsidR="00FC0D35" w:rsidRPr="000562A2" w:rsidRDefault="00FC0D35">
            <w:pPr>
              <w:spacing w:before="120"/>
              <w:rPr>
                <w:sz w:val="22"/>
              </w:rPr>
            </w:pPr>
            <w:r w:rsidRPr="000562A2">
              <w:rPr>
                <w:sz w:val="22"/>
              </w:rPr>
              <w:t>Document number</w:t>
            </w:r>
          </w:p>
        </w:tc>
        <w:tc>
          <w:tcPr>
            <w:tcW w:w="3670" w:type="pct"/>
            <w:tcBorders>
              <w:top w:val="single" w:sz="2" w:space="0" w:color="auto"/>
              <w:left w:val="nil"/>
              <w:bottom w:val="single" w:sz="2" w:space="0" w:color="auto"/>
              <w:right w:val="nil"/>
            </w:tcBorders>
            <w:hideMark/>
          </w:tcPr>
          <w:p w14:paraId="53B1717E" w14:textId="77777777" w:rsidR="00FC0D35" w:rsidRPr="000562A2" w:rsidRDefault="00FC0D35">
            <w:pPr>
              <w:spacing w:before="120"/>
              <w:rPr>
                <w:sz w:val="22"/>
              </w:rPr>
            </w:pPr>
            <w:r w:rsidRPr="000562A2">
              <w:rPr>
                <w:sz w:val="22"/>
              </w:rPr>
              <w:t>FRM-ACC-0623</w:t>
            </w:r>
          </w:p>
        </w:tc>
      </w:tr>
      <w:tr w:rsidR="00FC0D35" w14:paraId="071E178E" w14:textId="77777777" w:rsidTr="00E44331">
        <w:tc>
          <w:tcPr>
            <w:tcW w:w="1330" w:type="pct"/>
            <w:tcBorders>
              <w:top w:val="single" w:sz="2" w:space="0" w:color="auto"/>
              <w:left w:val="nil"/>
              <w:bottom w:val="single" w:sz="2" w:space="0" w:color="auto"/>
              <w:right w:val="nil"/>
            </w:tcBorders>
            <w:hideMark/>
          </w:tcPr>
          <w:p w14:paraId="2FE44F74" w14:textId="77777777" w:rsidR="00FC0D35" w:rsidRPr="000562A2" w:rsidRDefault="00FC0D35">
            <w:pPr>
              <w:spacing w:before="120"/>
              <w:rPr>
                <w:sz w:val="22"/>
              </w:rPr>
            </w:pPr>
            <w:r w:rsidRPr="000562A2">
              <w:rPr>
                <w:sz w:val="22"/>
              </w:rPr>
              <w:t>Publication date</w:t>
            </w:r>
          </w:p>
        </w:tc>
        <w:tc>
          <w:tcPr>
            <w:tcW w:w="3670" w:type="pct"/>
            <w:tcBorders>
              <w:top w:val="single" w:sz="2" w:space="0" w:color="auto"/>
              <w:left w:val="nil"/>
              <w:bottom w:val="single" w:sz="2" w:space="0" w:color="auto"/>
              <w:right w:val="nil"/>
            </w:tcBorders>
            <w:hideMark/>
          </w:tcPr>
          <w:p w14:paraId="64C8D19B" w14:textId="4F5C7BBC" w:rsidR="00FC0D35" w:rsidRPr="000562A2" w:rsidRDefault="00E44331">
            <w:pPr>
              <w:spacing w:before="120"/>
              <w:rPr>
                <w:sz w:val="22"/>
              </w:rPr>
            </w:pPr>
            <w:r w:rsidRPr="00E44331">
              <w:rPr>
                <w:sz w:val="22"/>
              </w:rPr>
              <w:t>19</w:t>
            </w:r>
            <w:r w:rsidR="00462157" w:rsidRPr="00E44331">
              <w:rPr>
                <w:sz w:val="22"/>
              </w:rPr>
              <w:t xml:space="preserve"> </w:t>
            </w:r>
            <w:r w:rsidR="00E45DBF" w:rsidRPr="00E44331">
              <w:rPr>
                <w:sz w:val="22"/>
              </w:rPr>
              <w:t xml:space="preserve">January </w:t>
            </w:r>
            <w:r w:rsidR="00462157" w:rsidRPr="00E44331">
              <w:rPr>
                <w:sz w:val="22"/>
              </w:rPr>
              <w:t>202</w:t>
            </w:r>
            <w:r w:rsidR="00E45DBF" w:rsidRPr="00E44331">
              <w:rPr>
                <w:sz w:val="22"/>
              </w:rPr>
              <w:t>3</w:t>
            </w:r>
          </w:p>
        </w:tc>
      </w:tr>
      <w:tr w:rsidR="00FC0D35" w14:paraId="7F1C9DF7" w14:textId="77777777" w:rsidTr="60AD52AA">
        <w:tc>
          <w:tcPr>
            <w:tcW w:w="1330" w:type="pct"/>
            <w:tcBorders>
              <w:top w:val="single" w:sz="2" w:space="0" w:color="auto"/>
              <w:left w:val="nil"/>
              <w:bottom w:val="single" w:sz="4" w:space="0" w:color="auto"/>
              <w:right w:val="nil"/>
            </w:tcBorders>
            <w:hideMark/>
          </w:tcPr>
          <w:p w14:paraId="287A59CF" w14:textId="77777777" w:rsidR="00FC0D35" w:rsidRPr="000562A2" w:rsidRDefault="00FC0D35">
            <w:pPr>
              <w:spacing w:before="120"/>
              <w:rPr>
                <w:sz w:val="22"/>
              </w:rPr>
            </w:pPr>
            <w:r w:rsidRPr="000562A2">
              <w:rPr>
                <w:sz w:val="22"/>
              </w:rPr>
              <w:t>Replaces</w:t>
            </w:r>
          </w:p>
        </w:tc>
        <w:tc>
          <w:tcPr>
            <w:tcW w:w="3670" w:type="pct"/>
            <w:tcBorders>
              <w:top w:val="single" w:sz="2" w:space="0" w:color="auto"/>
              <w:left w:val="nil"/>
              <w:bottom w:val="single" w:sz="4" w:space="0" w:color="auto"/>
              <w:right w:val="nil"/>
            </w:tcBorders>
            <w:hideMark/>
          </w:tcPr>
          <w:p w14:paraId="78D42F04" w14:textId="58FA2713" w:rsidR="00FC0D35" w:rsidRPr="000562A2" w:rsidRDefault="004C7F47">
            <w:pPr>
              <w:spacing w:before="120"/>
              <w:rPr>
                <w:sz w:val="22"/>
              </w:rPr>
            </w:pPr>
            <w:r w:rsidRPr="000562A2">
              <w:rPr>
                <w:sz w:val="22"/>
              </w:rPr>
              <w:t>2020-11 v1.</w:t>
            </w:r>
            <w:r w:rsidR="00462157" w:rsidRPr="000562A2">
              <w:rPr>
                <w:sz w:val="22"/>
              </w:rPr>
              <w:t>1</w:t>
            </w:r>
            <w:r w:rsidRPr="000562A2">
              <w:rPr>
                <w:sz w:val="22"/>
              </w:rPr>
              <w:t xml:space="preserve"> published on </w:t>
            </w:r>
            <w:r w:rsidR="00462157" w:rsidRPr="000562A2">
              <w:rPr>
                <w:sz w:val="22"/>
              </w:rPr>
              <w:t>18 September 2020</w:t>
            </w:r>
          </w:p>
        </w:tc>
      </w:tr>
      <w:tr w:rsidR="00FC0D35" w14:paraId="77A2B1C5" w14:textId="77777777" w:rsidTr="60AD52AA">
        <w:tc>
          <w:tcPr>
            <w:tcW w:w="1330" w:type="pct"/>
            <w:tcBorders>
              <w:top w:val="single" w:sz="4" w:space="0" w:color="auto"/>
              <w:left w:val="nil"/>
              <w:bottom w:val="single" w:sz="4" w:space="0" w:color="auto"/>
              <w:right w:val="nil"/>
            </w:tcBorders>
            <w:hideMark/>
          </w:tcPr>
          <w:p w14:paraId="07E51421" w14:textId="77777777" w:rsidR="00FC0D35" w:rsidRPr="000562A2" w:rsidRDefault="00FC0D35">
            <w:pPr>
              <w:spacing w:before="120"/>
              <w:rPr>
                <w:sz w:val="22"/>
              </w:rPr>
            </w:pPr>
            <w:r w:rsidRPr="000562A2">
              <w:rPr>
                <w:sz w:val="22"/>
              </w:rPr>
              <w:t>Information in this bulletin applies to</w:t>
            </w:r>
          </w:p>
        </w:tc>
        <w:tc>
          <w:tcPr>
            <w:tcW w:w="3670" w:type="pct"/>
            <w:tcBorders>
              <w:top w:val="single" w:sz="4" w:space="0" w:color="auto"/>
              <w:left w:val="nil"/>
              <w:bottom w:val="single" w:sz="4" w:space="0" w:color="auto"/>
              <w:right w:val="nil"/>
            </w:tcBorders>
            <w:hideMark/>
          </w:tcPr>
          <w:p w14:paraId="3ECDCEA6" w14:textId="77777777" w:rsidR="00534F89" w:rsidRPr="000562A2" w:rsidRDefault="00FC0D35" w:rsidP="00FC0D35">
            <w:pPr>
              <w:pStyle w:val="ListParagraph"/>
              <w:numPr>
                <w:ilvl w:val="0"/>
                <w:numId w:val="31"/>
              </w:numPr>
              <w:spacing w:before="120" w:line="276" w:lineRule="auto"/>
              <w:rPr>
                <w:sz w:val="22"/>
              </w:rPr>
            </w:pPr>
            <w:r w:rsidRPr="000562A2">
              <w:rPr>
                <w:sz w:val="22"/>
              </w:rPr>
              <w:t xml:space="preserve">All residential aged care services </w:t>
            </w:r>
          </w:p>
          <w:p w14:paraId="7A41F227" w14:textId="0FB9E28A" w:rsidR="00FC0D35" w:rsidRPr="000562A2" w:rsidRDefault="00534F89" w:rsidP="00FC0D35">
            <w:pPr>
              <w:pStyle w:val="ListParagraph"/>
              <w:numPr>
                <w:ilvl w:val="0"/>
                <w:numId w:val="31"/>
              </w:numPr>
              <w:spacing w:before="120" w:line="276" w:lineRule="auto"/>
              <w:rPr>
                <w:sz w:val="22"/>
              </w:rPr>
            </w:pPr>
            <w:r w:rsidRPr="000562A2">
              <w:rPr>
                <w:sz w:val="22"/>
              </w:rPr>
              <w:t>F</w:t>
            </w:r>
            <w:r w:rsidR="00FC0D35" w:rsidRPr="000562A2">
              <w:rPr>
                <w:sz w:val="22"/>
              </w:rPr>
              <w:t>lexible care services through which short-term restorative care is provided in a residential care setting</w:t>
            </w:r>
          </w:p>
          <w:p w14:paraId="00D42004" w14:textId="69348B6B" w:rsidR="00534F89" w:rsidRPr="000562A2" w:rsidRDefault="00FC0D35" w:rsidP="00FC0D35">
            <w:pPr>
              <w:pStyle w:val="ListParagraph"/>
              <w:numPr>
                <w:ilvl w:val="0"/>
                <w:numId w:val="31"/>
              </w:numPr>
              <w:spacing w:before="120" w:line="276" w:lineRule="auto"/>
              <w:rPr>
                <w:sz w:val="22"/>
              </w:rPr>
            </w:pPr>
            <w:r w:rsidRPr="000562A2">
              <w:rPr>
                <w:sz w:val="22"/>
              </w:rPr>
              <w:t xml:space="preserve">All home care services </w:t>
            </w:r>
          </w:p>
          <w:p w14:paraId="4EF3BCE6" w14:textId="457A5322" w:rsidR="00FC0D35" w:rsidRPr="000562A2" w:rsidRDefault="00FC0D35" w:rsidP="00FC0D35">
            <w:pPr>
              <w:pStyle w:val="ListParagraph"/>
              <w:numPr>
                <w:ilvl w:val="0"/>
                <w:numId w:val="31"/>
              </w:numPr>
              <w:spacing w:before="120" w:line="276" w:lineRule="auto"/>
              <w:rPr>
                <w:sz w:val="22"/>
              </w:rPr>
            </w:pPr>
            <w:r w:rsidRPr="000562A2">
              <w:rPr>
                <w:sz w:val="22"/>
              </w:rPr>
              <w:t>Commonwealth Home Support Programme (CHSP) services and flexible care services through which short-term restorative care is provided in a home care setting.</w:t>
            </w:r>
          </w:p>
        </w:tc>
      </w:tr>
      <w:tr w:rsidR="00FC0D35" w14:paraId="2EAB2D78" w14:textId="77777777" w:rsidTr="60AD52AA">
        <w:tc>
          <w:tcPr>
            <w:tcW w:w="1330" w:type="pct"/>
            <w:tcBorders>
              <w:top w:val="single" w:sz="4" w:space="0" w:color="auto"/>
              <w:left w:val="nil"/>
              <w:bottom w:val="single" w:sz="4" w:space="0" w:color="auto"/>
              <w:right w:val="nil"/>
            </w:tcBorders>
            <w:hideMark/>
          </w:tcPr>
          <w:p w14:paraId="378ADA30" w14:textId="77777777" w:rsidR="00FC0D35" w:rsidRPr="000562A2" w:rsidRDefault="00FC0D35">
            <w:pPr>
              <w:spacing w:before="120"/>
              <w:rPr>
                <w:sz w:val="22"/>
              </w:rPr>
            </w:pPr>
            <w:r w:rsidRPr="000562A2">
              <w:rPr>
                <w:sz w:val="22"/>
              </w:rPr>
              <w:t>Attachment</w:t>
            </w:r>
          </w:p>
        </w:tc>
        <w:tc>
          <w:tcPr>
            <w:tcW w:w="3670" w:type="pct"/>
            <w:tcBorders>
              <w:top w:val="single" w:sz="4" w:space="0" w:color="auto"/>
              <w:left w:val="nil"/>
              <w:bottom w:val="single" w:sz="4" w:space="0" w:color="auto"/>
              <w:right w:val="nil"/>
            </w:tcBorders>
            <w:hideMark/>
          </w:tcPr>
          <w:p w14:paraId="64E13495" w14:textId="77777777" w:rsidR="00FC0D35" w:rsidRPr="000562A2" w:rsidRDefault="00FC0D35">
            <w:pPr>
              <w:spacing w:before="120"/>
              <w:rPr>
                <w:sz w:val="22"/>
              </w:rPr>
            </w:pPr>
            <w:r w:rsidRPr="000562A2">
              <w:rPr>
                <w:sz w:val="22"/>
              </w:rPr>
              <w:t>N/A</w:t>
            </w:r>
          </w:p>
        </w:tc>
      </w:tr>
      <w:tr w:rsidR="00FC0D35" w14:paraId="21B8C227" w14:textId="77777777" w:rsidTr="60AD52AA">
        <w:tc>
          <w:tcPr>
            <w:tcW w:w="1330" w:type="pct"/>
            <w:tcBorders>
              <w:top w:val="single" w:sz="2" w:space="0" w:color="auto"/>
              <w:left w:val="nil"/>
              <w:bottom w:val="single" w:sz="2" w:space="0" w:color="auto"/>
              <w:right w:val="nil"/>
            </w:tcBorders>
            <w:hideMark/>
          </w:tcPr>
          <w:p w14:paraId="77FC194D" w14:textId="5CC810E6" w:rsidR="00FC0D35" w:rsidRPr="000562A2" w:rsidRDefault="00FC0D35">
            <w:pPr>
              <w:spacing w:before="120"/>
              <w:rPr>
                <w:sz w:val="22"/>
              </w:rPr>
            </w:pPr>
            <w:r w:rsidRPr="000562A2">
              <w:rPr>
                <w:sz w:val="22"/>
              </w:rPr>
              <w:t>Notes</w:t>
            </w:r>
          </w:p>
        </w:tc>
        <w:tc>
          <w:tcPr>
            <w:tcW w:w="3670" w:type="pct"/>
            <w:tcBorders>
              <w:top w:val="single" w:sz="2" w:space="0" w:color="auto"/>
              <w:left w:val="nil"/>
              <w:bottom w:val="single" w:sz="2" w:space="0" w:color="auto"/>
              <w:right w:val="nil"/>
            </w:tcBorders>
          </w:tcPr>
          <w:p w14:paraId="5ACA8CE2" w14:textId="1806DFB0" w:rsidR="00F51656" w:rsidRPr="007B6356" w:rsidRDefault="007F2B56" w:rsidP="00F51656">
            <w:pPr>
              <w:pStyle w:val="ListBullet"/>
              <w:numPr>
                <w:ilvl w:val="0"/>
                <w:numId w:val="0"/>
              </w:numPr>
              <w:tabs>
                <w:tab w:val="left" w:pos="720"/>
              </w:tabs>
              <w:spacing w:after="0"/>
              <w:rPr>
                <w:rFonts w:eastAsia="Times New Roman"/>
                <w:bCs/>
                <w:sz w:val="22"/>
                <w:lang w:eastAsia="en-AU"/>
              </w:rPr>
            </w:pPr>
            <w:r>
              <w:rPr>
                <w:rFonts w:eastAsia="Times New Roman"/>
                <w:bCs/>
                <w:sz w:val="22"/>
                <w:lang w:eastAsia="en-AU"/>
              </w:rPr>
              <w:t>T</w:t>
            </w:r>
            <w:r w:rsidR="00F51656" w:rsidRPr="007B6356">
              <w:rPr>
                <w:rFonts w:eastAsia="Times New Roman"/>
                <w:bCs/>
                <w:sz w:val="22"/>
                <w:lang w:eastAsia="en-AU"/>
              </w:rPr>
              <w:t>his Regulatory Bulletin has been updated</w:t>
            </w:r>
            <w:r w:rsidR="000827BE">
              <w:rPr>
                <w:rFonts w:eastAsia="Times New Roman"/>
                <w:bCs/>
                <w:sz w:val="22"/>
                <w:lang w:eastAsia="en-AU"/>
              </w:rPr>
              <w:t xml:space="preserve"> </w:t>
            </w:r>
            <w:r w:rsidR="00F51656" w:rsidRPr="007B6356">
              <w:rPr>
                <w:rFonts w:eastAsia="Times New Roman"/>
                <w:bCs/>
                <w:sz w:val="22"/>
                <w:lang w:eastAsia="en-AU"/>
              </w:rPr>
              <w:t>to provide information on the legislative provisions and policy supporting the administration and publication o</w:t>
            </w:r>
            <w:r w:rsidR="00540BAB">
              <w:rPr>
                <w:rFonts w:eastAsia="Times New Roman"/>
                <w:bCs/>
                <w:sz w:val="22"/>
                <w:lang w:eastAsia="en-AU"/>
              </w:rPr>
              <w:t>f</w:t>
            </w:r>
            <w:r w:rsidR="00F51656" w:rsidRPr="007B6356">
              <w:rPr>
                <w:rFonts w:eastAsia="Times New Roman"/>
                <w:bCs/>
                <w:sz w:val="22"/>
                <w:lang w:eastAsia="en-AU"/>
              </w:rPr>
              <w:t xml:space="preserve"> information in relation to Star Ratings and Compliance Ratings</w:t>
            </w:r>
            <w:r w:rsidR="00BE067C">
              <w:rPr>
                <w:rFonts w:eastAsia="Times New Roman"/>
                <w:bCs/>
                <w:sz w:val="22"/>
                <w:lang w:eastAsia="en-AU"/>
              </w:rPr>
              <w:t>,</w:t>
            </w:r>
            <w:r w:rsidR="00F51656" w:rsidRPr="007B6356">
              <w:rPr>
                <w:rFonts w:eastAsia="Times New Roman"/>
                <w:bCs/>
                <w:sz w:val="22"/>
                <w:lang w:eastAsia="en-AU"/>
              </w:rPr>
              <w:t xml:space="preserve"> and any other publication changes made by the Commission.</w:t>
            </w:r>
          </w:p>
          <w:p w14:paraId="278B92D2" w14:textId="77777777" w:rsidR="00F51656" w:rsidRPr="007B6356" w:rsidRDefault="00F51656" w:rsidP="00F51656">
            <w:pPr>
              <w:pStyle w:val="ListBullet"/>
              <w:numPr>
                <w:ilvl w:val="0"/>
                <w:numId w:val="0"/>
              </w:numPr>
              <w:tabs>
                <w:tab w:val="left" w:pos="720"/>
              </w:tabs>
              <w:spacing w:after="0"/>
              <w:rPr>
                <w:rFonts w:eastAsia="Times New Roman"/>
                <w:bCs/>
                <w:sz w:val="22"/>
                <w:lang w:eastAsia="en-AU"/>
              </w:rPr>
            </w:pPr>
            <w:r w:rsidRPr="007B6356">
              <w:rPr>
                <w:rFonts w:eastAsia="Times New Roman"/>
                <w:bCs/>
                <w:sz w:val="22"/>
                <w:lang w:eastAsia="en-AU"/>
              </w:rPr>
              <w:t>This Regulatory Bulletin does not cover the publication of information relating to:</w:t>
            </w:r>
          </w:p>
          <w:p w14:paraId="308C382A" w14:textId="77777777" w:rsidR="00F51656" w:rsidRPr="007B6356" w:rsidRDefault="00F51656" w:rsidP="00F51656">
            <w:pPr>
              <w:pStyle w:val="ListBullet"/>
              <w:numPr>
                <w:ilvl w:val="0"/>
                <w:numId w:val="24"/>
              </w:numPr>
              <w:tabs>
                <w:tab w:val="left" w:pos="720"/>
              </w:tabs>
              <w:spacing w:before="120"/>
              <w:ind w:left="357" w:hanging="357"/>
              <w:rPr>
                <w:rFonts w:eastAsia="Times New Roman"/>
                <w:sz w:val="22"/>
                <w:lang w:eastAsia="en-AU"/>
              </w:rPr>
            </w:pPr>
            <w:r w:rsidRPr="007B6356">
              <w:rPr>
                <w:rFonts w:eastAsia="Times New Roman"/>
                <w:sz w:val="22"/>
                <w:lang w:eastAsia="en-AU"/>
              </w:rPr>
              <w:t xml:space="preserve">performance of National Aboriginal and Torres Strait Islander Flexible Aged Care Program services </w:t>
            </w:r>
          </w:p>
          <w:p w14:paraId="3B5EFBDD" w14:textId="77777777" w:rsidR="00FC0D35" w:rsidRDefault="00F51656" w:rsidP="60AD52AA">
            <w:pPr>
              <w:pStyle w:val="ListBullet"/>
              <w:numPr>
                <w:ilvl w:val="0"/>
                <w:numId w:val="32"/>
              </w:numPr>
              <w:tabs>
                <w:tab w:val="left" w:pos="720"/>
              </w:tabs>
              <w:spacing w:before="120" w:after="0"/>
              <w:rPr>
                <w:rFonts w:eastAsia="Times New Roman"/>
                <w:sz w:val="22"/>
                <w:lang w:eastAsia="en-AU"/>
              </w:rPr>
            </w:pPr>
            <w:r w:rsidRPr="007B6356">
              <w:rPr>
                <w:rFonts w:eastAsia="Times New Roman"/>
                <w:sz w:val="22"/>
                <w:lang w:eastAsia="en-AU"/>
              </w:rPr>
              <w:t>registration of a person as a quality assessor.</w:t>
            </w:r>
          </w:p>
          <w:p w14:paraId="2C17A244" w14:textId="713C8FA1" w:rsidR="00BE067C" w:rsidRPr="000562A2" w:rsidRDefault="00BE067C" w:rsidP="0020348B">
            <w:pPr>
              <w:pStyle w:val="ListBullet"/>
              <w:numPr>
                <w:ilvl w:val="0"/>
                <w:numId w:val="0"/>
              </w:numPr>
              <w:tabs>
                <w:tab w:val="left" w:pos="720"/>
              </w:tabs>
              <w:spacing w:before="120" w:after="0"/>
              <w:ind w:left="360"/>
              <w:rPr>
                <w:rFonts w:eastAsia="Times New Roman"/>
                <w:sz w:val="22"/>
                <w:lang w:eastAsia="en-AU"/>
              </w:rPr>
            </w:pPr>
          </w:p>
        </w:tc>
      </w:tr>
      <w:tr w:rsidR="00FC0D35" w14:paraId="6A137D3E" w14:textId="77777777" w:rsidTr="60AD52AA">
        <w:tc>
          <w:tcPr>
            <w:tcW w:w="1330" w:type="pct"/>
            <w:tcBorders>
              <w:top w:val="single" w:sz="2" w:space="0" w:color="auto"/>
              <w:left w:val="nil"/>
              <w:bottom w:val="single" w:sz="2" w:space="0" w:color="auto"/>
              <w:right w:val="nil"/>
            </w:tcBorders>
            <w:hideMark/>
          </w:tcPr>
          <w:p w14:paraId="47FD1587" w14:textId="77777777" w:rsidR="00FC0D35" w:rsidRDefault="00FC0D35">
            <w:pPr>
              <w:spacing w:before="120"/>
            </w:pPr>
            <w:r>
              <w:rPr>
                <w:color w:val="313131"/>
                <w:shd w:val="clear" w:color="auto" w:fill="FFFFFF"/>
              </w:rPr>
              <w:t>To be reviewed</w:t>
            </w:r>
          </w:p>
        </w:tc>
        <w:tc>
          <w:tcPr>
            <w:tcW w:w="3670" w:type="pct"/>
            <w:tcBorders>
              <w:top w:val="single" w:sz="2" w:space="0" w:color="auto"/>
              <w:left w:val="nil"/>
              <w:bottom w:val="single" w:sz="2" w:space="0" w:color="auto"/>
              <w:right w:val="nil"/>
            </w:tcBorders>
            <w:hideMark/>
          </w:tcPr>
          <w:p w14:paraId="532FC132" w14:textId="2002E7CB" w:rsidR="00FC0D35" w:rsidRDefault="00E44331">
            <w:pPr>
              <w:spacing w:before="120"/>
            </w:pPr>
            <w:r w:rsidRPr="00E44331">
              <w:t>19</w:t>
            </w:r>
            <w:r w:rsidR="00B8029D" w:rsidRPr="00E44331">
              <w:t xml:space="preserve"> </w:t>
            </w:r>
            <w:r w:rsidR="00A91A51" w:rsidRPr="00E44331">
              <w:t>January</w:t>
            </w:r>
            <w:r w:rsidR="00FC0D35" w:rsidRPr="00E44331">
              <w:t xml:space="preserve"> </w:t>
            </w:r>
            <w:r w:rsidR="00B8029D" w:rsidRPr="00E44331">
              <w:t>202</w:t>
            </w:r>
            <w:r w:rsidR="00A91A51" w:rsidRPr="00E44331">
              <w:t>4</w:t>
            </w:r>
          </w:p>
        </w:tc>
      </w:tr>
    </w:tbl>
    <w:p w14:paraId="2F7DA7A2" w14:textId="77777777" w:rsidR="00FC0D35" w:rsidRDefault="00FC0D35" w:rsidP="00FC0D35">
      <w:pPr>
        <w:spacing w:before="0" w:after="160" w:line="256" w:lineRule="auto"/>
        <w:rPr>
          <w:b/>
          <w:color w:val="000000" w:themeColor="text1"/>
          <w:sz w:val="56"/>
          <w:szCs w:val="32"/>
        </w:rPr>
      </w:pPr>
      <w:r>
        <w:br w:type="page"/>
      </w:r>
    </w:p>
    <w:p w14:paraId="0294C2EE" w14:textId="77777777" w:rsidR="00FC0D35" w:rsidRDefault="00FC0D35" w:rsidP="00FC0D35">
      <w:pPr>
        <w:pStyle w:val="Subtitle"/>
      </w:pPr>
      <w:r>
        <w:lastRenderedPageBreak/>
        <w:t>Regulatory Bulletin</w:t>
      </w:r>
    </w:p>
    <w:p w14:paraId="2006C61B" w14:textId="77777777" w:rsidR="00FC0D35" w:rsidRDefault="00FC0D35" w:rsidP="000562A2">
      <w:pPr>
        <w:pStyle w:val="Heading1"/>
        <w:keepLines/>
      </w:pPr>
      <w:r>
        <w:t>RB 2020-11: Publication of provider performance information</w:t>
      </w:r>
    </w:p>
    <w:p w14:paraId="3EEAC2A4" w14:textId="489BB689" w:rsidR="00FC0D35" w:rsidRPr="00C85B6E" w:rsidRDefault="00FC0D35" w:rsidP="000562A2">
      <w:pPr>
        <w:keepNext/>
        <w:keepLines/>
        <w:rPr>
          <w:szCs w:val="24"/>
        </w:rPr>
      </w:pPr>
      <w:r w:rsidRPr="00A8649D">
        <w:rPr>
          <w:szCs w:val="24"/>
        </w:rPr>
        <w:t>The Aged Care Quality and Safety Commission (</w:t>
      </w:r>
      <w:r w:rsidR="003327BC" w:rsidRPr="00A8649D">
        <w:rPr>
          <w:szCs w:val="24"/>
        </w:rPr>
        <w:t xml:space="preserve">the </w:t>
      </w:r>
      <w:r w:rsidRPr="00A8649D">
        <w:rPr>
          <w:szCs w:val="24"/>
        </w:rPr>
        <w:t xml:space="preserve">Commission) undertakes a range of functions to determine whether aged care providers are delivering high quality care and services to aged care </w:t>
      </w:r>
      <w:r w:rsidRPr="00C85B6E">
        <w:rPr>
          <w:szCs w:val="24"/>
        </w:rPr>
        <w:t>consumers.</w:t>
      </w:r>
    </w:p>
    <w:p w14:paraId="4F39ED56" w14:textId="627FB2C2" w:rsidR="00FC0D35" w:rsidRPr="00A8649D" w:rsidRDefault="00FC0D35" w:rsidP="000562A2">
      <w:pPr>
        <w:keepNext/>
        <w:keepLines/>
      </w:pPr>
      <w:r w:rsidRPr="60AD52AA">
        <w:t xml:space="preserve">This Regulatory Bulletin details the </w:t>
      </w:r>
      <w:r w:rsidRPr="60AD52AA">
        <w:rPr>
          <w:shd w:val="clear" w:color="auto" w:fill="FFFFFF"/>
        </w:rPr>
        <w:t xml:space="preserve">information the Commission publishes </w:t>
      </w:r>
      <w:r w:rsidR="423B2AEE" w:rsidRPr="60AD52AA">
        <w:rPr>
          <w:shd w:val="clear" w:color="auto" w:fill="FFFFFF"/>
        </w:rPr>
        <w:t>in accordance the</w:t>
      </w:r>
      <w:r w:rsidR="423B2AEE" w:rsidRPr="60AD52AA">
        <w:rPr>
          <w:i/>
          <w:iCs/>
          <w:shd w:val="clear" w:color="auto" w:fill="FFFFFF"/>
        </w:rPr>
        <w:t> </w:t>
      </w:r>
      <w:hyperlink r:id="rId9" w:history="1">
        <w:r w:rsidR="423B2AEE" w:rsidRPr="0020348B">
          <w:rPr>
            <w:rStyle w:val="Hyperlink"/>
            <w:i/>
            <w:iCs/>
          </w:rPr>
          <w:t>Aged Care Quality and Safety Commission Act 2018</w:t>
        </w:r>
        <w:r w:rsidR="00AF2427">
          <w:rPr>
            <w:rStyle w:val="FootnoteReference"/>
            <w:i/>
            <w:color w:val="0563C1" w:themeColor="hyperlink"/>
            <w:szCs w:val="24"/>
            <w:u w:val="single"/>
          </w:rPr>
          <w:footnoteReference w:id="2"/>
        </w:r>
        <w:r w:rsidR="423B2AEE" w:rsidRPr="0020348B">
          <w:rPr>
            <w:rStyle w:val="Hyperlink"/>
            <w:i/>
            <w:iCs/>
          </w:rPr>
          <w:t> </w:t>
        </w:r>
      </w:hyperlink>
      <w:r w:rsidR="423B2AEE" w:rsidRPr="60AD52AA">
        <w:rPr>
          <w:rStyle w:val="Emphasis"/>
          <w:i w:val="0"/>
          <w:iCs w:val="0"/>
          <w:color w:val="313131"/>
          <w:shd w:val="clear" w:color="auto" w:fill="FFFFFF"/>
        </w:rPr>
        <w:t>(Commission Act) and the</w:t>
      </w:r>
      <w:r w:rsidR="423B2AEE" w:rsidRPr="0020348B">
        <w:rPr>
          <w:rStyle w:val="Emphasis"/>
          <w:color w:val="313131"/>
          <w:shd w:val="clear" w:color="auto" w:fill="FFFFFF"/>
        </w:rPr>
        <w:t xml:space="preserve"> </w:t>
      </w:r>
      <w:hyperlink r:id="rId10" w:history="1">
        <w:r w:rsidR="423B2AEE" w:rsidRPr="009B1D5C">
          <w:rPr>
            <w:rStyle w:val="Hyperlink"/>
          </w:rPr>
          <w:t>Aged Care Quality and Safety Commission Rules 2018</w:t>
        </w:r>
      </w:hyperlink>
      <w:r w:rsidR="00AF2427">
        <w:rPr>
          <w:rStyle w:val="FootnoteReference"/>
          <w:iCs/>
          <w:color w:val="313131"/>
          <w:szCs w:val="24"/>
          <w:shd w:val="clear" w:color="auto" w:fill="FFFFFF"/>
        </w:rPr>
        <w:footnoteReference w:id="3"/>
      </w:r>
      <w:r w:rsidR="423B2AEE" w:rsidRPr="60AD52AA">
        <w:rPr>
          <w:rStyle w:val="Emphasis"/>
          <w:color w:val="313131"/>
          <w:shd w:val="clear" w:color="auto" w:fill="FFFFFF"/>
        </w:rPr>
        <w:t> </w:t>
      </w:r>
      <w:r w:rsidR="423B2AEE" w:rsidRPr="60AD52AA">
        <w:rPr>
          <w:rStyle w:val="Emphasis"/>
          <w:i w:val="0"/>
          <w:iCs w:val="0"/>
          <w:color w:val="313131"/>
          <w:shd w:val="clear" w:color="auto" w:fill="FFFFFF"/>
        </w:rPr>
        <w:t>(Commission Rules)</w:t>
      </w:r>
      <w:r w:rsidR="423B2AEE" w:rsidRPr="60AD52AA">
        <w:rPr>
          <w:rStyle w:val="Emphasis"/>
          <w:color w:val="313131"/>
          <w:shd w:val="clear" w:color="auto" w:fill="FFFFFF"/>
        </w:rPr>
        <w:t xml:space="preserve"> </w:t>
      </w:r>
      <w:r w:rsidRPr="60AD52AA">
        <w:rPr>
          <w:shd w:val="clear" w:color="auto" w:fill="FFFFFF"/>
        </w:rPr>
        <w:t xml:space="preserve">about aged care service providers' performance in relation to their responsibilities </w:t>
      </w:r>
      <w:r w:rsidR="199239B6" w:rsidRPr="60AD52AA">
        <w:rPr>
          <w:shd w:val="clear" w:color="auto" w:fill="FFFFFF"/>
        </w:rPr>
        <w:t xml:space="preserve">under </w:t>
      </w:r>
      <w:r w:rsidRPr="60AD52AA">
        <w:rPr>
          <w:shd w:val="clear" w:color="auto" w:fill="FFFFFF"/>
        </w:rPr>
        <w:t>the</w:t>
      </w:r>
      <w:r w:rsidRPr="0020348B">
        <w:rPr>
          <w:i/>
          <w:iCs/>
          <w:color w:val="2B579A"/>
          <w:shd w:val="clear" w:color="auto" w:fill="FFFFFF"/>
        </w:rPr>
        <w:t> </w:t>
      </w:r>
      <w:hyperlink r:id="rId11" w:history="1">
        <w:r w:rsidRPr="0020348B">
          <w:rPr>
            <w:rStyle w:val="Hyperlink"/>
            <w:i/>
            <w:iCs/>
          </w:rPr>
          <w:t>Aged Care Act</w:t>
        </w:r>
        <w:r w:rsidR="006C2135">
          <w:rPr>
            <w:rStyle w:val="Hyperlink"/>
            <w:i/>
            <w:iCs/>
          </w:rPr>
          <w:t> </w:t>
        </w:r>
        <w:r w:rsidRPr="0020348B">
          <w:rPr>
            <w:rStyle w:val="Hyperlink"/>
            <w:i/>
            <w:iCs/>
          </w:rPr>
          <w:t>1997</w:t>
        </w:r>
      </w:hyperlink>
      <w:r w:rsidR="00AF2427">
        <w:rPr>
          <w:rStyle w:val="FootnoteReference"/>
          <w:iCs/>
          <w:color w:val="313131"/>
          <w:szCs w:val="24"/>
          <w:shd w:val="clear" w:color="auto" w:fill="FFFFFF"/>
        </w:rPr>
        <w:footnoteReference w:id="4"/>
      </w:r>
      <w:r w:rsidR="423B2AEE" w:rsidRPr="60AD52AA">
        <w:rPr>
          <w:rStyle w:val="Emphasis"/>
          <w:i w:val="0"/>
          <w:iCs w:val="0"/>
          <w:color w:val="313131"/>
          <w:shd w:val="clear" w:color="auto" w:fill="FFFFFF"/>
        </w:rPr>
        <w:t xml:space="preserve"> (Aged Care Act)</w:t>
      </w:r>
      <w:r w:rsidRPr="60AD52AA">
        <w:rPr>
          <w:shd w:val="clear" w:color="auto" w:fill="FFFFFF"/>
        </w:rPr>
        <w:t>, or the Commonwealth funding agreement that relates to a service.</w:t>
      </w:r>
    </w:p>
    <w:p w14:paraId="7C52DB53" w14:textId="7993C4F9" w:rsidR="00FC0D35" w:rsidRPr="000562A2" w:rsidRDefault="00FC0D35" w:rsidP="000562A2">
      <w:pPr>
        <w:keepNext/>
        <w:keepLines/>
        <w:rPr>
          <w:szCs w:val="24"/>
        </w:rPr>
      </w:pPr>
      <w:r w:rsidRPr="00A8649D">
        <w:rPr>
          <w:szCs w:val="24"/>
        </w:rPr>
        <w:t xml:space="preserve">Refer to the </w:t>
      </w:r>
      <w:hyperlink r:id="rId12" w:history="1">
        <w:r w:rsidRPr="00A8649D">
          <w:rPr>
            <w:rStyle w:val="Hyperlink"/>
            <w:szCs w:val="24"/>
          </w:rPr>
          <w:t>Commission’s glossary</w:t>
        </w:r>
      </w:hyperlink>
      <w:r w:rsidRPr="00A8649D">
        <w:rPr>
          <w:rStyle w:val="FootnoteReference"/>
          <w:szCs w:val="24"/>
        </w:rPr>
        <w:footnoteReference w:id="5"/>
      </w:r>
      <w:r w:rsidRPr="00A8649D">
        <w:rPr>
          <w:szCs w:val="24"/>
        </w:rPr>
        <w:t xml:space="preserve"> for definitions of key terms. </w:t>
      </w:r>
    </w:p>
    <w:p w14:paraId="77214CA8" w14:textId="77777777" w:rsidR="00FC0D35" w:rsidRDefault="00FC0D35" w:rsidP="000562A2">
      <w:pPr>
        <w:pStyle w:val="Heading1"/>
        <w:keepLines/>
      </w:pPr>
      <w:r>
        <w:t>Key Points</w:t>
      </w:r>
    </w:p>
    <w:p w14:paraId="5386C94F" w14:textId="77777777" w:rsidR="00EB6F35" w:rsidRPr="000562A2" w:rsidRDefault="007A6249" w:rsidP="000562A2">
      <w:pPr>
        <w:pStyle w:val="ListBullet"/>
        <w:keepNext/>
        <w:keepLines/>
        <w:tabs>
          <w:tab w:val="left" w:pos="720"/>
        </w:tabs>
        <w:rPr>
          <w:szCs w:val="24"/>
        </w:rPr>
      </w:pPr>
      <w:r w:rsidRPr="00A8649D">
        <w:rPr>
          <w:szCs w:val="24"/>
        </w:rPr>
        <w:t xml:space="preserve">The Commission </w:t>
      </w:r>
      <w:r w:rsidR="001167CD" w:rsidRPr="00A8649D">
        <w:rPr>
          <w:szCs w:val="24"/>
        </w:rPr>
        <w:t xml:space="preserve">is committed to providing transparency </w:t>
      </w:r>
      <w:r w:rsidR="00063836" w:rsidRPr="00A8649D">
        <w:rPr>
          <w:szCs w:val="24"/>
        </w:rPr>
        <w:t>of performance information about providers to</w:t>
      </w:r>
      <w:r w:rsidR="004F3D1F" w:rsidRPr="00C85B6E">
        <w:rPr>
          <w:szCs w:val="24"/>
        </w:rPr>
        <w:t xml:space="preserve"> support consumer choice, promote continuous improvement</w:t>
      </w:r>
      <w:r w:rsidR="001236C1" w:rsidRPr="00C85B6E">
        <w:rPr>
          <w:szCs w:val="24"/>
        </w:rPr>
        <w:t xml:space="preserve"> and </w:t>
      </w:r>
      <w:r w:rsidR="00195FBF" w:rsidRPr="000562A2">
        <w:rPr>
          <w:szCs w:val="24"/>
        </w:rPr>
        <w:t>performance benchmarking</w:t>
      </w:r>
      <w:r w:rsidR="00575DFD" w:rsidRPr="000562A2">
        <w:rPr>
          <w:szCs w:val="24"/>
        </w:rPr>
        <w:t xml:space="preserve"> with providers</w:t>
      </w:r>
      <w:r w:rsidR="00195FBF" w:rsidRPr="000562A2">
        <w:rPr>
          <w:szCs w:val="24"/>
        </w:rPr>
        <w:t xml:space="preserve">, and </w:t>
      </w:r>
      <w:r w:rsidR="003E7AEB" w:rsidRPr="000562A2">
        <w:rPr>
          <w:szCs w:val="24"/>
        </w:rPr>
        <w:t>to give visibility to the Commission’s work.</w:t>
      </w:r>
    </w:p>
    <w:p w14:paraId="74E5B456" w14:textId="77777777" w:rsidR="005419E6" w:rsidRPr="000562A2" w:rsidRDefault="00FC0D35" w:rsidP="005419E6">
      <w:pPr>
        <w:pStyle w:val="ListBullet"/>
        <w:keepNext/>
        <w:keepLines/>
        <w:tabs>
          <w:tab w:val="left" w:pos="720"/>
        </w:tabs>
        <w:rPr>
          <w:szCs w:val="24"/>
        </w:rPr>
      </w:pPr>
      <w:r w:rsidRPr="000562A2">
        <w:rPr>
          <w:szCs w:val="24"/>
        </w:rPr>
        <w:t>The Commission publishes information about a provider’s performance in relation to their responsibilities as an aged care provider on the Commission website.</w:t>
      </w:r>
    </w:p>
    <w:p w14:paraId="2B4442E0" w14:textId="77777777" w:rsidR="005419E6" w:rsidRPr="000562A2" w:rsidRDefault="005419E6" w:rsidP="005419E6">
      <w:pPr>
        <w:pStyle w:val="ListBullet"/>
        <w:keepNext/>
        <w:keepLines/>
        <w:tabs>
          <w:tab w:val="left" w:pos="720"/>
        </w:tabs>
        <w:rPr>
          <w:szCs w:val="24"/>
        </w:rPr>
      </w:pPr>
      <w:r w:rsidRPr="000562A2">
        <w:rPr>
          <w:szCs w:val="24"/>
        </w:rPr>
        <w:t xml:space="preserve">The </w:t>
      </w:r>
      <w:r w:rsidRPr="000562A2">
        <w:rPr>
          <w:rFonts w:eastAsia="Times New Roman"/>
          <w:bCs/>
          <w:szCs w:val="24"/>
          <w:lang w:eastAsia="en-AU"/>
        </w:rPr>
        <w:t>Commission Rules</w:t>
      </w:r>
      <w:r w:rsidRPr="000562A2">
        <w:rPr>
          <w:szCs w:val="24"/>
        </w:rPr>
        <w:t xml:space="preserve"> require the Commission to publish certain information including performance reports, accreditation and re-accreditation decisions, reconsideration decisions and Administrative Appeals Tribunal (AAT) decisions.</w:t>
      </w:r>
    </w:p>
    <w:p w14:paraId="74C65A1F" w14:textId="313F1466" w:rsidR="00FC0D35" w:rsidRPr="000562A2" w:rsidRDefault="00FC0D35" w:rsidP="000562A2">
      <w:pPr>
        <w:pStyle w:val="ListBullet"/>
        <w:keepNext/>
        <w:keepLines/>
        <w:tabs>
          <w:tab w:val="left" w:pos="720"/>
        </w:tabs>
        <w:rPr>
          <w:szCs w:val="24"/>
        </w:rPr>
      </w:pPr>
      <w:r w:rsidRPr="00A8649D">
        <w:rPr>
          <w:szCs w:val="24"/>
        </w:rPr>
        <w:t>The Commission also publishes other information</w:t>
      </w:r>
      <w:r w:rsidR="00A85023" w:rsidRPr="000562A2">
        <w:rPr>
          <w:szCs w:val="24"/>
        </w:rPr>
        <w:t xml:space="preserve"> on the</w:t>
      </w:r>
      <w:r w:rsidR="00C92608">
        <w:rPr>
          <w:szCs w:val="24"/>
        </w:rPr>
        <w:t xml:space="preserve"> </w:t>
      </w:r>
      <w:hyperlink r:id="rId13" w:history="1">
        <w:r w:rsidR="00C92608" w:rsidRPr="00A36D96">
          <w:rPr>
            <w:rStyle w:val="Hyperlink"/>
            <w:szCs w:val="24"/>
          </w:rPr>
          <w:t>Commission’s website</w:t>
        </w:r>
      </w:hyperlink>
      <w:r w:rsidR="00A36D96">
        <w:rPr>
          <w:rStyle w:val="FootnoteReference"/>
          <w:szCs w:val="24"/>
        </w:rPr>
        <w:footnoteReference w:id="6"/>
      </w:r>
      <w:r w:rsidR="00C92608">
        <w:rPr>
          <w:szCs w:val="24"/>
        </w:rPr>
        <w:t xml:space="preserve"> and the</w:t>
      </w:r>
      <w:r w:rsidRPr="00A8649D">
        <w:rPr>
          <w:szCs w:val="24"/>
        </w:rPr>
        <w:t xml:space="preserve"> </w:t>
      </w:r>
      <w:hyperlink r:id="rId14" w:history="1">
        <w:r w:rsidR="00A85023" w:rsidRPr="000562A2">
          <w:rPr>
            <w:rStyle w:val="Hyperlink"/>
            <w:szCs w:val="24"/>
          </w:rPr>
          <w:t>My Aged Care</w:t>
        </w:r>
      </w:hyperlink>
      <w:r w:rsidR="00A85023" w:rsidRPr="000562A2">
        <w:rPr>
          <w:rStyle w:val="FootnoteReference"/>
          <w:szCs w:val="24"/>
        </w:rPr>
        <w:footnoteReference w:id="7"/>
      </w:r>
      <w:r w:rsidR="00A85023" w:rsidRPr="000562A2">
        <w:rPr>
          <w:szCs w:val="24"/>
        </w:rPr>
        <w:t xml:space="preserve"> website </w:t>
      </w:r>
      <w:r w:rsidRPr="00A8649D">
        <w:rPr>
          <w:szCs w:val="24"/>
        </w:rPr>
        <w:t xml:space="preserve">about the outcomes of its regulatory and complaints functions </w:t>
      </w:r>
      <w:r w:rsidR="00BD3FC5">
        <w:rPr>
          <w:szCs w:val="24"/>
        </w:rPr>
        <w:t>including the</w:t>
      </w:r>
      <w:r w:rsidRPr="00A8649D">
        <w:rPr>
          <w:szCs w:val="24"/>
        </w:rPr>
        <w:t xml:space="preserve"> </w:t>
      </w:r>
      <w:r w:rsidR="0005421A">
        <w:rPr>
          <w:szCs w:val="24"/>
        </w:rPr>
        <w:t>S</w:t>
      </w:r>
      <w:r w:rsidRPr="00A8649D">
        <w:rPr>
          <w:szCs w:val="24"/>
        </w:rPr>
        <w:t xml:space="preserve">ervice </w:t>
      </w:r>
      <w:r w:rsidR="00E05D6C">
        <w:rPr>
          <w:szCs w:val="24"/>
        </w:rPr>
        <w:t>C</w:t>
      </w:r>
      <w:r w:rsidRPr="00A8649D">
        <w:rPr>
          <w:szCs w:val="24"/>
        </w:rPr>
        <w:t xml:space="preserve">ompliance </w:t>
      </w:r>
      <w:r w:rsidR="00E05D6C">
        <w:rPr>
          <w:szCs w:val="24"/>
        </w:rPr>
        <w:t>R</w:t>
      </w:r>
      <w:r w:rsidRPr="00A8649D">
        <w:rPr>
          <w:szCs w:val="24"/>
        </w:rPr>
        <w:t>ating; non-compliance</w:t>
      </w:r>
      <w:r w:rsidR="00885EB3">
        <w:rPr>
          <w:szCs w:val="24"/>
        </w:rPr>
        <w:t xml:space="preserve"> decisions</w:t>
      </w:r>
      <w:r w:rsidRPr="00A8649D">
        <w:rPr>
          <w:szCs w:val="24"/>
        </w:rPr>
        <w:t>; complaints directions</w:t>
      </w:r>
      <w:r w:rsidR="008D082C" w:rsidRPr="00A8649D">
        <w:rPr>
          <w:szCs w:val="24"/>
        </w:rPr>
        <w:t>;</w:t>
      </w:r>
      <w:r w:rsidRPr="00A8649D">
        <w:rPr>
          <w:szCs w:val="24"/>
        </w:rPr>
        <w:t xml:space="preserve"> and sector performance </w:t>
      </w:r>
      <w:r w:rsidR="007A3A46" w:rsidRPr="00C85B6E">
        <w:rPr>
          <w:szCs w:val="24"/>
        </w:rPr>
        <w:t>data</w:t>
      </w:r>
      <w:r w:rsidRPr="00C85B6E">
        <w:rPr>
          <w:szCs w:val="24"/>
        </w:rPr>
        <w:t>.</w:t>
      </w:r>
    </w:p>
    <w:p w14:paraId="3AF942A4" w14:textId="77777777" w:rsidR="005419E6" w:rsidRPr="000562A2" w:rsidRDefault="005419E6" w:rsidP="000562A2">
      <w:pPr>
        <w:pStyle w:val="Heading1"/>
        <w:keepLines/>
        <w:pBdr>
          <w:top w:val="single" w:sz="4" w:space="8" w:color="auto"/>
        </w:pBdr>
        <w:spacing w:before="360"/>
      </w:pPr>
      <w:r w:rsidRPr="000562A2">
        <w:t>Legislative Authority</w:t>
      </w:r>
    </w:p>
    <w:p w14:paraId="077E6912" w14:textId="77777777" w:rsidR="005419E6" w:rsidRPr="00FF490B" w:rsidRDefault="005419E6" w:rsidP="00D40C66">
      <w:pPr>
        <w:pStyle w:val="Heading2-FiraSans"/>
        <w:rPr>
          <w:rFonts w:ascii="Arial" w:hAnsi="Arial" w:cs="Arial"/>
        </w:rPr>
      </w:pPr>
      <w:r w:rsidRPr="00FF490B">
        <w:rPr>
          <w:rFonts w:ascii="Arial" w:hAnsi="Arial" w:cs="Arial"/>
        </w:rPr>
        <w:t xml:space="preserve">The Commission Act </w:t>
      </w:r>
    </w:p>
    <w:p w14:paraId="179182B3" w14:textId="77777777" w:rsidR="005419E6" w:rsidRPr="00C85B6E" w:rsidRDefault="005419E6" w:rsidP="005419E6">
      <w:pPr>
        <w:rPr>
          <w:szCs w:val="24"/>
        </w:rPr>
      </w:pPr>
      <w:r w:rsidRPr="00A8649D">
        <w:rPr>
          <w:szCs w:val="24"/>
        </w:rPr>
        <w:t>The Commissioner has authority, under sections 59(1)(h) and 59A(1)(g) of the Commission Act</w:t>
      </w:r>
      <w:r w:rsidRPr="00C85B6E">
        <w:rPr>
          <w:i/>
          <w:szCs w:val="24"/>
        </w:rPr>
        <w:t>,</w:t>
      </w:r>
      <w:r w:rsidRPr="00C85B6E">
        <w:rPr>
          <w:szCs w:val="24"/>
        </w:rPr>
        <w:t xml:space="preserve"> to publish:</w:t>
      </w:r>
    </w:p>
    <w:p w14:paraId="444FD87B" w14:textId="4E3637EF" w:rsidR="005419E6" w:rsidRPr="00C85B6E" w:rsidRDefault="005419E6" w:rsidP="005419E6">
      <w:pPr>
        <w:pStyle w:val="ListBullet"/>
        <w:tabs>
          <w:tab w:val="left" w:pos="720"/>
        </w:tabs>
        <w:spacing w:before="120"/>
      </w:pPr>
      <w:r>
        <w:t>information about</w:t>
      </w:r>
      <w:r w:rsidR="00770161">
        <w:t xml:space="preserve"> a</w:t>
      </w:r>
      <w:r w:rsidR="3B434BCA">
        <w:t>n</w:t>
      </w:r>
      <w:r>
        <w:t xml:space="preserve"> approved provider’s performance in relation to the provider’s responsibilities under the Commission Act or the Aged Care Act</w:t>
      </w:r>
      <w:r w:rsidRPr="10628A7F">
        <w:rPr>
          <w:i/>
          <w:iCs/>
        </w:rPr>
        <w:t xml:space="preserve"> </w:t>
      </w:r>
    </w:p>
    <w:p w14:paraId="4630BD27" w14:textId="305736D4" w:rsidR="005419E6" w:rsidRPr="000562A2" w:rsidRDefault="005419E6" w:rsidP="005419E6">
      <w:pPr>
        <w:pStyle w:val="ListBullet"/>
        <w:tabs>
          <w:tab w:val="left" w:pos="720"/>
        </w:tabs>
        <w:spacing w:before="120"/>
        <w:rPr>
          <w:szCs w:val="24"/>
        </w:rPr>
      </w:pPr>
      <w:r w:rsidRPr="000562A2">
        <w:rPr>
          <w:szCs w:val="24"/>
        </w:rPr>
        <w:lastRenderedPageBreak/>
        <w:t xml:space="preserve">information about </w:t>
      </w:r>
      <w:r w:rsidR="00770161">
        <w:rPr>
          <w:szCs w:val="24"/>
        </w:rPr>
        <w:t xml:space="preserve">a </w:t>
      </w:r>
      <w:r w:rsidRPr="000562A2">
        <w:rPr>
          <w:szCs w:val="24"/>
        </w:rPr>
        <w:t xml:space="preserve">service provider’s performance in relation to the provider’s responsibilities under the funding agreement that relates to a Commonwealth Home Support Programme service. </w:t>
      </w:r>
    </w:p>
    <w:p w14:paraId="56D54C2C" w14:textId="77777777" w:rsidR="005419E6" w:rsidRPr="00FF490B" w:rsidRDefault="005419E6" w:rsidP="00D40C66">
      <w:pPr>
        <w:pStyle w:val="Heading2-FiraSans"/>
        <w:rPr>
          <w:rFonts w:ascii="Arial" w:hAnsi="Arial" w:cs="Arial"/>
        </w:rPr>
      </w:pPr>
      <w:r w:rsidRPr="00FF490B">
        <w:rPr>
          <w:rFonts w:ascii="Arial" w:hAnsi="Arial" w:cs="Arial"/>
        </w:rPr>
        <w:t xml:space="preserve">The Commission </w:t>
      </w:r>
      <w:r>
        <w:rPr>
          <w:rFonts w:ascii="Arial" w:hAnsi="Arial" w:cs="Arial"/>
        </w:rPr>
        <w:t xml:space="preserve">Rules </w:t>
      </w:r>
    </w:p>
    <w:p w14:paraId="4FD80701" w14:textId="77777777" w:rsidR="005419E6" w:rsidRPr="000562A2" w:rsidRDefault="00FC0D35" w:rsidP="00FC0D35">
      <w:pPr>
        <w:rPr>
          <w:szCs w:val="24"/>
        </w:rPr>
      </w:pPr>
      <w:r w:rsidRPr="00A8649D">
        <w:rPr>
          <w:szCs w:val="24"/>
        </w:rPr>
        <w:t xml:space="preserve">Under the </w:t>
      </w:r>
      <w:r w:rsidR="005419E6" w:rsidRPr="00C85B6E">
        <w:rPr>
          <w:szCs w:val="24"/>
        </w:rPr>
        <w:t>Commission Rules</w:t>
      </w:r>
      <w:r w:rsidRPr="000562A2">
        <w:rPr>
          <w:szCs w:val="24"/>
        </w:rPr>
        <w:t xml:space="preserve"> the Commission is </w:t>
      </w:r>
      <w:r w:rsidRPr="000562A2">
        <w:rPr>
          <w:b/>
          <w:szCs w:val="24"/>
        </w:rPr>
        <w:t>required to publish certain decisions</w:t>
      </w:r>
      <w:r w:rsidRPr="000562A2">
        <w:rPr>
          <w:szCs w:val="24"/>
        </w:rPr>
        <w:t xml:space="preserve">, including decisions relating to the accreditation of residential services, reconsiderations and AAT decisions. </w:t>
      </w:r>
    </w:p>
    <w:p w14:paraId="2D919518" w14:textId="77777777" w:rsidR="00FC0D35" w:rsidRPr="000562A2" w:rsidRDefault="00FC0D35" w:rsidP="00FC0D35">
      <w:pPr>
        <w:rPr>
          <w:szCs w:val="24"/>
        </w:rPr>
      </w:pPr>
      <w:r w:rsidRPr="000562A2">
        <w:rPr>
          <w:szCs w:val="24"/>
        </w:rPr>
        <w:t>The Commission is also required to publish performance reports following site audits, review audits, quality audits and assessment contacts conducted for the purposes of assessing</w:t>
      </w:r>
      <w:r w:rsidR="00A85023" w:rsidRPr="000562A2">
        <w:rPr>
          <w:szCs w:val="24"/>
        </w:rPr>
        <w:t xml:space="preserve"> the</w:t>
      </w:r>
      <w:r w:rsidRPr="000562A2">
        <w:rPr>
          <w:szCs w:val="24"/>
        </w:rPr>
        <w:t xml:space="preserve"> performance </w:t>
      </w:r>
      <w:r w:rsidR="00A85023" w:rsidRPr="000562A2">
        <w:rPr>
          <w:szCs w:val="24"/>
        </w:rPr>
        <w:t xml:space="preserve">of a service </w:t>
      </w:r>
      <w:r w:rsidRPr="000562A2">
        <w:rPr>
          <w:szCs w:val="24"/>
        </w:rPr>
        <w:t xml:space="preserve">against the Aged Care Quality Standards (Quality Standards). </w:t>
      </w:r>
    </w:p>
    <w:p w14:paraId="45118A7E" w14:textId="77777777" w:rsidR="00FC0D35" w:rsidRDefault="00FC0D35" w:rsidP="00FC0D35">
      <w:pPr>
        <w:pStyle w:val="NoSpacing"/>
        <w:pBdr>
          <w:bottom w:val="single" w:sz="4" w:space="1" w:color="auto"/>
        </w:pBdr>
      </w:pPr>
    </w:p>
    <w:p w14:paraId="4CFAD645" w14:textId="77777777" w:rsidR="00FC0D35" w:rsidRDefault="00A85023" w:rsidP="00976499">
      <w:pPr>
        <w:pStyle w:val="Heading1"/>
      </w:pPr>
      <w:r>
        <w:t xml:space="preserve">Service </w:t>
      </w:r>
      <w:r w:rsidR="008D082C">
        <w:t>p</w:t>
      </w:r>
      <w:r w:rsidR="00FC0D35">
        <w:t xml:space="preserve">erformance </w:t>
      </w:r>
      <w:r w:rsidR="00BF551E">
        <w:t>information the</w:t>
      </w:r>
      <w:r w:rsidR="00FC0D35">
        <w:t xml:space="preserve"> Commission </w:t>
      </w:r>
      <w:r w:rsidR="00811872">
        <w:t xml:space="preserve">must </w:t>
      </w:r>
      <w:r w:rsidR="00FC0D35">
        <w:t>publish</w:t>
      </w:r>
    </w:p>
    <w:p w14:paraId="353AEE91" w14:textId="61950AC5" w:rsidR="00FC0D35" w:rsidRPr="00C85B6E" w:rsidRDefault="00701F89" w:rsidP="00D40C66">
      <w:pPr>
        <w:rPr>
          <w:szCs w:val="24"/>
        </w:rPr>
      </w:pPr>
      <w:r w:rsidRPr="00A8649D">
        <w:rPr>
          <w:szCs w:val="24"/>
        </w:rPr>
        <w:t>The Commission</w:t>
      </w:r>
      <w:r w:rsidR="00A85023" w:rsidRPr="00A8649D">
        <w:rPr>
          <w:szCs w:val="24"/>
        </w:rPr>
        <w:t xml:space="preserve"> Rules</w:t>
      </w:r>
      <w:r w:rsidRPr="00A8649D">
        <w:rPr>
          <w:szCs w:val="24"/>
        </w:rPr>
        <w:t xml:space="preserve"> </w:t>
      </w:r>
      <w:r w:rsidR="00A85023" w:rsidRPr="00C85B6E">
        <w:rPr>
          <w:szCs w:val="24"/>
        </w:rPr>
        <w:t>require the Commission</w:t>
      </w:r>
      <w:r w:rsidRPr="00C85B6E">
        <w:rPr>
          <w:szCs w:val="24"/>
        </w:rPr>
        <w:t xml:space="preserve"> </w:t>
      </w:r>
      <w:r w:rsidR="00A85023" w:rsidRPr="00C85B6E">
        <w:rPr>
          <w:szCs w:val="24"/>
        </w:rPr>
        <w:t xml:space="preserve">to </w:t>
      </w:r>
      <w:r w:rsidRPr="00C85B6E">
        <w:rPr>
          <w:szCs w:val="24"/>
        </w:rPr>
        <w:t xml:space="preserve">publish </w:t>
      </w:r>
      <w:r w:rsidR="00A85023" w:rsidRPr="00C85B6E">
        <w:rPr>
          <w:szCs w:val="24"/>
        </w:rPr>
        <w:t xml:space="preserve">the following </w:t>
      </w:r>
      <w:r w:rsidRPr="000562A2">
        <w:rPr>
          <w:szCs w:val="24"/>
        </w:rPr>
        <w:t xml:space="preserve">information on the </w:t>
      </w:r>
      <w:hyperlink r:id="rId15" w:history="1">
        <w:r w:rsidRPr="00A8649D">
          <w:rPr>
            <w:rStyle w:val="Hyperlink"/>
            <w:szCs w:val="24"/>
          </w:rPr>
          <w:t>Commission website</w:t>
        </w:r>
      </w:hyperlink>
      <w:r w:rsidR="008577F6" w:rsidRPr="00A8649D">
        <w:rPr>
          <w:rStyle w:val="FootnoteReference"/>
          <w:szCs w:val="24"/>
        </w:rPr>
        <w:footnoteReference w:id="8"/>
      </w:r>
      <w:r w:rsidR="00FC0D35" w:rsidRPr="00C85B6E">
        <w:rPr>
          <w:szCs w:val="24"/>
        </w:rPr>
        <w:t xml:space="preserve">. </w:t>
      </w:r>
    </w:p>
    <w:p w14:paraId="30DF0CFD" w14:textId="77777777" w:rsidR="00FC0D35" w:rsidRPr="000562A2" w:rsidRDefault="00FC0D35" w:rsidP="00FC0D35">
      <w:pPr>
        <w:pStyle w:val="Heading3"/>
        <w:rPr>
          <w:szCs w:val="24"/>
        </w:rPr>
      </w:pPr>
      <w:r w:rsidRPr="000562A2">
        <w:rPr>
          <w:szCs w:val="24"/>
        </w:rPr>
        <w:t>Performance reports</w:t>
      </w:r>
    </w:p>
    <w:p w14:paraId="7802175B" w14:textId="77777777" w:rsidR="00FC0D35" w:rsidRPr="000562A2" w:rsidRDefault="00FC0D35" w:rsidP="00FC0D35">
      <w:pPr>
        <w:rPr>
          <w:szCs w:val="24"/>
        </w:rPr>
      </w:pPr>
      <w:r w:rsidRPr="000562A2">
        <w:rPr>
          <w:szCs w:val="24"/>
        </w:rPr>
        <w:t xml:space="preserve">The Commission produces a performance report following every site audit, review audit, quality audit and assessment contact (performance assessment) undertaken with residential or home services. </w:t>
      </w:r>
    </w:p>
    <w:p w14:paraId="0346E8E9" w14:textId="381B9787" w:rsidR="00FC0D35" w:rsidRPr="000562A2" w:rsidRDefault="00FC0D35" w:rsidP="00FC0D35">
      <w:pPr>
        <w:rPr>
          <w:szCs w:val="24"/>
        </w:rPr>
      </w:pPr>
      <w:r w:rsidRPr="000562A2">
        <w:rPr>
          <w:szCs w:val="24"/>
        </w:rPr>
        <w:t xml:space="preserve">The performance report details the assessment of the provider’s performance against the Quality Standards (compliance or non-compliance with the Quality Standards) in relation to a service. This report is prepared by a delegated Commission decision-maker and </w:t>
      </w:r>
      <w:proofErr w:type="gramStart"/>
      <w:r w:rsidRPr="000562A2">
        <w:rPr>
          <w:szCs w:val="24"/>
        </w:rPr>
        <w:t>takes in</w:t>
      </w:r>
      <w:r w:rsidR="008D082C" w:rsidRPr="000562A2">
        <w:rPr>
          <w:szCs w:val="24"/>
        </w:rPr>
        <w:t>to</w:t>
      </w:r>
      <w:r w:rsidRPr="000562A2">
        <w:rPr>
          <w:szCs w:val="24"/>
        </w:rPr>
        <w:t xml:space="preserve"> account</w:t>
      </w:r>
      <w:proofErr w:type="gramEnd"/>
      <w:r w:rsidRPr="000562A2">
        <w:rPr>
          <w:szCs w:val="24"/>
        </w:rPr>
        <w:t xml:space="preserve"> the findings detailed in the Assessment Team’s report, any response the provider has submitted and any other relevant information. </w:t>
      </w:r>
    </w:p>
    <w:p w14:paraId="5261E705" w14:textId="4F10582B" w:rsidR="00FC0D35" w:rsidRPr="000562A2" w:rsidRDefault="00FC0D35" w:rsidP="00FC0D35">
      <w:pPr>
        <w:rPr>
          <w:szCs w:val="24"/>
        </w:rPr>
      </w:pPr>
      <w:r w:rsidRPr="000562A2">
        <w:rPr>
          <w:szCs w:val="24"/>
        </w:rPr>
        <w:t xml:space="preserve">The Commission publishes all performance reports following site audits, review audits, quality audits and assessment contacts conducted for the purposes of assessing performance against the Quality Standards with residential and home services. </w:t>
      </w:r>
    </w:p>
    <w:p w14:paraId="10E88363" w14:textId="77777777" w:rsidR="00FC0D35" w:rsidRPr="000562A2" w:rsidRDefault="00FC0D35" w:rsidP="00FC0D35">
      <w:pPr>
        <w:rPr>
          <w:szCs w:val="24"/>
        </w:rPr>
      </w:pPr>
      <w:r w:rsidRPr="000562A2">
        <w:rPr>
          <w:szCs w:val="24"/>
        </w:rPr>
        <w:t>Performance reports are published as soon as practicable after being sent to the provider.</w:t>
      </w:r>
    </w:p>
    <w:p w14:paraId="43052BE8" w14:textId="1F5D51C3" w:rsidR="00FC0D35" w:rsidRPr="00A8649D" w:rsidRDefault="00FC0D35" w:rsidP="00FC0D35">
      <w:pPr>
        <w:rPr>
          <w:szCs w:val="24"/>
        </w:rPr>
      </w:pPr>
      <w:r w:rsidRPr="000562A2">
        <w:rPr>
          <w:szCs w:val="24"/>
        </w:rPr>
        <w:lastRenderedPageBreak/>
        <w:t xml:space="preserve">Performance reports can be accessed </w:t>
      </w:r>
      <w:r w:rsidR="00F70196" w:rsidRPr="000562A2">
        <w:rPr>
          <w:szCs w:val="24"/>
        </w:rPr>
        <w:t>by searching</w:t>
      </w:r>
      <w:r w:rsidR="00055155" w:rsidRPr="000562A2">
        <w:rPr>
          <w:szCs w:val="24"/>
        </w:rPr>
        <w:t xml:space="preserve"> for</w:t>
      </w:r>
      <w:r w:rsidR="00F70196" w:rsidRPr="000562A2">
        <w:rPr>
          <w:szCs w:val="24"/>
        </w:rPr>
        <w:t xml:space="preserve"> </w:t>
      </w:r>
      <w:r w:rsidRPr="000562A2">
        <w:rPr>
          <w:szCs w:val="24"/>
        </w:rPr>
        <w:t xml:space="preserve">the service’s dedicated </w:t>
      </w:r>
      <w:r w:rsidR="00A70E17" w:rsidRPr="000562A2">
        <w:rPr>
          <w:szCs w:val="24"/>
        </w:rPr>
        <w:t xml:space="preserve">performance information page </w:t>
      </w:r>
      <w:r w:rsidR="00F70196" w:rsidRPr="000562A2">
        <w:rPr>
          <w:szCs w:val="24"/>
        </w:rPr>
        <w:t xml:space="preserve">via the </w:t>
      </w:r>
      <w:hyperlink r:id="rId16" w:history="1">
        <w:r w:rsidR="007C454A" w:rsidRPr="00A8649D">
          <w:rPr>
            <w:rStyle w:val="Hyperlink"/>
            <w:szCs w:val="24"/>
          </w:rPr>
          <w:t>Find a report</w:t>
        </w:r>
      </w:hyperlink>
      <w:r w:rsidR="0096623A" w:rsidRPr="00A8649D">
        <w:rPr>
          <w:rStyle w:val="FootnoteReference"/>
          <w:szCs w:val="24"/>
        </w:rPr>
        <w:footnoteReference w:id="9"/>
      </w:r>
      <w:r w:rsidR="007C454A" w:rsidRPr="00A8649D">
        <w:rPr>
          <w:szCs w:val="24"/>
        </w:rPr>
        <w:t xml:space="preserve"> function on the Commission website</w:t>
      </w:r>
      <w:r w:rsidRPr="00A8649D">
        <w:rPr>
          <w:szCs w:val="24"/>
        </w:rPr>
        <w:t>.</w:t>
      </w:r>
    </w:p>
    <w:p w14:paraId="38722CF0" w14:textId="77777777" w:rsidR="00FC0D35" w:rsidRPr="00A8649D" w:rsidRDefault="00FC0D35" w:rsidP="00FC0D35">
      <w:pPr>
        <w:pStyle w:val="Heading3"/>
        <w:rPr>
          <w:szCs w:val="24"/>
        </w:rPr>
      </w:pPr>
      <w:r w:rsidRPr="00A8649D">
        <w:rPr>
          <w:szCs w:val="24"/>
        </w:rPr>
        <w:t>Accreditation and re-accreditation decisions</w:t>
      </w:r>
    </w:p>
    <w:p w14:paraId="0F32BBDF" w14:textId="3CB9D65F" w:rsidR="00FC0D35" w:rsidRPr="00A8649D" w:rsidRDefault="00FC0D35" w:rsidP="00FC0D35">
      <w:pPr>
        <w:rPr>
          <w:szCs w:val="24"/>
        </w:rPr>
      </w:pPr>
      <w:r w:rsidRPr="00C85B6E">
        <w:rPr>
          <w:szCs w:val="24"/>
        </w:rPr>
        <w:t>Sections 48 and 80 of the</w:t>
      </w:r>
      <w:r w:rsidR="00AD0EE4" w:rsidRPr="000562A2">
        <w:rPr>
          <w:szCs w:val="24"/>
        </w:rPr>
        <w:t xml:space="preserve"> Commission</w:t>
      </w:r>
      <w:r w:rsidRPr="00A8649D">
        <w:rPr>
          <w:szCs w:val="24"/>
        </w:rPr>
        <w:t xml:space="preserve"> Rules require the Commission to publish decisions relating to the accreditation and re-accreditation of residential services. These decisions and the timeframes for publication are outlined in the below table.</w:t>
      </w:r>
    </w:p>
    <w:tbl>
      <w:tblPr>
        <w:tblStyle w:val="TableGrid"/>
        <w:tblW w:w="5000" w:type="pct"/>
        <w:tblLook w:val="04A0" w:firstRow="1" w:lastRow="0" w:firstColumn="1" w:lastColumn="0" w:noHBand="0" w:noVBand="1"/>
      </w:tblPr>
      <w:tblGrid>
        <w:gridCol w:w="5808"/>
        <w:gridCol w:w="3820"/>
      </w:tblGrid>
      <w:tr w:rsidR="00FC0D35" w:rsidRPr="00AD0EE4" w14:paraId="2FD9F64E" w14:textId="77777777" w:rsidTr="000562A2">
        <w:trPr>
          <w:tblHeader/>
        </w:trPr>
        <w:tc>
          <w:tcPr>
            <w:tcW w:w="3016" w:type="pct"/>
            <w:tcBorders>
              <w:top w:val="single" w:sz="4" w:space="0" w:color="auto"/>
              <w:left w:val="single" w:sz="4" w:space="0" w:color="auto"/>
              <w:bottom w:val="single" w:sz="4" w:space="0" w:color="auto"/>
              <w:right w:val="single" w:sz="4" w:space="0" w:color="auto"/>
            </w:tcBorders>
            <w:shd w:val="clear" w:color="auto" w:fill="005978"/>
            <w:hideMark/>
          </w:tcPr>
          <w:p w14:paraId="285E14D5" w14:textId="77777777" w:rsidR="00FC0D35" w:rsidRPr="000562A2" w:rsidRDefault="00FC0D35">
            <w:pPr>
              <w:rPr>
                <w:b/>
                <w:color w:val="FFFFFF" w:themeColor="background1"/>
                <w:sz w:val="26"/>
                <w:szCs w:val="26"/>
              </w:rPr>
            </w:pPr>
            <w:r w:rsidRPr="000562A2">
              <w:rPr>
                <w:b/>
                <w:color w:val="FFFFFF" w:themeColor="background1"/>
                <w:sz w:val="26"/>
                <w:szCs w:val="26"/>
              </w:rPr>
              <w:t>Decision</w:t>
            </w:r>
          </w:p>
        </w:tc>
        <w:tc>
          <w:tcPr>
            <w:tcW w:w="1984" w:type="pct"/>
            <w:tcBorders>
              <w:top w:val="single" w:sz="4" w:space="0" w:color="auto"/>
              <w:left w:val="single" w:sz="4" w:space="0" w:color="auto"/>
              <w:bottom w:val="single" w:sz="4" w:space="0" w:color="auto"/>
              <w:right w:val="single" w:sz="4" w:space="0" w:color="auto"/>
            </w:tcBorders>
            <w:shd w:val="clear" w:color="auto" w:fill="005978"/>
            <w:hideMark/>
          </w:tcPr>
          <w:p w14:paraId="3C51F969" w14:textId="77777777" w:rsidR="00FC0D35" w:rsidRPr="000562A2" w:rsidRDefault="00FC0D35">
            <w:pPr>
              <w:rPr>
                <w:b/>
                <w:color w:val="FFFFFF" w:themeColor="background1"/>
                <w:sz w:val="26"/>
                <w:szCs w:val="26"/>
              </w:rPr>
            </w:pPr>
            <w:r w:rsidRPr="000562A2">
              <w:rPr>
                <w:b/>
                <w:color w:val="FFFFFF" w:themeColor="background1"/>
                <w:sz w:val="26"/>
                <w:szCs w:val="26"/>
              </w:rPr>
              <w:t>Timeframe for publication</w:t>
            </w:r>
          </w:p>
        </w:tc>
      </w:tr>
      <w:tr w:rsidR="00FC0D35" w:rsidRPr="00AD0EE4" w14:paraId="6D71DA8E" w14:textId="77777777" w:rsidTr="00FC0D35">
        <w:tc>
          <w:tcPr>
            <w:tcW w:w="3016" w:type="pct"/>
            <w:tcBorders>
              <w:top w:val="single" w:sz="4" w:space="0" w:color="auto"/>
              <w:left w:val="single" w:sz="4" w:space="0" w:color="auto"/>
              <w:bottom w:val="single" w:sz="4" w:space="0" w:color="auto"/>
              <w:right w:val="single" w:sz="4" w:space="0" w:color="auto"/>
            </w:tcBorders>
            <w:hideMark/>
          </w:tcPr>
          <w:p w14:paraId="57CADAE9" w14:textId="5EBA46A3" w:rsidR="00FC0D35" w:rsidRPr="00A8649D" w:rsidRDefault="00FC0D35">
            <w:pPr>
              <w:rPr>
                <w:szCs w:val="24"/>
              </w:rPr>
            </w:pPr>
            <w:r w:rsidRPr="00A8649D">
              <w:rPr>
                <w:szCs w:val="24"/>
              </w:rPr>
              <w:t xml:space="preserve">To accredit a commencing service or re-accredit a recommencing service made under section 29 of the </w:t>
            </w:r>
            <w:r w:rsidR="00F32B44" w:rsidRPr="000562A2">
              <w:rPr>
                <w:szCs w:val="24"/>
              </w:rPr>
              <w:t xml:space="preserve">Commission </w:t>
            </w:r>
            <w:r w:rsidRPr="00A8649D">
              <w:rPr>
                <w:szCs w:val="24"/>
              </w:rPr>
              <w:t>Rules</w:t>
            </w:r>
          </w:p>
        </w:tc>
        <w:tc>
          <w:tcPr>
            <w:tcW w:w="1984" w:type="pct"/>
            <w:tcBorders>
              <w:top w:val="single" w:sz="4" w:space="0" w:color="auto"/>
              <w:left w:val="single" w:sz="4" w:space="0" w:color="auto"/>
              <w:bottom w:val="single" w:sz="4" w:space="0" w:color="auto"/>
              <w:right w:val="single" w:sz="4" w:space="0" w:color="auto"/>
            </w:tcBorders>
            <w:hideMark/>
          </w:tcPr>
          <w:p w14:paraId="1C3D0EEA" w14:textId="77777777" w:rsidR="00FC0D35" w:rsidRPr="000562A2" w:rsidRDefault="00FC0D35">
            <w:pPr>
              <w:rPr>
                <w:szCs w:val="24"/>
              </w:rPr>
            </w:pPr>
            <w:r w:rsidRPr="00C85B6E">
              <w:rPr>
                <w:szCs w:val="24"/>
              </w:rPr>
              <w:t>As soon as practicable after decision is made</w:t>
            </w:r>
          </w:p>
        </w:tc>
      </w:tr>
      <w:tr w:rsidR="00AD0EE4" w:rsidRPr="00AD0EE4" w14:paraId="79703910" w14:textId="77777777" w:rsidTr="009A36BF">
        <w:trPr>
          <w:trHeight w:val="1030"/>
        </w:trPr>
        <w:tc>
          <w:tcPr>
            <w:tcW w:w="3016" w:type="pct"/>
            <w:tcBorders>
              <w:top w:val="single" w:sz="4" w:space="0" w:color="auto"/>
              <w:left w:val="single" w:sz="4" w:space="0" w:color="auto"/>
              <w:bottom w:val="single" w:sz="4" w:space="0" w:color="auto"/>
              <w:right w:val="single" w:sz="4" w:space="0" w:color="auto"/>
            </w:tcBorders>
            <w:hideMark/>
          </w:tcPr>
          <w:p w14:paraId="43DA7897" w14:textId="071B1CDA" w:rsidR="00AD0EE4" w:rsidRPr="00A8649D" w:rsidRDefault="00AD0EE4">
            <w:pPr>
              <w:pStyle w:val="ListBullet"/>
              <w:numPr>
                <w:ilvl w:val="0"/>
                <w:numId w:val="0"/>
              </w:numPr>
              <w:tabs>
                <w:tab w:val="left" w:pos="720"/>
              </w:tabs>
              <w:rPr>
                <w:szCs w:val="24"/>
              </w:rPr>
            </w:pPr>
            <w:r w:rsidRPr="00A8649D">
              <w:rPr>
                <w:szCs w:val="24"/>
              </w:rPr>
              <w:t xml:space="preserve">Not to accredit a commencing service or not to re-accredit a recommencing service made under section 29 of the </w:t>
            </w:r>
            <w:r w:rsidR="00F32B44" w:rsidRPr="000562A2">
              <w:rPr>
                <w:szCs w:val="24"/>
              </w:rPr>
              <w:t xml:space="preserve">Commission </w:t>
            </w:r>
            <w:r w:rsidRPr="00A8649D">
              <w:rPr>
                <w:szCs w:val="24"/>
              </w:rPr>
              <w:t>Rules.</w:t>
            </w:r>
          </w:p>
          <w:p w14:paraId="3197B5E1" w14:textId="2A81DE5A" w:rsidR="00AD0EE4" w:rsidRPr="000562A2" w:rsidRDefault="00AD0EE4">
            <w:pPr>
              <w:pStyle w:val="ListBullet"/>
              <w:numPr>
                <w:ilvl w:val="0"/>
                <w:numId w:val="0"/>
              </w:numPr>
              <w:tabs>
                <w:tab w:val="left" w:pos="720"/>
              </w:tabs>
              <w:rPr>
                <w:szCs w:val="24"/>
              </w:rPr>
            </w:pPr>
          </w:p>
        </w:tc>
        <w:tc>
          <w:tcPr>
            <w:tcW w:w="1984" w:type="pct"/>
            <w:vMerge w:val="restart"/>
            <w:tcBorders>
              <w:top w:val="single" w:sz="4" w:space="0" w:color="auto"/>
              <w:left w:val="single" w:sz="4" w:space="0" w:color="auto"/>
              <w:right w:val="single" w:sz="4" w:space="0" w:color="auto"/>
            </w:tcBorders>
            <w:hideMark/>
          </w:tcPr>
          <w:p w14:paraId="24294D69" w14:textId="77777777" w:rsidR="00AD0EE4" w:rsidRPr="000562A2" w:rsidRDefault="00AD0EE4">
            <w:pPr>
              <w:rPr>
                <w:i/>
                <w:szCs w:val="24"/>
              </w:rPr>
            </w:pPr>
            <w:r w:rsidRPr="000562A2">
              <w:rPr>
                <w:i/>
                <w:szCs w:val="24"/>
              </w:rPr>
              <w:t>If no reconsideration application received:</w:t>
            </w:r>
          </w:p>
          <w:p w14:paraId="5F8B725C" w14:textId="77777777" w:rsidR="00AD0EE4" w:rsidRPr="000562A2" w:rsidRDefault="00AD0EE4">
            <w:pPr>
              <w:rPr>
                <w:szCs w:val="24"/>
              </w:rPr>
            </w:pPr>
            <w:r w:rsidRPr="000562A2">
              <w:rPr>
                <w:szCs w:val="24"/>
              </w:rPr>
              <w:t>Within 28 days after the end of the reconsideration period</w:t>
            </w:r>
          </w:p>
          <w:p w14:paraId="03AF1CA0" w14:textId="77777777" w:rsidR="00AD0EE4" w:rsidRPr="000562A2" w:rsidRDefault="00AD0EE4">
            <w:pPr>
              <w:rPr>
                <w:i/>
                <w:szCs w:val="24"/>
              </w:rPr>
            </w:pPr>
            <w:r w:rsidRPr="000562A2">
              <w:rPr>
                <w:i/>
                <w:szCs w:val="24"/>
              </w:rPr>
              <w:t>If reconsideration application received:</w:t>
            </w:r>
          </w:p>
          <w:p w14:paraId="6FE9DA7F" w14:textId="77777777" w:rsidR="00AD0EE4" w:rsidRPr="000562A2" w:rsidRDefault="00AD0EE4">
            <w:pPr>
              <w:rPr>
                <w:szCs w:val="24"/>
              </w:rPr>
            </w:pPr>
            <w:r w:rsidRPr="000562A2">
              <w:rPr>
                <w:szCs w:val="24"/>
              </w:rPr>
              <w:t>Within 28 days after the reconsideration decision is made</w:t>
            </w:r>
          </w:p>
        </w:tc>
      </w:tr>
      <w:tr w:rsidR="00AD0EE4" w:rsidRPr="00AD0EE4" w14:paraId="06A43934" w14:textId="77777777" w:rsidTr="009A36BF">
        <w:trPr>
          <w:trHeight w:val="1030"/>
        </w:trPr>
        <w:tc>
          <w:tcPr>
            <w:tcW w:w="3016" w:type="pct"/>
            <w:tcBorders>
              <w:top w:val="single" w:sz="4" w:space="0" w:color="auto"/>
              <w:left w:val="single" w:sz="4" w:space="0" w:color="auto"/>
              <w:bottom w:val="single" w:sz="4" w:space="0" w:color="auto"/>
              <w:right w:val="single" w:sz="4" w:space="0" w:color="auto"/>
            </w:tcBorders>
          </w:tcPr>
          <w:p w14:paraId="610EEE96" w14:textId="76406179" w:rsidR="00AD0EE4" w:rsidRPr="00A8649D" w:rsidRDefault="00AD0EE4">
            <w:pPr>
              <w:pStyle w:val="ListBullet"/>
              <w:numPr>
                <w:ilvl w:val="0"/>
                <w:numId w:val="0"/>
              </w:numPr>
              <w:tabs>
                <w:tab w:val="left" w:pos="720"/>
              </w:tabs>
              <w:rPr>
                <w:szCs w:val="24"/>
              </w:rPr>
            </w:pPr>
            <w:r w:rsidRPr="00A8649D">
              <w:rPr>
                <w:szCs w:val="24"/>
              </w:rPr>
              <w:t xml:space="preserve">To re-accredit a residential service for a further period made under section 41 of the </w:t>
            </w:r>
            <w:r w:rsidR="00F32B44" w:rsidRPr="000562A2">
              <w:rPr>
                <w:szCs w:val="24"/>
              </w:rPr>
              <w:t xml:space="preserve">Commission </w:t>
            </w:r>
            <w:r w:rsidRPr="00A8649D">
              <w:rPr>
                <w:szCs w:val="24"/>
              </w:rPr>
              <w:t>Rules.</w:t>
            </w:r>
          </w:p>
        </w:tc>
        <w:tc>
          <w:tcPr>
            <w:tcW w:w="1984" w:type="pct"/>
            <w:vMerge/>
            <w:tcBorders>
              <w:left w:val="single" w:sz="4" w:space="0" w:color="auto"/>
              <w:right w:val="single" w:sz="4" w:space="0" w:color="auto"/>
            </w:tcBorders>
          </w:tcPr>
          <w:p w14:paraId="14E3EA67" w14:textId="77777777" w:rsidR="00AD0EE4" w:rsidRPr="000562A2" w:rsidRDefault="00AD0EE4">
            <w:pPr>
              <w:rPr>
                <w:i/>
                <w:szCs w:val="24"/>
              </w:rPr>
            </w:pPr>
          </w:p>
        </w:tc>
      </w:tr>
      <w:tr w:rsidR="00AD0EE4" w:rsidRPr="00AD0EE4" w14:paraId="56BCC305" w14:textId="77777777" w:rsidTr="009A36BF">
        <w:trPr>
          <w:trHeight w:val="1030"/>
        </w:trPr>
        <w:tc>
          <w:tcPr>
            <w:tcW w:w="3016" w:type="pct"/>
            <w:tcBorders>
              <w:top w:val="single" w:sz="4" w:space="0" w:color="auto"/>
              <w:left w:val="single" w:sz="4" w:space="0" w:color="auto"/>
              <w:bottom w:val="single" w:sz="4" w:space="0" w:color="auto"/>
              <w:right w:val="single" w:sz="4" w:space="0" w:color="auto"/>
            </w:tcBorders>
          </w:tcPr>
          <w:p w14:paraId="653333D0" w14:textId="2C72B5A0" w:rsidR="00AD0EE4" w:rsidRPr="00A8649D" w:rsidRDefault="00AD0EE4">
            <w:pPr>
              <w:pStyle w:val="ListBullet"/>
              <w:numPr>
                <w:ilvl w:val="0"/>
                <w:numId w:val="0"/>
              </w:numPr>
              <w:tabs>
                <w:tab w:val="left" w:pos="720"/>
              </w:tabs>
              <w:rPr>
                <w:szCs w:val="24"/>
              </w:rPr>
            </w:pPr>
            <w:r w:rsidRPr="00A8649D">
              <w:rPr>
                <w:szCs w:val="24"/>
              </w:rPr>
              <w:t xml:space="preserve">Not to re-accredit a residential service made under section 41 of the </w:t>
            </w:r>
            <w:r w:rsidR="00F32B44" w:rsidRPr="000562A2">
              <w:rPr>
                <w:szCs w:val="24"/>
              </w:rPr>
              <w:t xml:space="preserve">Commission </w:t>
            </w:r>
            <w:r w:rsidRPr="00A8649D">
              <w:rPr>
                <w:szCs w:val="24"/>
              </w:rPr>
              <w:t>Rules.</w:t>
            </w:r>
          </w:p>
        </w:tc>
        <w:tc>
          <w:tcPr>
            <w:tcW w:w="1984" w:type="pct"/>
            <w:vMerge/>
            <w:tcBorders>
              <w:left w:val="single" w:sz="4" w:space="0" w:color="auto"/>
              <w:right w:val="single" w:sz="4" w:space="0" w:color="auto"/>
            </w:tcBorders>
          </w:tcPr>
          <w:p w14:paraId="7857AE0B" w14:textId="77777777" w:rsidR="00AD0EE4" w:rsidRPr="000562A2" w:rsidRDefault="00AD0EE4">
            <w:pPr>
              <w:rPr>
                <w:i/>
                <w:szCs w:val="24"/>
              </w:rPr>
            </w:pPr>
          </w:p>
        </w:tc>
      </w:tr>
      <w:tr w:rsidR="00AD0EE4" w:rsidRPr="00AD0EE4" w14:paraId="100B865C" w14:textId="77777777" w:rsidTr="009A36BF">
        <w:trPr>
          <w:trHeight w:val="1030"/>
        </w:trPr>
        <w:tc>
          <w:tcPr>
            <w:tcW w:w="3016" w:type="pct"/>
            <w:tcBorders>
              <w:top w:val="single" w:sz="4" w:space="0" w:color="auto"/>
              <w:left w:val="single" w:sz="4" w:space="0" w:color="auto"/>
              <w:bottom w:val="single" w:sz="4" w:space="0" w:color="auto"/>
              <w:right w:val="single" w:sz="4" w:space="0" w:color="auto"/>
            </w:tcBorders>
          </w:tcPr>
          <w:p w14:paraId="22928DBB" w14:textId="7089D51C" w:rsidR="00AD0EE4" w:rsidRPr="00A8649D" w:rsidRDefault="00AD0EE4">
            <w:pPr>
              <w:pStyle w:val="ListBullet"/>
              <w:numPr>
                <w:ilvl w:val="0"/>
                <w:numId w:val="0"/>
              </w:numPr>
              <w:tabs>
                <w:tab w:val="left" w:pos="720"/>
              </w:tabs>
              <w:rPr>
                <w:szCs w:val="24"/>
              </w:rPr>
            </w:pPr>
            <w:r w:rsidRPr="00A8649D">
              <w:rPr>
                <w:szCs w:val="24"/>
              </w:rPr>
              <w:t>To revoke accreditation of an accredited service made under section 44 or 77 of the</w:t>
            </w:r>
            <w:r w:rsidR="00F32B44" w:rsidRPr="000562A2">
              <w:rPr>
                <w:szCs w:val="24"/>
              </w:rPr>
              <w:t xml:space="preserve"> Commission</w:t>
            </w:r>
            <w:r w:rsidRPr="00A8649D">
              <w:rPr>
                <w:szCs w:val="24"/>
              </w:rPr>
              <w:t xml:space="preserve"> Rules.</w:t>
            </w:r>
          </w:p>
        </w:tc>
        <w:tc>
          <w:tcPr>
            <w:tcW w:w="1984" w:type="pct"/>
            <w:vMerge/>
            <w:tcBorders>
              <w:left w:val="single" w:sz="4" w:space="0" w:color="auto"/>
              <w:right w:val="single" w:sz="4" w:space="0" w:color="auto"/>
            </w:tcBorders>
          </w:tcPr>
          <w:p w14:paraId="6B53FC86" w14:textId="77777777" w:rsidR="00AD0EE4" w:rsidRPr="000562A2" w:rsidRDefault="00AD0EE4">
            <w:pPr>
              <w:rPr>
                <w:i/>
                <w:szCs w:val="24"/>
              </w:rPr>
            </w:pPr>
          </w:p>
        </w:tc>
      </w:tr>
      <w:tr w:rsidR="00AD0EE4" w:rsidRPr="00AD0EE4" w14:paraId="4D1D7220" w14:textId="77777777" w:rsidTr="009A36BF">
        <w:trPr>
          <w:trHeight w:val="1030"/>
        </w:trPr>
        <w:tc>
          <w:tcPr>
            <w:tcW w:w="3016" w:type="pct"/>
            <w:tcBorders>
              <w:top w:val="single" w:sz="4" w:space="0" w:color="auto"/>
              <w:left w:val="single" w:sz="4" w:space="0" w:color="auto"/>
              <w:bottom w:val="single" w:sz="4" w:space="0" w:color="auto"/>
              <w:right w:val="single" w:sz="4" w:space="0" w:color="auto"/>
            </w:tcBorders>
          </w:tcPr>
          <w:p w14:paraId="252E3DA2" w14:textId="5681666E" w:rsidR="00AD0EE4" w:rsidRPr="00A8649D" w:rsidRDefault="00AD0EE4">
            <w:pPr>
              <w:pStyle w:val="ListBullet"/>
              <w:numPr>
                <w:ilvl w:val="0"/>
                <w:numId w:val="0"/>
              </w:numPr>
              <w:tabs>
                <w:tab w:val="left" w:pos="720"/>
              </w:tabs>
              <w:rPr>
                <w:szCs w:val="24"/>
              </w:rPr>
            </w:pPr>
            <w:r w:rsidRPr="00A8649D">
              <w:rPr>
                <w:szCs w:val="24"/>
              </w:rPr>
              <w:t>To vary an accredited service’s period of accreditation made under section 77 of the</w:t>
            </w:r>
            <w:r w:rsidR="00F32B44" w:rsidRPr="000562A2">
              <w:rPr>
                <w:szCs w:val="24"/>
              </w:rPr>
              <w:t xml:space="preserve"> Commission</w:t>
            </w:r>
            <w:r w:rsidRPr="00A8649D">
              <w:rPr>
                <w:szCs w:val="24"/>
              </w:rPr>
              <w:t xml:space="preserve"> Rules.</w:t>
            </w:r>
          </w:p>
        </w:tc>
        <w:tc>
          <w:tcPr>
            <w:tcW w:w="1984" w:type="pct"/>
            <w:vMerge/>
            <w:tcBorders>
              <w:left w:val="single" w:sz="4" w:space="0" w:color="auto"/>
              <w:right w:val="single" w:sz="4" w:space="0" w:color="auto"/>
            </w:tcBorders>
          </w:tcPr>
          <w:p w14:paraId="79FF2AE4" w14:textId="77777777" w:rsidR="00AD0EE4" w:rsidRPr="000562A2" w:rsidRDefault="00AD0EE4">
            <w:pPr>
              <w:rPr>
                <w:i/>
                <w:szCs w:val="24"/>
              </w:rPr>
            </w:pPr>
          </w:p>
        </w:tc>
      </w:tr>
      <w:tr w:rsidR="00AD0EE4" w:rsidRPr="00AD0EE4" w14:paraId="61125495" w14:textId="77777777" w:rsidTr="009A36BF">
        <w:trPr>
          <w:trHeight w:val="1030"/>
        </w:trPr>
        <w:tc>
          <w:tcPr>
            <w:tcW w:w="3016" w:type="pct"/>
            <w:tcBorders>
              <w:top w:val="single" w:sz="4" w:space="0" w:color="auto"/>
              <w:left w:val="single" w:sz="4" w:space="0" w:color="auto"/>
              <w:bottom w:val="single" w:sz="4" w:space="0" w:color="auto"/>
              <w:right w:val="single" w:sz="4" w:space="0" w:color="auto"/>
            </w:tcBorders>
          </w:tcPr>
          <w:p w14:paraId="7DB014DB" w14:textId="60E564E1" w:rsidR="00AD0EE4" w:rsidRPr="00A8649D" w:rsidRDefault="00AD0EE4">
            <w:pPr>
              <w:pStyle w:val="ListBullet"/>
              <w:numPr>
                <w:ilvl w:val="0"/>
                <w:numId w:val="0"/>
              </w:numPr>
              <w:tabs>
                <w:tab w:val="left" w:pos="720"/>
              </w:tabs>
              <w:rPr>
                <w:szCs w:val="24"/>
              </w:rPr>
            </w:pPr>
            <w:r w:rsidRPr="00A8649D">
              <w:rPr>
                <w:szCs w:val="24"/>
              </w:rPr>
              <w:t xml:space="preserve">Not to vary an accredited service’s period of accreditation made under section 77 of the </w:t>
            </w:r>
            <w:r w:rsidR="00F32B44" w:rsidRPr="000562A2">
              <w:rPr>
                <w:szCs w:val="24"/>
              </w:rPr>
              <w:t xml:space="preserve">Commission </w:t>
            </w:r>
            <w:r w:rsidRPr="00A8649D">
              <w:rPr>
                <w:szCs w:val="24"/>
              </w:rPr>
              <w:t>Rules</w:t>
            </w:r>
            <w:r w:rsidR="00F32B44" w:rsidRPr="000562A2">
              <w:rPr>
                <w:szCs w:val="24"/>
              </w:rPr>
              <w:t xml:space="preserve">. </w:t>
            </w:r>
          </w:p>
        </w:tc>
        <w:tc>
          <w:tcPr>
            <w:tcW w:w="1984" w:type="pct"/>
            <w:vMerge/>
            <w:tcBorders>
              <w:left w:val="single" w:sz="4" w:space="0" w:color="auto"/>
              <w:bottom w:val="single" w:sz="4" w:space="0" w:color="auto"/>
              <w:right w:val="single" w:sz="4" w:space="0" w:color="auto"/>
            </w:tcBorders>
          </w:tcPr>
          <w:p w14:paraId="671D1097" w14:textId="77777777" w:rsidR="00AD0EE4" w:rsidRPr="000562A2" w:rsidRDefault="00AD0EE4">
            <w:pPr>
              <w:rPr>
                <w:i/>
                <w:szCs w:val="24"/>
              </w:rPr>
            </w:pPr>
          </w:p>
        </w:tc>
      </w:tr>
    </w:tbl>
    <w:p w14:paraId="614A0FA0" w14:textId="26C8A444" w:rsidR="00FC0D35" w:rsidRPr="00A8649D" w:rsidRDefault="00FC0D35" w:rsidP="00FC0D35">
      <w:pPr>
        <w:rPr>
          <w:szCs w:val="24"/>
        </w:rPr>
      </w:pPr>
      <w:r w:rsidRPr="00A8649D">
        <w:rPr>
          <w:szCs w:val="24"/>
        </w:rPr>
        <w:t xml:space="preserve">Decisions related to accreditation and re-accreditation of residential services can be accessed </w:t>
      </w:r>
      <w:r w:rsidR="00451145" w:rsidRPr="00A8649D">
        <w:rPr>
          <w:szCs w:val="24"/>
        </w:rPr>
        <w:t xml:space="preserve">by searching for </w:t>
      </w:r>
      <w:r w:rsidRPr="00A8649D">
        <w:rPr>
          <w:szCs w:val="24"/>
        </w:rPr>
        <w:t xml:space="preserve">the service’s dedicated </w:t>
      </w:r>
      <w:r w:rsidR="009C2234" w:rsidRPr="00C85B6E">
        <w:rPr>
          <w:szCs w:val="24"/>
        </w:rPr>
        <w:t>performance information page</w:t>
      </w:r>
      <w:r w:rsidR="00451145" w:rsidRPr="00C85B6E">
        <w:rPr>
          <w:szCs w:val="24"/>
        </w:rPr>
        <w:t xml:space="preserve"> via the </w:t>
      </w:r>
      <w:hyperlink r:id="rId17" w:history="1">
        <w:r w:rsidR="00451145" w:rsidRPr="00A8649D">
          <w:rPr>
            <w:rStyle w:val="Hyperlink"/>
            <w:szCs w:val="24"/>
          </w:rPr>
          <w:t>Find a report</w:t>
        </w:r>
      </w:hyperlink>
      <w:r w:rsidR="00451145" w:rsidRPr="00A8649D">
        <w:rPr>
          <w:rStyle w:val="FootnoteReference"/>
          <w:szCs w:val="24"/>
        </w:rPr>
        <w:footnoteReference w:id="10"/>
      </w:r>
      <w:r w:rsidR="00451145" w:rsidRPr="00A8649D">
        <w:rPr>
          <w:szCs w:val="24"/>
        </w:rPr>
        <w:t xml:space="preserve"> function on the Commission website</w:t>
      </w:r>
      <w:r w:rsidRPr="00A8649D">
        <w:rPr>
          <w:szCs w:val="24"/>
        </w:rPr>
        <w:t>.</w:t>
      </w:r>
    </w:p>
    <w:p w14:paraId="71464DDB" w14:textId="77777777" w:rsidR="00FC0D35" w:rsidRPr="00A8649D" w:rsidRDefault="00FC0D35" w:rsidP="00FC0D35">
      <w:pPr>
        <w:pStyle w:val="Heading3"/>
        <w:rPr>
          <w:szCs w:val="24"/>
        </w:rPr>
      </w:pPr>
      <w:r w:rsidRPr="00A8649D">
        <w:rPr>
          <w:szCs w:val="24"/>
        </w:rPr>
        <w:lastRenderedPageBreak/>
        <w:t>Reconsideration decisions</w:t>
      </w:r>
    </w:p>
    <w:p w14:paraId="3125B781" w14:textId="5F94568F" w:rsidR="00FC0D35" w:rsidRPr="00A8649D" w:rsidRDefault="00FC0D35" w:rsidP="00FC0D35">
      <w:pPr>
        <w:rPr>
          <w:szCs w:val="24"/>
        </w:rPr>
      </w:pPr>
      <w:r w:rsidRPr="00C85B6E">
        <w:rPr>
          <w:szCs w:val="24"/>
        </w:rPr>
        <w:t>Providers may request reconsideration of certain decisions made by the Commission</w:t>
      </w:r>
      <w:r w:rsidR="004A31B9" w:rsidRPr="000562A2">
        <w:rPr>
          <w:szCs w:val="24"/>
        </w:rPr>
        <w:t>er</w:t>
      </w:r>
      <w:r w:rsidRPr="00A8649D">
        <w:rPr>
          <w:szCs w:val="24"/>
        </w:rPr>
        <w:t>. Section 104 of the</w:t>
      </w:r>
      <w:r w:rsidR="00E41934" w:rsidRPr="000562A2">
        <w:rPr>
          <w:szCs w:val="24"/>
        </w:rPr>
        <w:t xml:space="preserve"> Commission</w:t>
      </w:r>
      <w:r w:rsidRPr="00A8649D">
        <w:rPr>
          <w:szCs w:val="24"/>
        </w:rPr>
        <w:t xml:space="preserve"> Rules requires </w:t>
      </w:r>
      <w:r w:rsidR="004A31B9" w:rsidRPr="000562A2">
        <w:rPr>
          <w:szCs w:val="24"/>
        </w:rPr>
        <w:t>a</w:t>
      </w:r>
      <w:r w:rsidRPr="00A8649D">
        <w:rPr>
          <w:szCs w:val="24"/>
        </w:rPr>
        <w:t xml:space="preserve"> reconsideration decision </w:t>
      </w:r>
      <w:r w:rsidR="004A31B9" w:rsidRPr="000562A2">
        <w:rPr>
          <w:szCs w:val="24"/>
        </w:rPr>
        <w:t>that is a</w:t>
      </w:r>
      <w:r w:rsidRPr="00A8649D">
        <w:rPr>
          <w:szCs w:val="24"/>
        </w:rPr>
        <w:t xml:space="preserve"> regulatory reviewable decision</w:t>
      </w:r>
      <w:r w:rsidR="004A31B9" w:rsidRPr="000562A2">
        <w:rPr>
          <w:szCs w:val="24"/>
        </w:rPr>
        <w:t xml:space="preserve"> under the Commission Rules to be published by the Commissioner on the Commission’s website. </w:t>
      </w:r>
    </w:p>
    <w:p w14:paraId="0EFDADE7" w14:textId="77777777" w:rsidR="00FC0D35" w:rsidRPr="00C85B6E" w:rsidRDefault="00FC0D35" w:rsidP="00FC0D35">
      <w:pPr>
        <w:rPr>
          <w:szCs w:val="24"/>
        </w:rPr>
      </w:pPr>
      <w:r w:rsidRPr="00C85B6E">
        <w:rPr>
          <w:b/>
          <w:szCs w:val="24"/>
        </w:rPr>
        <w:t>Regulatory reviewable decisions</w:t>
      </w:r>
      <w:r w:rsidRPr="00C85B6E">
        <w:rPr>
          <w:szCs w:val="24"/>
        </w:rPr>
        <w:t xml:space="preserve"> open to reconsideration are:</w:t>
      </w:r>
    </w:p>
    <w:p w14:paraId="350528D2" w14:textId="019E2C6C" w:rsidR="00FC0D35" w:rsidRPr="00A8649D" w:rsidRDefault="00FC0D35" w:rsidP="00743FBB">
      <w:pPr>
        <w:pStyle w:val="ListBullet"/>
        <w:tabs>
          <w:tab w:val="left" w:pos="720"/>
        </w:tabs>
        <w:spacing w:before="120"/>
        <w:ind w:left="714" w:hanging="357"/>
        <w:rPr>
          <w:szCs w:val="24"/>
        </w:rPr>
      </w:pPr>
      <w:r w:rsidRPr="000562A2">
        <w:rPr>
          <w:szCs w:val="24"/>
        </w:rPr>
        <w:t xml:space="preserve">a decision not to accredit a commencing service or not to re-accredit a recommencing service made under </w:t>
      </w:r>
      <w:r w:rsidRPr="000562A2">
        <w:rPr>
          <w:b/>
          <w:szCs w:val="24"/>
        </w:rPr>
        <w:t>section 29</w:t>
      </w:r>
      <w:r w:rsidRPr="00A8649D">
        <w:rPr>
          <w:szCs w:val="24"/>
        </w:rPr>
        <w:t xml:space="preserve"> of the </w:t>
      </w:r>
      <w:r w:rsidR="00AD0EE4" w:rsidRPr="00A8649D">
        <w:rPr>
          <w:szCs w:val="24"/>
        </w:rPr>
        <w:t xml:space="preserve">Commission </w:t>
      </w:r>
      <w:r w:rsidRPr="00A8649D">
        <w:rPr>
          <w:szCs w:val="24"/>
        </w:rPr>
        <w:t>Rules</w:t>
      </w:r>
    </w:p>
    <w:p w14:paraId="21FBD915" w14:textId="60A44268" w:rsidR="00FC0D35" w:rsidRPr="00A8649D" w:rsidRDefault="00FC0D35" w:rsidP="00743FBB">
      <w:pPr>
        <w:pStyle w:val="ListBullet"/>
        <w:tabs>
          <w:tab w:val="left" w:pos="720"/>
        </w:tabs>
        <w:spacing w:before="120"/>
        <w:ind w:left="714" w:hanging="357"/>
        <w:rPr>
          <w:szCs w:val="24"/>
        </w:rPr>
      </w:pPr>
      <w:r w:rsidRPr="00C85B6E">
        <w:rPr>
          <w:szCs w:val="24"/>
        </w:rPr>
        <w:t xml:space="preserve">a decision to re-accredit a residential service for a further period made under </w:t>
      </w:r>
      <w:r w:rsidRPr="000562A2">
        <w:rPr>
          <w:b/>
          <w:szCs w:val="24"/>
        </w:rPr>
        <w:t>section 41</w:t>
      </w:r>
      <w:r w:rsidRPr="00A8649D">
        <w:rPr>
          <w:szCs w:val="24"/>
        </w:rPr>
        <w:t xml:space="preserve"> of the</w:t>
      </w:r>
      <w:r w:rsidR="00AD0EE4" w:rsidRPr="00A8649D">
        <w:rPr>
          <w:szCs w:val="24"/>
        </w:rPr>
        <w:t xml:space="preserve"> Commission</w:t>
      </w:r>
      <w:r w:rsidRPr="00A8649D">
        <w:rPr>
          <w:szCs w:val="24"/>
        </w:rPr>
        <w:t xml:space="preserve"> Rules</w:t>
      </w:r>
    </w:p>
    <w:p w14:paraId="55C3B778" w14:textId="31F5EA55" w:rsidR="00FC0D35" w:rsidRPr="00C85B6E" w:rsidRDefault="00FC0D35" w:rsidP="00743FBB">
      <w:pPr>
        <w:pStyle w:val="ListBullet"/>
        <w:tabs>
          <w:tab w:val="left" w:pos="720"/>
        </w:tabs>
        <w:spacing w:before="120"/>
        <w:ind w:left="714" w:hanging="357"/>
        <w:rPr>
          <w:szCs w:val="24"/>
        </w:rPr>
      </w:pPr>
      <w:r w:rsidRPr="00A8649D">
        <w:rPr>
          <w:szCs w:val="24"/>
        </w:rPr>
        <w:t xml:space="preserve">a decision not to re-accredit a residential service made under </w:t>
      </w:r>
      <w:r w:rsidRPr="000562A2">
        <w:rPr>
          <w:b/>
          <w:szCs w:val="24"/>
        </w:rPr>
        <w:t>section 41</w:t>
      </w:r>
      <w:r w:rsidRPr="00A8649D">
        <w:rPr>
          <w:szCs w:val="24"/>
        </w:rPr>
        <w:t xml:space="preserve"> of the </w:t>
      </w:r>
      <w:r w:rsidR="00AD0EE4" w:rsidRPr="00C85B6E">
        <w:rPr>
          <w:szCs w:val="24"/>
        </w:rPr>
        <w:t xml:space="preserve">Commission </w:t>
      </w:r>
      <w:r w:rsidRPr="00C85B6E">
        <w:rPr>
          <w:szCs w:val="24"/>
        </w:rPr>
        <w:t>Rules</w:t>
      </w:r>
    </w:p>
    <w:p w14:paraId="50626350" w14:textId="2FDB7B27" w:rsidR="00FC0D35" w:rsidRPr="00A8649D" w:rsidRDefault="00FC0D35" w:rsidP="00743FBB">
      <w:pPr>
        <w:pStyle w:val="ListBullet"/>
        <w:tabs>
          <w:tab w:val="left" w:pos="720"/>
        </w:tabs>
        <w:spacing w:before="120"/>
        <w:ind w:left="714" w:hanging="357"/>
        <w:rPr>
          <w:szCs w:val="24"/>
        </w:rPr>
      </w:pPr>
      <w:r w:rsidRPr="00C85B6E">
        <w:rPr>
          <w:szCs w:val="24"/>
        </w:rPr>
        <w:t xml:space="preserve">a decision to revoke accreditation of an accredited service made under </w:t>
      </w:r>
      <w:r w:rsidRPr="000562A2">
        <w:rPr>
          <w:b/>
          <w:szCs w:val="24"/>
        </w:rPr>
        <w:t>section 44 or 77</w:t>
      </w:r>
      <w:r w:rsidRPr="00A8649D">
        <w:rPr>
          <w:szCs w:val="24"/>
        </w:rPr>
        <w:t xml:space="preserve"> of the </w:t>
      </w:r>
      <w:r w:rsidR="00AD0EE4" w:rsidRPr="00A8649D">
        <w:rPr>
          <w:szCs w:val="24"/>
        </w:rPr>
        <w:t xml:space="preserve">Commission </w:t>
      </w:r>
      <w:r w:rsidRPr="00A8649D">
        <w:rPr>
          <w:szCs w:val="24"/>
        </w:rPr>
        <w:t>Rules</w:t>
      </w:r>
    </w:p>
    <w:p w14:paraId="6988E367" w14:textId="77777777" w:rsidR="00FC0D35" w:rsidRPr="00A8649D" w:rsidRDefault="00FC0D35" w:rsidP="00743FBB">
      <w:pPr>
        <w:pStyle w:val="ListBullet"/>
        <w:tabs>
          <w:tab w:val="left" w:pos="720"/>
        </w:tabs>
        <w:spacing w:before="120"/>
        <w:ind w:left="714" w:hanging="357"/>
        <w:rPr>
          <w:szCs w:val="24"/>
        </w:rPr>
      </w:pPr>
      <w:r w:rsidRPr="00C85B6E">
        <w:rPr>
          <w:szCs w:val="24"/>
        </w:rPr>
        <w:t xml:space="preserve">a decision to vary an accredited service’s period of accreditation made under </w:t>
      </w:r>
      <w:r w:rsidRPr="000562A2">
        <w:rPr>
          <w:b/>
          <w:szCs w:val="24"/>
        </w:rPr>
        <w:t>section 77</w:t>
      </w:r>
      <w:r w:rsidRPr="00A8649D">
        <w:rPr>
          <w:szCs w:val="24"/>
        </w:rPr>
        <w:t xml:space="preserve"> of the Rules</w:t>
      </w:r>
    </w:p>
    <w:p w14:paraId="4388E379" w14:textId="77777777" w:rsidR="00FC0D35" w:rsidRPr="00A8649D" w:rsidRDefault="00FC0D35" w:rsidP="00743FBB">
      <w:pPr>
        <w:pStyle w:val="ListBullet"/>
        <w:tabs>
          <w:tab w:val="left" w:pos="720"/>
        </w:tabs>
        <w:spacing w:before="120"/>
        <w:ind w:left="714" w:hanging="357"/>
        <w:rPr>
          <w:szCs w:val="24"/>
        </w:rPr>
      </w:pPr>
      <w:r w:rsidRPr="00C85B6E">
        <w:rPr>
          <w:szCs w:val="24"/>
        </w:rPr>
        <w:t xml:space="preserve">a decision not to vary an accredited service’s period of accreditation made under </w:t>
      </w:r>
      <w:r w:rsidRPr="000562A2">
        <w:rPr>
          <w:b/>
          <w:szCs w:val="24"/>
        </w:rPr>
        <w:t>section 77</w:t>
      </w:r>
      <w:r w:rsidRPr="00A8649D">
        <w:rPr>
          <w:szCs w:val="24"/>
        </w:rPr>
        <w:t xml:space="preserve"> of the Rules. </w:t>
      </w:r>
    </w:p>
    <w:p w14:paraId="758B78DD" w14:textId="5D67594F" w:rsidR="00FC0D35" w:rsidRPr="00A8649D" w:rsidRDefault="00380C07" w:rsidP="00FC0D35">
      <w:pPr>
        <w:rPr>
          <w:szCs w:val="24"/>
        </w:rPr>
      </w:pPr>
      <w:r w:rsidRPr="00C85B6E">
        <w:rPr>
          <w:szCs w:val="24"/>
        </w:rPr>
        <w:t xml:space="preserve">Reconsideration of regulatory reviewable decisions must be published on the Commission website </w:t>
      </w:r>
      <w:r w:rsidRPr="000562A2">
        <w:rPr>
          <w:b/>
          <w:szCs w:val="24"/>
        </w:rPr>
        <w:t>within 28 days</w:t>
      </w:r>
      <w:r w:rsidRPr="00A8649D">
        <w:rPr>
          <w:szCs w:val="24"/>
        </w:rPr>
        <w:t xml:space="preserve"> of the decision being made. </w:t>
      </w:r>
    </w:p>
    <w:p w14:paraId="1A8DCC44" w14:textId="75CAF1B3" w:rsidR="00FC0D35" w:rsidRPr="00A8649D" w:rsidRDefault="008D082C" w:rsidP="00FC0D35">
      <w:pPr>
        <w:rPr>
          <w:szCs w:val="24"/>
        </w:rPr>
      </w:pPr>
      <w:r w:rsidRPr="000562A2">
        <w:rPr>
          <w:szCs w:val="24"/>
        </w:rPr>
        <w:t>Information about r</w:t>
      </w:r>
      <w:r w:rsidR="00FC0D35" w:rsidRPr="000562A2">
        <w:rPr>
          <w:szCs w:val="24"/>
        </w:rPr>
        <w:t xml:space="preserve">econsideration of </w:t>
      </w:r>
      <w:r w:rsidRPr="000562A2">
        <w:rPr>
          <w:szCs w:val="24"/>
        </w:rPr>
        <w:t xml:space="preserve">specific </w:t>
      </w:r>
      <w:r w:rsidR="00FC0D35" w:rsidRPr="000562A2">
        <w:rPr>
          <w:szCs w:val="24"/>
        </w:rPr>
        <w:t xml:space="preserve">regulatory reviewable decisions can be accessed </w:t>
      </w:r>
      <w:r w:rsidR="00C55AA8" w:rsidRPr="000562A2">
        <w:rPr>
          <w:szCs w:val="24"/>
        </w:rPr>
        <w:t xml:space="preserve">by searching for </w:t>
      </w:r>
      <w:r w:rsidR="00FC0D35" w:rsidRPr="000562A2">
        <w:rPr>
          <w:szCs w:val="24"/>
        </w:rPr>
        <w:t>the service’s dedicated performance information page</w:t>
      </w:r>
      <w:r w:rsidR="00C55AA8" w:rsidRPr="000562A2">
        <w:rPr>
          <w:szCs w:val="24"/>
        </w:rPr>
        <w:t xml:space="preserve"> via the </w:t>
      </w:r>
      <w:hyperlink r:id="rId18" w:history="1">
        <w:r w:rsidR="00C55AA8" w:rsidRPr="00A8649D">
          <w:rPr>
            <w:rStyle w:val="Hyperlink"/>
            <w:szCs w:val="24"/>
          </w:rPr>
          <w:t>Find a report</w:t>
        </w:r>
      </w:hyperlink>
      <w:r w:rsidR="00C55AA8" w:rsidRPr="00A8649D">
        <w:rPr>
          <w:rStyle w:val="FootnoteReference"/>
          <w:szCs w:val="24"/>
        </w:rPr>
        <w:footnoteReference w:id="11"/>
      </w:r>
      <w:r w:rsidR="00C55AA8" w:rsidRPr="00A8649D">
        <w:rPr>
          <w:szCs w:val="24"/>
        </w:rPr>
        <w:t xml:space="preserve"> function on the Commission website</w:t>
      </w:r>
      <w:r w:rsidR="00FC0D35" w:rsidRPr="00A8649D">
        <w:rPr>
          <w:szCs w:val="24"/>
        </w:rPr>
        <w:t xml:space="preserve">. Refer to the </w:t>
      </w:r>
      <w:hyperlink r:id="rId19" w:history="1">
        <w:r w:rsidR="00FC0D35" w:rsidRPr="00A8649D">
          <w:rPr>
            <w:rStyle w:val="Hyperlink"/>
            <w:szCs w:val="24"/>
          </w:rPr>
          <w:t>Commission’s Regulatory Bulletin on Reconsiderations of regulatory decisions</w:t>
        </w:r>
      </w:hyperlink>
      <w:r w:rsidR="00FC0D35" w:rsidRPr="00A8649D">
        <w:rPr>
          <w:rStyle w:val="FootnoteReference"/>
          <w:szCs w:val="24"/>
        </w:rPr>
        <w:footnoteReference w:id="12"/>
      </w:r>
      <w:r w:rsidR="00FC0D35" w:rsidRPr="00A8649D">
        <w:rPr>
          <w:szCs w:val="24"/>
        </w:rPr>
        <w:t xml:space="preserve"> for more information about these decisions.</w:t>
      </w:r>
    </w:p>
    <w:p w14:paraId="4CE219E2" w14:textId="77777777" w:rsidR="00FC0D35" w:rsidRPr="00C85B6E" w:rsidRDefault="00FC0D35" w:rsidP="00FC0D35">
      <w:pPr>
        <w:pStyle w:val="Heading3"/>
        <w:rPr>
          <w:szCs w:val="24"/>
        </w:rPr>
      </w:pPr>
      <w:r w:rsidRPr="00C85B6E">
        <w:rPr>
          <w:szCs w:val="24"/>
        </w:rPr>
        <w:t>Administrative Appeals Tribunal decisions</w:t>
      </w:r>
    </w:p>
    <w:p w14:paraId="1907C108" w14:textId="05A758E4" w:rsidR="00FC0D35" w:rsidRPr="000562A2" w:rsidRDefault="00FC0D35" w:rsidP="00FC0D35">
      <w:pPr>
        <w:rPr>
          <w:szCs w:val="24"/>
        </w:rPr>
      </w:pPr>
      <w:r w:rsidRPr="000562A2">
        <w:rPr>
          <w:szCs w:val="24"/>
        </w:rPr>
        <w:t xml:space="preserve">Where a provider is not satisfied </w:t>
      </w:r>
      <w:r w:rsidR="008D082C" w:rsidRPr="000562A2">
        <w:rPr>
          <w:szCs w:val="24"/>
        </w:rPr>
        <w:t>with</w:t>
      </w:r>
      <w:r w:rsidRPr="000562A2">
        <w:rPr>
          <w:szCs w:val="24"/>
        </w:rPr>
        <w:t xml:space="preserve"> the outcome of a reconsideration decision in relation to a regulatory reviewable decision, the provider may make an application to the Administrative Appeals Tribunal (AAT) for review of the reconsideration decision. </w:t>
      </w:r>
    </w:p>
    <w:p w14:paraId="5984FFC9" w14:textId="77777777" w:rsidR="00FC0D35" w:rsidRPr="000562A2" w:rsidRDefault="00FC0D35" w:rsidP="00FC0D35">
      <w:pPr>
        <w:rPr>
          <w:szCs w:val="24"/>
        </w:rPr>
      </w:pPr>
      <w:r w:rsidRPr="000562A2">
        <w:rPr>
          <w:szCs w:val="24"/>
        </w:rPr>
        <w:t>If an application for review of a reconsideration decision by the AAT is received, section 104 of the Rules requires the Commission to publish a notice stating the reconsideration decision is subject to review by the AAT.</w:t>
      </w:r>
    </w:p>
    <w:p w14:paraId="5E559E7B" w14:textId="7BD92D7C" w:rsidR="00FC0D35" w:rsidRPr="000562A2" w:rsidRDefault="00FC0D35" w:rsidP="00FC0D35">
      <w:pPr>
        <w:rPr>
          <w:szCs w:val="24"/>
        </w:rPr>
      </w:pPr>
      <w:r w:rsidRPr="000562A2">
        <w:rPr>
          <w:szCs w:val="24"/>
        </w:rPr>
        <w:t>Once the AAT ha</w:t>
      </w:r>
      <w:r w:rsidR="00BF551E" w:rsidRPr="000562A2">
        <w:rPr>
          <w:szCs w:val="24"/>
        </w:rPr>
        <w:t>s</w:t>
      </w:r>
      <w:r w:rsidRPr="000562A2">
        <w:rPr>
          <w:szCs w:val="24"/>
        </w:rPr>
        <w:t xml:space="preserve"> </w:t>
      </w:r>
      <w:proofErr w:type="gramStart"/>
      <w:r w:rsidRPr="000562A2">
        <w:rPr>
          <w:szCs w:val="24"/>
        </w:rPr>
        <w:t>made a decision</w:t>
      </w:r>
      <w:proofErr w:type="gramEnd"/>
      <w:r w:rsidRPr="000562A2">
        <w:rPr>
          <w:szCs w:val="24"/>
        </w:rPr>
        <w:t xml:space="preserve"> on the application for review of reconsideration decision, the Commission must also publish the AAT decision on the Commission website.</w:t>
      </w:r>
    </w:p>
    <w:p w14:paraId="15ADB412" w14:textId="69AF0070" w:rsidR="00FC0D35" w:rsidRPr="00A8649D" w:rsidRDefault="00FC0D35" w:rsidP="00FC0D35">
      <w:pPr>
        <w:rPr>
          <w:szCs w:val="24"/>
        </w:rPr>
      </w:pPr>
      <w:r w:rsidRPr="000562A2">
        <w:rPr>
          <w:szCs w:val="24"/>
        </w:rPr>
        <w:lastRenderedPageBreak/>
        <w:t xml:space="preserve">AAT decisions can be accessed </w:t>
      </w:r>
      <w:r w:rsidR="004972B7" w:rsidRPr="000562A2">
        <w:rPr>
          <w:szCs w:val="24"/>
        </w:rPr>
        <w:t xml:space="preserve">by searching for </w:t>
      </w:r>
      <w:r w:rsidRPr="000562A2">
        <w:rPr>
          <w:szCs w:val="24"/>
        </w:rPr>
        <w:t>the service’s dedicated performance information page</w:t>
      </w:r>
      <w:r w:rsidR="004972B7" w:rsidRPr="000562A2">
        <w:rPr>
          <w:szCs w:val="24"/>
        </w:rPr>
        <w:t xml:space="preserve"> via the </w:t>
      </w:r>
      <w:hyperlink r:id="rId20" w:history="1">
        <w:r w:rsidR="004972B7" w:rsidRPr="00A8649D">
          <w:rPr>
            <w:rStyle w:val="Hyperlink"/>
            <w:szCs w:val="24"/>
          </w:rPr>
          <w:t>Find a report</w:t>
        </w:r>
      </w:hyperlink>
      <w:r w:rsidR="004972B7" w:rsidRPr="00A8649D">
        <w:rPr>
          <w:rStyle w:val="FootnoteReference"/>
          <w:szCs w:val="24"/>
        </w:rPr>
        <w:footnoteReference w:id="13"/>
      </w:r>
      <w:r w:rsidR="004972B7" w:rsidRPr="00A8649D">
        <w:rPr>
          <w:szCs w:val="24"/>
        </w:rPr>
        <w:t xml:space="preserve"> function on the Commission website</w:t>
      </w:r>
      <w:r w:rsidRPr="00A8649D">
        <w:rPr>
          <w:szCs w:val="24"/>
        </w:rPr>
        <w:t>.</w:t>
      </w:r>
    </w:p>
    <w:p w14:paraId="66599B5A" w14:textId="77777777" w:rsidR="00F02938" w:rsidRDefault="00F02938" w:rsidP="00F02938">
      <w:pPr>
        <w:pStyle w:val="Heading1"/>
      </w:pPr>
      <w:r>
        <w:t>Sector performance data</w:t>
      </w:r>
    </w:p>
    <w:p w14:paraId="7AF8FAD3" w14:textId="39510955" w:rsidR="00102AEB" w:rsidRPr="000562A2" w:rsidRDefault="00F02938" w:rsidP="00F02938">
      <w:pPr>
        <w:rPr>
          <w:szCs w:val="24"/>
        </w:rPr>
      </w:pPr>
      <w:r w:rsidRPr="000562A2">
        <w:rPr>
          <w:szCs w:val="24"/>
        </w:rPr>
        <w:t xml:space="preserve">The Commission publishes </w:t>
      </w:r>
      <w:r w:rsidR="00102AEB" w:rsidRPr="000562A2">
        <w:rPr>
          <w:color w:val="313131"/>
          <w:szCs w:val="24"/>
          <w:shd w:val="clear" w:color="auto" w:fill="FFFFFF"/>
        </w:rPr>
        <w:t>aged care sector performance reports that include data about residential aged care and home care services</w:t>
      </w:r>
      <w:r w:rsidRPr="000562A2">
        <w:rPr>
          <w:szCs w:val="24"/>
        </w:rPr>
        <w:t xml:space="preserve">. </w:t>
      </w:r>
    </w:p>
    <w:p w14:paraId="16A9AD8E" w14:textId="757DECF9" w:rsidR="00F02938" w:rsidRPr="000562A2" w:rsidRDefault="00F02938" w:rsidP="00F02938">
      <w:pPr>
        <w:rPr>
          <w:szCs w:val="24"/>
        </w:rPr>
      </w:pPr>
      <w:r w:rsidRPr="000562A2">
        <w:rPr>
          <w:szCs w:val="24"/>
        </w:rPr>
        <w:t>Data published includes:</w:t>
      </w:r>
    </w:p>
    <w:p w14:paraId="0673DC9B" w14:textId="77777777" w:rsidR="00F02938" w:rsidRPr="000562A2" w:rsidRDefault="00F02938" w:rsidP="00F02938">
      <w:pPr>
        <w:pStyle w:val="ListBullet"/>
        <w:tabs>
          <w:tab w:val="left" w:pos="720"/>
        </w:tabs>
        <w:spacing w:before="120"/>
        <w:rPr>
          <w:szCs w:val="24"/>
        </w:rPr>
      </w:pPr>
      <w:r w:rsidRPr="000562A2">
        <w:rPr>
          <w:szCs w:val="24"/>
        </w:rPr>
        <w:t>the number of performance assessment activities conducted</w:t>
      </w:r>
    </w:p>
    <w:p w14:paraId="25E2ECBE" w14:textId="77777777" w:rsidR="00F02938" w:rsidRPr="000562A2" w:rsidRDefault="00F02938" w:rsidP="00F02938">
      <w:pPr>
        <w:pStyle w:val="ListBullet"/>
        <w:tabs>
          <w:tab w:val="left" w:pos="720"/>
        </w:tabs>
        <w:spacing w:before="120"/>
        <w:rPr>
          <w:szCs w:val="24"/>
        </w:rPr>
      </w:pPr>
      <w:r w:rsidRPr="000562A2">
        <w:rPr>
          <w:szCs w:val="24"/>
        </w:rPr>
        <w:t>the occasions when non-compliance was found</w:t>
      </w:r>
    </w:p>
    <w:p w14:paraId="0DA104FA" w14:textId="77777777" w:rsidR="00F02938" w:rsidRPr="000562A2" w:rsidRDefault="00F02938" w:rsidP="00F02938">
      <w:pPr>
        <w:pStyle w:val="ListBullet"/>
        <w:tabs>
          <w:tab w:val="left" w:pos="720"/>
        </w:tabs>
        <w:spacing w:before="120"/>
        <w:rPr>
          <w:szCs w:val="24"/>
        </w:rPr>
      </w:pPr>
      <w:r w:rsidRPr="000562A2">
        <w:rPr>
          <w:szCs w:val="24"/>
        </w:rPr>
        <w:t>the areas where services were found most frequently to be non-compliant with the Quality Standards</w:t>
      </w:r>
    </w:p>
    <w:p w14:paraId="75489706" w14:textId="06296E4F" w:rsidR="00F02938" w:rsidRPr="000562A2" w:rsidRDefault="00F02938" w:rsidP="00F02938">
      <w:pPr>
        <w:pStyle w:val="ListBullet"/>
        <w:tabs>
          <w:tab w:val="left" w:pos="720"/>
        </w:tabs>
        <w:spacing w:before="120"/>
        <w:rPr>
          <w:szCs w:val="24"/>
        </w:rPr>
      </w:pPr>
      <w:r w:rsidRPr="000562A2">
        <w:rPr>
          <w:szCs w:val="24"/>
        </w:rPr>
        <w:t>the volume of complaints received, and the issues most frequently raised in complaints</w:t>
      </w:r>
    </w:p>
    <w:p w14:paraId="1E3829F1" w14:textId="5A4CF8E6" w:rsidR="00102AEB" w:rsidRPr="00A8649D" w:rsidRDefault="00102AEB" w:rsidP="000562A2">
      <w:pPr>
        <w:pStyle w:val="ListBullet"/>
        <w:tabs>
          <w:tab w:val="left" w:pos="720"/>
        </w:tabs>
        <w:spacing w:before="120"/>
        <w:rPr>
          <w:szCs w:val="24"/>
        </w:rPr>
      </w:pPr>
      <w:r w:rsidRPr="000562A2">
        <w:rPr>
          <w:szCs w:val="24"/>
        </w:rPr>
        <w:t>the number of reportable incident notifications under the Serious Incident Response Scheme.</w:t>
      </w:r>
    </w:p>
    <w:p w14:paraId="7CD6C7D3" w14:textId="4A5CF5D3" w:rsidR="00F02938" w:rsidRPr="000562A2" w:rsidRDefault="00F02938" w:rsidP="00F02938">
      <w:pPr>
        <w:rPr>
          <w:szCs w:val="24"/>
        </w:rPr>
      </w:pPr>
      <w:r w:rsidRPr="000562A2">
        <w:rPr>
          <w:szCs w:val="24"/>
        </w:rPr>
        <w:t>Sector performance report</w:t>
      </w:r>
      <w:r w:rsidR="00102AEB" w:rsidRPr="000562A2">
        <w:rPr>
          <w:szCs w:val="24"/>
        </w:rPr>
        <w:t xml:space="preserve">s are published on a quarterly basis and </w:t>
      </w:r>
      <w:r w:rsidRPr="000562A2">
        <w:rPr>
          <w:szCs w:val="24"/>
        </w:rPr>
        <w:t xml:space="preserve">can be accessed from the </w:t>
      </w:r>
      <w:hyperlink r:id="rId21" w:history="1">
        <w:r w:rsidRPr="000562A2">
          <w:rPr>
            <w:rStyle w:val="Hyperlink"/>
            <w:szCs w:val="24"/>
          </w:rPr>
          <w:t>Sector Performance page</w:t>
        </w:r>
      </w:hyperlink>
      <w:r w:rsidRPr="000562A2">
        <w:rPr>
          <w:rStyle w:val="FootnoteReference"/>
          <w:szCs w:val="24"/>
        </w:rPr>
        <w:footnoteReference w:id="14"/>
      </w:r>
      <w:r w:rsidRPr="000562A2">
        <w:rPr>
          <w:szCs w:val="24"/>
        </w:rPr>
        <w:t xml:space="preserve"> on the Commission website.</w:t>
      </w:r>
    </w:p>
    <w:p w14:paraId="7D53BA35" w14:textId="2AAFBA61" w:rsidR="00366935" w:rsidRDefault="00366935" w:rsidP="000562A2">
      <w:pPr>
        <w:pStyle w:val="Heading1"/>
      </w:pPr>
      <w:r>
        <w:t>The Commission’s non-compliance register</w:t>
      </w:r>
    </w:p>
    <w:p w14:paraId="4185E512" w14:textId="49A00322" w:rsidR="00E41934" w:rsidRPr="00A8649D" w:rsidRDefault="00E41934" w:rsidP="00366935">
      <w:pPr>
        <w:rPr>
          <w:szCs w:val="24"/>
        </w:rPr>
      </w:pPr>
      <w:r w:rsidRPr="00A8649D">
        <w:rPr>
          <w:szCs w:val="24"/>
        </w:rPr>
        <w:t>T</w:t>
      </w:r>
      <w:r w:rsidR="00366935" w:rsidRPr="00A8649D">
        <w:rPr>
          <w:szCs w:val="24"/>
        </w:rPr>
        <w:t xml:space="preserve">he Commission </w:t>
      </w:r>
      <w:r w:rsidRPr="00A8649D">
        <w:rPr>
          <w:szCs w:val="24"/>
        </w:rPr>
        <w:t xml:space="preserve">publishes </w:t>
      </w:r>
      <w:r w:rsidR="00366935" w:rsidRPr="00A8649D">
        <w:rPr>
          <w:szCs w:val="24"/>
        </w:rPr>
        <w:t>all provider non-compliance determined by the Commission</w:t>
      </w:r>
      <w:r w:rsidRPr="00A8649D">
        <w:rPr>
          <w:szCs w:val="24"/>
        </w:rPr>
        <w:t xml:space="preserve"> on a central</w:t>
      </w:r>
      <w:r w:rsidR="00E45DBF">
        <w:rPr>
          <w:szCs w:val="24"/>
        </w:rPr>
        <w:t xml:space="preserve"> </w:t>
      </w:r>
      <w:hyperlink r:id="rId22" w:history="1">
        <w:r w:rsidR="00E45DBF" w:rsidRPr="00E45DBF">
          <w:rPr>
            <w:rStyle w:val="Hyperlink"/>
            <w:szCs w:val="24"/>
          </w:rPr>
          <w:t>non-compliance register</w:t>
        </w:r>
      </w:hyperlink>
      <w:r w:rsidR="00E45DBF">
        <w:rPr>
          <w:rStyle w:val="FootnoteReference"/>
          <w:szCs w:val="24"/>
        </w:rPr>
        <w:footnoteReference w:id="15"/>
      </w:r>
      <w:r w:rsidR="00DE1FB7">
        <w:rPr>
          <w:szCs w:val="24"/>
        </w:rPr>
        <w:t>.</w:t>
      </w:r>
      <w:r w:rsidR="00366935" w:rsidRPr="00A8649D">
        <w:rPr>
          <w:szCs w:val="24"/>
        </w:rPr>
        <w:t xml:space="preserve"> </w:t>
      </w:r>
    </w:p>
    <w:p w14:paraId="2B4DD66C" w14:textId="77777777" w:rsidR="00E41934" w:rsidRDefault="00E41934" w:rsidP="00E41934">
      <w:pPr>
        <w:pStyle w:val="Heading3"/>
      </w:pPr>
      <w:r>
        <w:t>Information published on the non-compliance register</w:t>
      </w:r>
    </w:p>
    <w:p w14:paraId="66A28EBF" w14:textId="718DB839" w:rsidR="00E41934" w:rsidRPr="00A8649D" w:rsidRDefault="005F1044" w:rsidP="00366935">
      <w:pPr>
        <w:rPr>
          <w:szCs w:val="24"/>
        </w:rPr>
      </w:pPr>
      <w:r w:rsidRPr="000562A2">
        <w:rPr>
          <w:szCs w:val="24"/>
        </w:rPr>
        <w:t xml:space="preserve">The non-compliance register is updated periodically with </w:t>
      </w:r>
      <w:r w:rsidR="00E41934" w:rsidRPr="000562A2">
        <w:rPr>
          <w:szCs w:val="24"/>
        </w:rPr>
        <w:t>information</w:t>
      </w:r>
      <w:r w:rsidR="007C0D47" w:rsidRPr="000562A2">
        <w:rPr>
          <w:szCs w:val="24"/>
        </w:rPr>
        <w:t xml:space="preserve"> about provider non-compliance including</w:t>
      </w:r>
      <w:r w:rsidR="00E41934" w:rsidRPr="00A8649D">
        <w:rPr>
          <w:szCs w:val="24"/>
        </w:rPr>
        <w:t>:</w:t>
      </w:r>
    </w:p>
    <w:p w14:paraId="7487E2E6" w14:textId="04B16C50" w:rsidR="00E41934" w:rsidRPr="000562A2" w:rsidRDefault="007C0D47" w:rsidP="00E41934">
      <w:pPr>
        <w:pStyle w:val="ListBullet"/>
        <w:numPr>
          <w:ilvl w:val="0"/>
          <w:numId w:val="41"/>
        </w:numPr>
        <w:tabs>
          <w:tab w:val="left" w:pos="720"/>
        </w:tabs>
        <w:spacing w:before="120"/>
        <w:rPr>
          <w:szCs w:val="24"/>
        </w:rPr>
      </w:pPr>
      <w:r w:rsidRPr="000562A2">
        <w:rPr>
          <w:szCs w:val="24"/>
        </w:rPr>
        <w:t xml:space="preserve">the </w:t>
      </w:r>
      <w:r w:rsidR="00E41934" w:rsidRPr="000562A2">
        <w:rPr>
          <w:szCs w:val="24"/>
        </w:rPr>
        <w:t>name of service and provider of the service</w:t>
      </w:r>
    </w:p>
    <w:p w14:paraId="1C1898A7" w14:textId="75999493" w:rsidR="00E41934" w:rsidRPr="000562A2" w:rsidRDefault="007C0D47" w:rsidP="00E41934">
      <w:pPr>
        <w:pStyle w:val="ListBullet"/>
        <w:numPr>
          <w:ilvl w:val="0"/>
          <w:numId w:val="41"/>
        </w:numPr>
        <w:tabs>
          <w:tab w:val="left" w:pos="720"/>
        </w:tabs>
        <w:spacing w:before="120"/>
        <w:rPr>
          <w:szCs w:val="24"/>
        </w:rPr>
      </w:pPr>
      <w:r w:rsidRPr="000562A2">
        <w:rPr>
          <w:szCs w:val="24"/>
        </w:rPr>
        <w:t xml:space="preserve">the </w:t>
      </w:r>
      <w:r w:rsidR="00E41934" w:rsidRPr="000562A2">
        <w:rPr>
          <w:szCs w:val="24"/>
        </w:rPr>
        <w:t>Commission</w:t>
      </w:r>
      <w:r w:rsidRPr="000562A2">
        <w:rPr>
          <w:szCs w:val="24"/>
        </w:rPr>
        <w:t>’s</w:t>
      </w:r>
      <w:r w:rsidR="00E41934" w:rsidRPr="000562A2">
        <w:rPr>
          <w:szCs w:val="24"/>
        </w:rPr>
        <w:t xml:space="preserve"> identifier for the service</w:t>
      </w:r>
    </w:p>
    <w:p w14:paraId="76A50553" w14:textId="29CDAC81" w:rsidR="00E41934" w:rsidRPr="000562A2" w:rsidRDefault="007C0D47" w:rsidP="00E41934">
      <w:pPr>
        <w:pStyle w:val="ListBullet"/>
        <w:numPr>
          <w:ilvl w:val="0"/>
          <w:numId w:val="41"/>
        </w:numPr>
        <w:tabs>
          <w:tab w:val="left" w:pos="720"/>
        </w:tabs>
        <w:spacing w:before="120"/>
        <w:rPr>
          <w:szCs w:val="24"/>
        </w:rPr>
      </w:pPr>
      <w:r w:rsidRPr="000562A2">
        <w:rPr>
          <w:szCs w:val="24"/>
        </w:rPr>
        <w:t xml:space="preserve">the date of the </w:t>
      </w:r>
      <w:r w:rsidR="00E41934" w:rsidRPr="000562A2">
        <w:rPr>
          <w:szCs w:val="24"/>
        </w:rPr>
        <w:t xml:space="preserve">non-compliance </w:t>
      </w:r>
    </w:p>
    <w:p w14:paraId="03E41417" w14:textId="4CCD3AF0" w:rsidR="00E41934" w:rsidRPr="00A8649D" w:rsidRDefault="007C0D47" w:rsidP="000562A2">
      <w:pPr>
        <w:pStyle w:val="ListBullet"/>
        <w:numPr>
          <w:ilvl w:val="0"/>
          <w:numId w:val="41"/>
        </w:numPr>
        <w:tabs>
          <w:tab w:val="left" w:pos="851"/>
        </w:tabs>
        <w:spacing w:before="120"/>
        <w:ind w:left="709" w:hanging="283"/>
        <w:rPr>
          <w:szCs w:val="24"/>
        </w:rPr>
      </w:pPr>
      <w:r w:rsidRPr="000562A2">
        <w:rPr>
          <w:szCs w:val="24"/>
        </w:rPr>
        <w:t xml:space="preserve">a summary of the provider responsibility or responsibilities under the Aged Care Act that the non-compliance relates to </w:t>
      </w:r>
      <w:r w:rsidR="00366935" w:rsidRPr="00A8649D">
        <w:rPr>
          <w:szCs w:val="24"/>
        </w:rPr>
        <w:t xml:space="preserve">including non-compliance against the Quality Standards, the Prudential Standards and other responsibilities under the </w:t>
      </w:r>
      <w:r w:rsidR="00366935" w:rsidRPr="000562A2">
        <w:rPr>
          <w:szCs w:val="24"/>
        </w:rPr>
        <w:t>Aged Care</w:t>
      </w:r>
      <w:r w:rsidR="00E41934" w:rsidRPr="000562A2">
        <w:rPr>
          <w:szCs w:val="24"/>
        </w:rPr>
        <w:t xml:space="preserve"> Act</w:t>
      </w:r>
    </w:p>
    <w:p w14:paraId="4A752CE5" w14:textId="7A957DFF" w:rsidR="001214BE" w:rsidRPr="000562A2" w:rsidRDefault="00366935" w:rsidP="00164D59">
      <w:pPr>
        <w:pStyle w:val="ListParagraph"/>
        <w:numPr>
          <w:ilvl w:val="0"/>
          <w:numId w:val="41"/>
        </w:numPr>
        <w:spacing w:before="120"/>
        <w:ind w:left="709" w:hanging="283"/>
        <w:contextualSpacing w:val="0"/>
        <w:rPr>
          <w:szCs w:val="24"/>
        </w:rPr>
      </w:pPr>
      <w:r w:rsidRPr="00A8649D">
        <w:rPr>
          <w:szCs w:val="24"/>
        </w:rPr>
        <w:t>the</w:t>
      </w:r>
      <w:r w:rsidR="00E41934" w:rsidRPr="000562A2">
        <w:rPr>
          <w:szCs w:val="24"/>
        </w:rPr>
        <w:t xml:space="preserve"> </w:t>
      </w:r>
      <w:r w:rsidR="00974177" w:rsidRPr="000562A2">
        <w:rPr>
          <w:szCs w:val="24"/>
        </w:rPr>
        <w:t>non-compliance decisions</w:t>
      </w:r>
      <w:r w:rsidRPr="00A8649D">
        <w:rPr>
          <w:szCs w:val="24"/>
        </w:rPr>
        <w:t xml:space="preserve"> taken by the Commission in response to the non-compliance</w:t>
      </w:r>
      <w:r w:rsidR="001214BE" w:rsidRPr="000562A2">
        <w:rPr>
          <w:szCs w:val="24"/>
        </w:rPr>
        <w:t xml:space="preserve">. </w:t>
      </w:r>
      <w:r w:rsidR="00164D59" w:rsidRPr="000562A2">
        <w:rPr>
          <w:szCs w:val="24"/>
        </w:rPr>
        <w:t xml:space="preserve"> </w:t>
      </w:r>
    </w:p>
    <w:p w14:paraId="641FEE0F" w14:textId="286BB064" w:rsidR="00974177" w:rsidRDefault="00974177" w:rsidP="000562A2">
      <w:r w:rsidRPr="00A8649D">
        <w:rPr>
          <w:szCs w:val="24"/>
        </w:rPr>
        <w:lastRenderedPageBreak/>
        <w:t xml:space="preserve">Non-compliance decisions that are only in relation to a provider more generally (not limited to a specified service) are also </w:t>
      </w:r>
      <w:r w:rsidRPr="00C85B6E">
        <w:rPr>
          <w:szCs w:val="24"/>
        </w:rPr>
        <w:t xml:space="preserve">in the Commission’s non-compliance </w:t>
      </w:r>
      <w:r w:rsidRPr="000562A2">
        <w:rPr>
          <w:szCs w:val="24"/>
        </w:rPr>
        <w:t>register.</w:t>
      </w:r>
    </w:p>
    <w:p w14:paraId="3F587C4C" w14:textId="02E47780" w:rsidR="003B549C" w:rsidRDefault="009C0EB4" w:rsidP="003B549C">
      <w:pPr>
        <w:pStyle w:val="Heading1"/>
      </w:pPr>
      <w:r>
        <w:t>My Aged Care</w:t>
      </w:r>
      <w:r w:rsidR="00A91A51">
        <w:t xml:space="preserve"> website</w:t>
      </w:r>
      <w:r>
        <w:t xml:space="preserve"> </w:t>
      </w:r>
    </w:p>
    <w:p w14:paraId="0AB1EBBB" w14:textId="0744BE39" w:rsidR="00BE6513" w:rsidRPr="000562A2" w:rsidRDefault="00DC1417" w:rsidP="00BE6513">
      <w:pPr>
        <w:rPr>
          <w:szCs w:val="24"/>
        </w:rPr>
      </w:pPr>
      <w:r w:rsidRPr="000562A2">
        <w:rPr>
          <w:color w:val="282828"/>
          <w:szCs w:val="24"/>
          <w:shd w:val="clear" w:color="auto" w:fill="FFFFFF"/>
        </w:rPr>
        <w:t>The</w:t>
      </w:r>
      <w:r w:rsidR="00D75220" w:rsidRPr="000562A2">
        <w:rPr>
          <w:color w:val="282828"/>
          <w:szCs w:val="24"/>
          <w:shd w:val="clear" w:color="auto" w:fill="FFFFFF"/>
        </w:rPr>
        <w:t xml:space="preserve"> </w:t>
      </w:r>
      <w:hyperlink r:id="rId23" w:history="1">
        <w:r w:rsidR="00D75220" w:rsidRPr="000562A2">
          <w:rPr>
            <w:rStyle w:val="Hyperlink"/>
            <w:szCs w:val="24"/>
          </w:rPr>
          <w:t>My Aged Care website</w:t>
        </w:r>
      </w:hyperlink>
      <w:r w:rsidR="00D75220" w:rsidRPr="000562A2">
        <w:rPr>
          <w:rStyle w:val="FootnoteReference"/>
          <w:szCs w:val="24"/>
        </w:rPr>
        <w:footnoteReference w:id="16"/>
      </w:r>
      <w:r w:rsidR="00A91A51" w:rsidRPr="00A91A51">
        <w:rPr>
          <w:rStyle w:val="Hyperlink"/>
          <w:szCs w:val="24"/>
          <w:u w:val="none"/>
        </w:rPr>
        <w:t xml:space="preserve"> </w:t>
      </w:r>
      <w:r w:rsidR="00644DD6" w:rsidRPr="000562A2">
        <w:rPr>
          <w:color w:val="282828"/>
          <w:szCs w:val="24"/>
          <w:shd w:val="clear" w:color="auto" w:fill="FFFFFF"/>
        </w:rPr>
        <w:t>provides information and support to consumers to understand, access and navigate the aged care system. </w:t>
      </w:r>
      <w:r w:rsidR="00CE6925">
        <w:rPr>
          <w:color w:val="282828"/>
          <w:szCs w:val="24"/>
          <w:shd w:val="clear" w:color="auto" w:fill="FFFFFF"/>
        </w:rPr>
        <w:t xml:space="preserve">My Aged Care </w:t>
      </w:r>
      <w:r w:rsidR="00644DD6" w:rsidRPr="000562A2">
        <w:rPr>
          <w:color w:val="282828"/>
          <w:szCs w:val="24"/>
          <w:shd w:val="clear" w:color="auto" w:fill="FFFFFF"/>
        </w:rPr>
        <w:t xml:space="preserve">includes information about </w:t>
      </w:r>
      <w:r w:rsidR="00644DD6" w:rsidRPr="000562A2" w:rsidDel="0039509B">
        <w:rPr>
          <w:color w:val="282828"/>
          <w:szCs w:val="24"/>
          <w:shd w:val="clear" w:color="auto" w:fill="FFFFFF"/>
        </w:rPr>
        <w:t xml:space="preserve">the </w:t>
      </w:r>
      <w:r w:rsidR="00226801" w:rsidRPr="000562A2">
        <w:rPr>
          <w:color w:val="282828"/>
          <w:szCs w:val="24"/>
          <w:shd w:val="clear" w:color="auto" w:fill="FFFFFF"/>
        </w:rPr>
        <w:t>compliance status</w:t>
      </w:r>
      <w:r w:rsidR="00644DD6" w:rsidRPr="000562A2">
        <w:rPr>
          <w:color w:val="282828"/>
          <w:szCs w:val="24"/>
          <w:shd w:val="clear" w:color="auto" w:fill="FFFFFF"/>
        </w:rPr>
        <w:t xml:space="preserve"> </w:t>
      </w:r>
      <w:r w:rsidR="004E5A2F">
        <w:rPr>
          <w:color w:val="282828"/>
          <w:szCs w:val="24"/>
          <w:shd w:val="clear" w:color="auto" w:fill="FFFFFF"/>
        </w:rPr>
        <w:t xml:space="preserve">of </w:t>
      </w:r>
      <w:r w:rsidR="00644DD6" w:rsidRPr="00A8649D">
        <w:rPr>
          <w:szCs w:val="24"/>
        </w:rPr>
        <w:t>all residential and home care services</w:t>
      </w:r>
      <w:r w:rsidR="005E2FBE">
        <w:rPr>
          <w:szCs w:val="24"/>
        </w:rPr>
        <w:t xml:space="preserve">. </w:t>
      </w:r>
      <w:r w:rsidR="00F702ED">
        <w:rPr>
          <w:szCs w:val="24"/>
        </w:rPr>
        <w:t xml:space="preserve">Details of non-compliance decisions made by the Commission in relation to a service can be found through the </w:t>
      </w:r>
      <w:r w:rsidR="00294027">
        <w:rPr>
          <w:szCs w:val="24"/>
        </w:rPr>
        <w:t>‘</w:t>
      </w:r>
      <w:hyperlink r:id="rId24" w:history="1">
        <w:r w:rsidR="00E72B13" w:rsidRPr="000562A2">
          <w:rPr>
            <w:rStyle w:val="Hyperlink"/>
            <w:szCs w:val="24"/>
          </w:rPr>
          <w:t>Find a Provider</w:t>
        </w:r>
      </w:hyperlink>
      <w:r w:rsidR="00294027">
        <w:rPr>
          <w:rStyle w:val="Hyperlink"/>
          <w:szCs w:val="24"/>
        </w:rPr>
        <w:t>’</w:t>
      </w:r>
      <w:r w:rsidR="00E72B13" w:rsidRPr="000562A2">
        <w:rPr>
          <w:szCs w:val="24"/>
        </w:rPr>
        <w:t xml:space="preserve"> page </w:t>
      </w:r>
      <w:r w:rsidR="00294027">
        <w:rPr>
          <w:szCs w:val="24"/>
        </w:rPr>
        <w:t>of My Aged Care t</w:t>
      </w:r>
      <w:r w:rsidR="00BE6513" w:rsidRPr="000562A2">
        <w:rPr>
          <w:szCs w:val="24"/>
        </w:rPr>
        <w:t xml:space="preserve">o assist consumers to understand the compliance status </w:t>
      </w:r>
      <w:r w:rsidR="000825F5">
        <w:rPr>
          <w:szCs w:val="24"/>
        </w:rPr>
        <w:t xml:space="preserve">of </w:t>
      </w:r>
      <w:r w:rsidR="00265A26">
        <w:rPr>
          <w:szCs w:val="24"/>
        </w:rPr>
        <w:t>th</w:t>
      </w:r>
      <w:r w:rsidR="000825F5">
        <w:rPr>
          <w:szCs w:val="24"/>
        </w:rPr>
        <w:t>a</w:t>
      </w:r>
      <w:r w:rsidR="00265A26">
        <w:rPr>
          <w:szCs w:val="24"/>
        </w:rPr>
        <w:t>t</w:t>
      </w:r>
      <w:r w:rsidR="000825F5">
        <w:rPr>
          <w:szCs w:val="24"/>
        </w:rPr>
        <w:t xml:space="preserve"> service</w:t>
      </w:r>
      <w:r w:rsidR="00BE6513" w:rsidRPr="000562A2">
        <w:rPr>
          <w:szCs w:val="24"/>
        </w:rPr>
        <w:t xml:space="preserve">. </w:t>
      </w:r>
    </w:p>
    <w:p w14:paraId="013CB3B9" w14:textId="5081775D" w:rsidR="00BE6513" w:rsidRPr="000562A2" w:rsidRDefault="00BE6513" w:rsidP="00BE6513">
      <w:pPr>
        <w:rPr>
          <w:szCs w:val="24"/>
        </w:rPr>
      </w:pPr>
      <w:r w:rsidRPr="000562A2">
        <w:rPr>
          <w:szCs w:val="24"/>
        </w:rPr>
        <w:t xml:space="preserve">The information </w:t>
      </w:r>
      <w:r w:rsidR="00FF1A63" w:rsidRPr="000562A2">
        <w:rPr>
          <w:szCs w:val="24"/>
        </w:rPr>
        <w:t xml:space="preserve">published </w:t>
      </w:r>
      <w:r w:rsidRPr="000562A2">
        <w:rPr>
          <w:szCs w:val="24"/>
        </w:rPr>
        <w:t xml:space="preserve">about non-compliance decisions will include the type of </w:t>
      </w:r>
      <w:r w:rsidR="003E5533" w:rsidRPr="000562A2">
        <w:rPr>
          <w:szCs w:val="24"/>
        </w:rPr>
        <w:t>non-compliance decision</w:t>
      </w:r>
      <w:r w:rsidRPr="000562A2">
        <w:rPr>
          <w:szCs w:val="24"/>
        </w:rPr>
        <w:t xml:space="preserve"> the </w:t>
      </w:r>
      <w:r w:rsidR="005B2FAC" w:rsidRPr="000562A2">
        <w:rPr>
          <w:szCs w:val="24"/>
        </w:rPr>
        <w:t>C</w:t>
      </w:r>
      <w:r w:rsidRPr="000562A2">
        <w:rPr>
          <w:szCs w:val="24"/>
        </w:rPr>
        <w:t>ommission has taken, and information about why it was taken and what the provider is required to</w:t>
      </w:r>
      <w:r w:rsidR="0059594A" w:rsidRPr="000562A2">
        <w:rPr>
          <w:szCs w:val="24"/>
        </w:rPr>
        <w:t xml:space="preserve"> do</w:t>
      </w:r>
      <w:r w:rsidRPr="000562A2">
        <w:rPr>
          <w:szCs w:val="24"/>
        </w:rPr>
        <w:t xml:space="preserve"> in response </w:t>
      </w:r>
      <w:r w:rsidR="00F702ED">
        <w:rPr>
          <w:szCs w:val="24"/>
        </w:rPr>
        <w:t xml:space="preserve">to </w:t>
      </w:r>
      <w:r w:rsidRPr="000562A2">
        <w:rPr>
          <w:szCs w:val="24"/>
        </w:rPr>
        <w:t xml:space="preserve">the </w:t>
      </w:r>
      <w:r w:rsidR="005B2FAC" w:rsidRPr="000562A2">
        <w:rPr>
          <w:szCs w:val="24"/>
        </w:rPr>
        <w:t>non-compliance</w:t>
      </w:r>
      <w:r w:rsidR="00FF1A63" w:rsidRPr="000562A2">
        <w:rPr>
          <w:szCs w:val="24"/>
        </w:rPr>
        <w:t xml:space="preserve"> decision</w:t>
      </w:r>
      <w:r w:rsidR="005B2FAC" w:rsidRPr="000562A2">
        <w:rPr>
          <w:szCs w:val="24"/>
        </w:rPr>
        <w:t>.</w:t>
      </w:r>
    </w:p>
    <w:p w14:paraId="614F114C" w14:textId="2D12C45E" w:rsidR="00BE6513" w:rsidRPr="000562A2" w:rsidRDefault="00BE6513" w:rsidP="00BE6513">
      <w:pPr>
        <w:rPr>
          <w:szCs w:val="24"/>
        </w:rPr>
      </w:pPr>
      <w:r w:rsidRPr="000562A2">
        <w:rPr>
          <w:szCs w:val="24"/>
        </w:rPr>
        <w:t xml:space="preserve">These decisions are displayed as either ‘current’ or ‘non-current’, depending on whether the provider has addressed the non-compliance and the Commission has </w:t>
      </w:r>
      <w:proofErr w:type="gramStart"/>
      <w:r w:rsidRPr="000562A2">
        <w:rPr>
          <w:szCs w:val="24"/>
        </w:rPr>
        <w:t>made a decision</w:t>
      </w:r>
      <w:proofErr w:type="gramEnd"/>
      <w:r w:rsidRPr="000562A2">
        <w:rPr>
          <w:szCs w:val="24"/>
        </w:rPr>
        <w:t xml:space="preserve"> to </w:t>
      </w:r>
      <w:r w:rsidR="003E5533" w:rsidRPr="000562A2">
        <w:rPr>
          <w:szCs w:val="24"/>
        </w:rPr>
        <w:t>close the matter.</w:t>
      </w:r>
      <w:r w:rsidR="00FF1A63" w:rsidRPr="00A8649D">
        <w:rPr>
          <w:szCs w:val="24"/>
        </w:rPr>
        <w:t xml:space="preserve"> </w:t>
      </w:r>
    </w:p>
    <w:p w14:paraId="0CF9B529" w14:textId="62A78F1A" w:rsidR="00466E61" w:rsidRDefault="00466E61" w:rsidP="00466E61">
      <w:pPr>
        <w:pStyle w:val="Heading3"/>
      </w:pPr>
      <w:r>
        <w:t>Star Ratings</w:t>
      </w:r>
    </w:p>
    <w:p w14:paraId="42F13415" w14:textId="637E9221" w:rsidR="00641AA0" w:rsidRPr="000562A2" w:rsidRDefault="00641AA0" w:rsidP="00466E61">
      <w:pPr>
        <w:shd w:val="clear" w:color="auto" w:fill="FFFFFF"/>
        <w:spacing w:before="100" w:beforeAutospacing="1" w:after="100" w:afterAutospacing="1"/>
        <w:rPr>
          <w:szCs w:val="24"/>
        </w:rPr>
      </w:pPr>
      <w:r w:rsidRPr="000562A2">
        <w:rPr>
          <w:color w:val="313131"/>
          <w:szCs w:val="24"/>
          <w:shd w:val="clear" w:color="auto" w:fill="FFFFFF"/>
        </w:rPr>
        <w:t>Under the Aged Care Act</w:t>
      </w:r>
      <w:r w:rsidR="00A91A51">
        <w:rPr>
          <w:color w:val="313131"/>
          <w:szCs w:val="24"/>
          <w:shd w:val="clear" w:color="auto" w:fill="FFFFFF"/>
        </w:rPr>
        <w:t>,</w:t>
      </w:r>
      <w:r w:rsidRPr="000562A2">
        <w:rPr>
          <w:color w:val="313131"/>
          <w:szCs w:val="24"/>
          <w:shd w:val="clear" w:color="auto" w:fill="FFFFFF"/>
        </w:rPr>
        <w:t xml:space="preserve"> </w:t>
      </w:r>
      <w:r w:rsidRPr="000562A2">
        <w:rPr>
          <w:szCs w:val="24"/>
        </w:rPr>
        <w:t>the Department of Health and Aged Care must publish information about</w:t>
      </w:r>
      <w:r w:rsidR="00E15195">
        <w:rPr>
          <w:szCs w:val="24"/>
        </w:rPr>
        <w:t>:</w:t>
      </w:r>
    </w:p>
    <w:p w14:paraId="4937E867" w14:textId="77777777" w:rsidR="00641AA0" w:rsidRPr="000562A2" w:rsidRDefault="00641AA0" w:rsidP="00641AA0">
      <w:pPr>
        <w:pStyle w:val="paragraph"/>
        <w:numPr>
          <w:ilvl w:val="0"/>
          <w:numId w:val="45"/>
        </w:numPr>
        <w:shd w:val="clear" w:color="auto" w:fill="FFFFFF"/>
        <w:spacing w:before="40" w:beforeAutospacing="0" w:after="0" w:afterAutospacing="0"/>
        <w:rPr>
          <w:rFonts w:ascii="Arial" w:hAnsi="Arial" w:cs="Arial"/>
          <w:color w:val="000000"/>
        </w:rPr>
      </w:pPr>
      <w:r w:rsidRPr="000562A2">
        <w:rPr>
          <w:rFonts w:ascii="Arial" w:hAnsi="Arial" w:cs="Arial"/>
          <w:color w:val="000000"/>
        </w:rPr>
        <w:t>the quality of residential care provided through residential care services; and</w:t>
      </w:r>
    </w:p>
    <w:p w14:paraId="1F2B12B7" w14:textId="608B7510" w:rsidR="00641AA0" w:rsidRPr="000562A2" w:rsidRDefault="00641AA0" w:rsidP="00641AA0">
      <w:pPr>
        <w:pStyle w:val="paragraph"/>
        <w:numPr>
          <w:ilvl w:val="0"/>
          <w:numId w:val="45"/>
        </w:numPr>
        <w:shd w:val="clear" w:color="auto" w:fill="FFFFFF"/>
        <w:spacing w:before="40" w:beforeAutospacing="0" w:after="0" w:afterAutospacing="0"/>
        <w:rPr>
          <w:rFonts w:ascii="Arial" w:hAnsi="Arial" w:cs="Arial"/>
          <w:color w:val="000000"/>
        </w:rPr>
      </w:pPr>
      <w:r w:rsidRPr="000562A2">
        <w:rPr>
          <w:rFonts w:ascii="Arial" w:hAnsi="Arial" w:cs="Arial"/>
          <w:color w:val="000000"/>
        </w:rPr>
        <w:t>the performance of approved providers of services in relation to responsibilities and standards under the Aged Care Act.</w:t>
      </w:r>
    </w:p>
    <w:p w14:paraId="2262058C" w14:textId="77777777" w:rsidR="00641AA0" w:rsidRPr="000562A2" w:rsidRDefault="00641AA0" w:rsidP="00641AA0">
      <w:pPr>
        <w:pStyle w:val="paragraph"/>
        <w:shd w:val="clear" w:color="auto" w:fill="FFFFFF"/>
        <w:spacing w:before="40" w:beforeAutospacing="0" w:after="0" w:afterAutospacing="0"/>
        <w:rPr>
          <w:rFonts w:ascii="Arial" w:hAnsi="Arial" w:cs="Arial"/>
          <w:color w:val="000000"/>
          <w:shd w:val="clear" w:color="auto" w:fill="FFFFFF"/>
        </w:rPr>
      </w:pPr>
    </w:p>
    <w:p w14:paraId="7759CCD3" w14:textId="19AD820D" w:rsidR="00641AA0" w:rsidRPr="000562A2" w:rsidRDefault="00641AA0" w:rsidP="000562A2">
      <w:pPr>
        <w:pStyle w:val="paragraph"/>
        <w:shd w:val="clear" w:color="auto" w:fill="FFFFFF"/>
        <w:spacing w:before="40" w:beforeAutospacing="0" w:after="0" w:afterAutospacing="0"/>
        <w:rPr>
          <w:color w:val="000000"/>
        </w:rPr>
      </w:pPr>
      <w:r w:rsidRPr="000562A2">
        <w:rPr>
          <w:rFonts w:ascii="Arial" w:hAnsi="Arial" w:cs="Arial"/>
          <w:color w:val="000000"/>
          <w:shd w:val="clear" w:color="auto" w:fill="FFFFFF"/>
        </w:rPr>
        <w:t>This information may be published in the form of one or more</w:t>
      </w:r>
      <w:r w:rsidR="004B5D75" w:rsidRPr="000562A2">
        <w:rPr>
          <w:rFonts w:ascii="Arial" w:hAnsi="Arial" w:cs="Arial"/>
          <w:color w:val="000000"/>
          <w:shd w:val="clear" w:color="auto" w:fill="FFFFFF"/>
        </w:rPr>
        <w:t xml:space="preserve"> </w:t>
      </w:r>
      <w:r w:rsidR="00AA350A" w:rsidRPr="000562A2">
        <w:rPr>
          <w:rFonts w:ascii="Arial" w:hAnsi="Arial" w:cs="Arial"/>
          <w:color w:val="000000"/>
          <w:shd w:val="clear" w:color="auto" w:fill="FFFFFF"/>
        </w:rPr>
        <w:t>S</w:t>
      </w:r>
      <w:r w:rsidRPr="000562A2">
        <w:rPr>
          <w:rFonts w:ascii="Arial" w:hAnsi="Arial" w:cs="Arial"/>
          <w:color w:val="000000"/>
          <w:shd w:val="clear" w:color="auto" w:fill="FFFFFF"/>
        </w:rPr>
        <w:t xml:space="preserve">tar </w:t>
      </w:r>
      <w:r w:rsidR="00AA350A" w:rsidRPr="000562A2">
        <w:rPr>
          <w:rFonts w:ascii="Arial" w:hAnsi="Arial" w:cs="Arial"/>
          <w:color w:val="000000"/>
          <w:shd w:val="clear" w:color="auto" w:fill="FFFFFF"/>
        </w:rPr>
        <w:t>R</w:t>
      </w:r>
      <w:r w:rsidRPr="000562A2">
        <w:rPr>
          <w:rFonts w:ascii="Arial" w:hAnsi="Arial" w:cs="Arial"/>
          <w:color w:val="000000"/>
          <w:shd w:val="clear" w:color="auto" w:fill="FFFFFF"/>
        </w:rPr>
        <w:t>atings for a residential care service.</w:t>
      </w:r>
    </w:p>
    <w:p w14:paraId="2E686692" w14:textId="0610A6B5" w:rsidR="00466E61" w:rsidRPr="006863C6" w:rsidRDefault="00466E61" w:rsidP="00466E61">
      <w:pPr>
        <w:shd w:val="clear" w:color="auto" w:fill="FFFFFF"/>
        <w:spacing w:before="100" w:beforeAutospacing="1" w:after="100" w:afterAutospacing="1"/>
        <w:rPr>
          <w:rFonts w:eastAsia="Times New Roman"/>
          <w:szCs w:val="24"/>
          <w:lang w:eastAsia="en-AU"/>
        </w:rPr>
      </w:pPr>
      <w:r w:rsidRPr="006863C6">
        <w:rPr>
          <w:szCs w:val="24"/>
          <w:shd w:val="clear" w:color="auto" w:fill="FFFFFF"/>
        </w:rPr>
        <w:t xml:space="preserve">Star Ratings </w:t>
      </w:r>
      <w:r w:rsidRPr="006863C6">
        <w:rPr>
          <w:rFonts w:eastAsia="Times New Roman"/>
          <w:szCs w:val="24"/>
          <w:lang w:eastAsia="en-AU"/>
        </w:rPr>
        <w:t xml:space="preserve">support consumers and their representatives to easily compare residential services and make informed choices based on an overall </w:t>
      </w:r>
      <w:r w:rsidR="00AA350A" w:rsidRPr="006863C6">
        <w:rPr>
          <w:rFonts w:eastAsia="Times New Roman"/>
          <w:szCs w:val="24"/>
          <w:lang w:eastAsia="en-AU"/>
        </w:rPr>
        <w:t xml:space="preserve">Star </w:t>
      </w:r>
      <w:r w:rsidRPr="006863C6">
        <w:rPr>
          <w:rFonts w:eastAsia="Times New Roman"/>
          <w:szCs w:val="24"/>
          <w:lang w:eastAsia="en-AU"/>
        </w:rPr>
        <w:t xml:space="preserve">Rating and four </w:t>
      </w:r>
      <w:r w:rsidR="002A7D61" w:rsidRPr="006863C6">
        <w:rPr>
          <w:rFonts w:eastAsia="Times New Roman"/>
          <w:szCs w:val="24"/>
          <w:lang w:eastAsia="en-AU"/>
        </w:rPr>
        <w:t>key areas of performance</w:t>
      </w:r>
      <w:r w:rsidRPr="006863C6">
        <w:rPr>
          <w:rFonts w:eastAsia="Times New Roman"/>
          <w:szCs w:val="24"/>
          <w:lang w:eastAsia="en-AU"/>
        </w:rPr>
        <w:t>:</w:t>
      </w:r>
    </w:p>
    <w:p w14:paraId="7633A9EE" w14:textId="47D82E1E" w:rsidR="00466E61" w:rsidRPr="006863C6" w:rsidRDefault="00466E61" w:rsidP="000562A2">
      <w:pPr>
        <w:numPr>
          <w:ilvl w:val="0"/>
          <w:numId w:val="44"/>
        </w:numPr>
        <w:shd w:val="clear" w:color="auto" w:fill="FFFFFF"/>
        <w:spacing w:before="120"/>
        <w:ind w:left="714" w:hanging="357"/>
        <w:rPr>
          <w:rFonts w:eastAsia="Times New Roman"/>
          <w:szCs w:val="24"/>
          <w:lang w:eastAsia="en-AU"/>
        </w:rPr>
      </w:pPr>
      <w:r w:rsidRPr="006863C6">
        <w:rPr>
          <w:rFonts w:eastAsia="Times New Roman"/>
          <w:b/>
          <w:bCs/>
          <w:szCs w:val="24"/>
          <w:lang w:eastAsia="en-AU"/>
        </w:rPr>
        <w:t>Residents’ Experience</w:t>
      </w:r>
      <w:r w:rsidRPr="006863C6">
        <w:rPr>
          <w:rFonts w:eastAsia="Times New Roman"/>
          <w:szCs w:val="24"/>
          <w:lang w:eastAsia="en-AU"/>
        </w:rPr>
        <w:t> – at least 10% of older Australians living in residential aged care homes are interviewed face-to-face about their overall experience at their residential aged care home by a third-party vendor annually</w:t>
      </w:r>
    </w:p>
    <w:p w14:paraId="370B06D3" w14:textId="5A1C6692" w:rsidR="00466E61" w:rsidRPr="006863C6" w:rsidRDefault="00466E61" w:rsidP="000562A2">
      <w:pPr>
        <w:numPr>
          <w:ilvl w:val="0"/>
          <w:numId w:val="44"/>
        </w:numPr>
        <w:shd w:val="clear" w:color="auto" w:fill="FFFFFF"/>
        <w:spacing w:before="120"/>
        <w:ind w:left="714" w:hanging="357"/>
        <w:rPr>
          <w:rFonts w:eastAsia="Times New Roman"/>
          <w:szCs w:val="24"/>
          <w:lang w:eastAsia="en-AU"/>
        </w:rPr>
      </w:pPr>
      <w:r w:rsidRPr="006863C6">
        <w:rPr>
          <w:rFonts w:eastAsia="Times New Roman"/>
          <w:b/>
          <w:bCs/>
          <w:szCs w:val="24"/>
          <w:lang w:eastAsia="en-AU"/>
        </w:rPr>
        <w:t>Compliance</w:t>
      </w:r>
      <w:r w:rsidRPr="006863C6">
        <w:rPr>
          <w:rFonts w:eastAsia="Times New Roman"/>
          <w:szCs w:val="24"/>
          <w:lang w:eastAsia="en-AU"/>
        </w:rPr>
        <w:t xml:space="preserve"> – based on non-compliance decisions made by the Commission </w:t>
      </w:r>
      <w:r w:rsidR="003E12C6" w:rsidRPr="006863C6">
        <w:rPr>
          <w:rFonts w:eastAsia="Times New Roman"/>
          <w:szCs w:val="24"/>
          <w:lang w:eastAsia="en-AU"/>
        </w:rPr>
        <w:t xml:space="preserve">and </w:t>
      </w:r>
      <w:r w:rsidRPr="006863C6">
        <w:rPr>
          <w:rFonts w:eastAsia="Times New Roman"/>
          <w:szCs w:val="24"/>
          <w:lang w:eastAsia="en-AU"/>
        </w:rPr>
        <w:t>updated daily</w:t>
      </w:r>
    </w:p>
    <w:p w14:paraId="3D118DC4" w14:textId="0E97DA31" w:rsidR="00466E61" w:rsidRPr="006863C6" w:rsidRDefault="00466E61" w:rsidP="000562A2">
      <w:pPr>
        <w:numPr>
          <w:ilvl w:val="0"/>
          <w:numId w:val="44"/>
        </w:numPr>
        <w:shd w:val="clear" w:color="auto" w:fill="FFFFFF"/>
        <w:spacing w:before="120"/>
        <w:ind w:left="714" w:hanging="357"/>
        <w:rPr>
          <w:rFonts w:eastAsia="Times New Roman"/>
          <w:szCs w:val="24"/>
          <w:lang w:eastAsia="en-AU"/>
        </w:rPr>
      </w:pPr>
      <w:r w:rsidRPr="006863C6">
        <w:rPr>
          <w:rFonts w:eastAsia="Times New Roman"/>
          <w:b/>
          <w:bCs/>
          <w:szCs w:val="24"/>
          <w:lang w:eastAsia="en-AU"/>
        </w:rPr>
        <w:t>Staffing Minutes</w:t>
      </w:r>
      <w:r w:rsidRPr="006863C6">
        <w:rPr>
          <w:rFonts w:eastAsia="Times New Roman"/>
          <w:szCs w:val="24"/>
          <w:lang w:eastAsia="en-AU"/>
        </w:rPr>
        <w:t> – derived from reporting under the Quarterly Financial Report and Annual Financial report, case-mix adjusted through the Australian National Aged Care Classification and reported quarterly</w:t>
      </w:r>
    </w:p>
    <w:p w14:paraId="65786C1F" w14:textId="77777777" w:rsidR="00466E61" w:rsidRPr="006863C6" w:rsidRDefault="00466E61" w:rsidP="000562A2">
      <w:pPr>
        <w:numPr>
          <w:ilvl w:val="0"/>
          <w:numId w:val="44"/>
        </w:numPr>
        <w:shd w:val="clear" w:color="auto" w:fill="FFFFFF"/>
        <w:spacing w:before="120"/>
        <w:ind w:left="714" w:hanging="357"/>
        <w:rPr>
          <w:rFonts w:eastAsia="Times New Roman"/>
          <w:szCs w:val="24"/>
          <w:lang w:eastAsia="en-AU"/>
        </w:rPr>
      </w:pPr>
      <w:r w:rsidRPr="006863C6">
        <w:rPr>
          <w:rFonts w:eastAsia="Times New Roman"/>
          <w:b/>
          <w:bCs/>
          <w:szCs w:val="24"/>
          <w:lang w:eastAsia="en-AU"/>
        </w:rPr>
        <w:lastRenderedPageBreak/>
        <w:t>Quality Measures</w:t>
      </w:r>
      <w:r w:rsidRPr="006863C6">
        <w:rPr>
          <w:rFonts w:eastAsia="Times New Roman"/>
          <w:szCs w:val="24"/>
          <w:lang w:eastAsia="en-AU"/>
        </w:rPr>
        <w:t> – data on five existing quality indicators (pressure injuries, physical restraint, unplanned weight loss, falls and major injury, and medication management) reported quarterly.</w:t>
      </w:r>
    </w:p>
    <w:p w14:paraId="59A01D8A" w14:textId="77777777" w:rsidR="00641AA0" w:rsidRPr="006863C6" w:rsidRDefault="00466E61" w:rsidP="00466E61">
      <w:pPr>
        <w:shd w:val="clear" w:color="auto" w:fill="FFFFFF"/>
        <w:spacing w:before="100" w:beforeAutospacing="1" w:after="100" w:afterAutospacing="1"/>
        <w:rPr>
          <w:rFonts w:eastAsia="Times New Roman"/>
          <w:szCs w:val="24"/>
          <w:lang w:eastAsia="en-AU"/>
        </w:rPr>
      </w:pPr>
      <w:r w:rsidRPr="006863C6">
        <w:rPr>
          <w:rFonts w:eastAsia="Times New Roman"/>
          <w:szCs w:val="24"/>
          <w:lang w:eastAsia="en-AU"/>
        </w:rPr>
        <w:t xml:space="preserve">The Commission is responsible for the Compliance Rating sub-category of the Star Ratings system. </w:t>
      </w:r>
    </w:p>
    <w:p w14:paraId="2844C9B9" w14:textId="5041A94A" w:rsidR="00641AA0" w:rsidRDefault="00641AA0" w:rsidP="000562A2">
      <w:pPr>
        <w:pStyle w:val="Heading3"/>
        <w:rPr>
          <w:lang w:eastAsia="en-AU"/>
        </w:rPr>
      </w:pPr>
      <w:r>
        <w:rPr>
          <w:lang w:eastAsia="en-AU"/>
        </w:rPr>
        <w:t>Compliance Ratings</w:t>
      </w:r>
    </w:p>
    <w:p w14:paraId="3C044D6B" w14:textId="004B1848" w:rsidR="00C47953" w:rsidRDefault="00466E61" w:rsidP="000562A2">
      <w:pPr>
        <w:shd w:val="clear" w:color="auto" w:fill="FFFFFF"/>
        <w:spacing w:before="100" w:beforeAutospacing="1" w:after="100" w:afterAutospacing="1"/>
        <w:rPr>
          <w:szCs w:val="24"/>
        </w:rPr>
      </w:pPr>
      <w:r w:rsidRPr="000562A2">
        <w:rPr>
          <w:rFonts w:eastAsia="Times New Roman"/>
          <w:color w:val="313131"/>
          <w:szCs w:val="24"/>
          <w:lang w:eastAsia="en-AU"/>
        </w:rPr>
        <w:t>C</w:t>
      </w:r>
      <w:r w:rsidR="00226801" w:rsidRPr="00A8649D">
        <w:rPr>
          <w:szCs w:val="24"/>
        </w:rPr>
        <w:t>onsumers</w:t>
      </w:r>
      <w:r w:rsidRPr="000562A2">
        <w:rPr>
          <w:szCs w:val="24"/>
        </w:rPr>
        <w:t xml:space="preserve"> and their representatives</w:t>
      </w:r>
      <w:r w:rsidR="00226801" w:rsidRPr="00A8649D">
        <w:rPr>
          <w:szCs w:val="24"/>
        </w:rPr>
        <w:t xml:space="preserve"> </w:t>
      </w:r>
      <w:r w:rsidR="003E12C6">
        <w:rPr>
          <w:szCs w:val="24"/>
        </w:rPr>
        <w:t>can</w:t>
      </w:r>
      <w:r w:rsidR="00226801" w:rsidRPr="00A8649D">
        <w:rPr>
          <w:szCs w:val="24"/>
        </w:rPr>
        <w:t xml:space="preserve"> see the compliance status of residential services in a comparable format through </w:t>
      </w:r>
      <w:r w:rsidR="00641AA0" w:rsidRPr="000562A2">
        <w:rPr>
          <w:szCs w:val="24"/>
        </w:rPr>
        <w:t>the</w:t>
      </w:r>
      <w:r w:rsidR="00226801" w:rsidRPr="00A8649D">
        <w:rPr>
          <w:szCs w:val="24"/>
        </w:rPr>
        <w:t xml:space="preserve"> Compliance Rating on </w:t>
      </w:r>
      <w:r w:rsidR="00DE1FB7">
        <w:rPr>
          <w:szCs w:val="24"/>
        </w:rPr>
        <w:t xml:space="preserve">the </w:t>
      </w:r>
      <w:hyperlink r:id="rId25" w:history="1">
        <w:r w:rsidR="00DE1FB7" w:rsidRPr="000562A2">
          <w:rPr>
            <w:rStyle w:val="Hyperlink"/>
            <w:szCs w:val="24"/>
          </w:rPr>
          <w:t>My Aged Care website</w:t>
        </w:r>
      </w:hyperlink>
      <w:r w:rsidR="00D75220" w:rsidRPr="000562A2">
        <w:rPr>
          <w:szCs w:val="24"/>
        </w:rPr>
        <w:t>.</w:t>
      </w:r>
    </w:p>
    <w:p w14:paraId="32F1C322" w14:textId="61D28E4E" w:rsidR="00DE1FB7" w:rsidRPr="00A8649D" w:rsidRDefault="00DE1FB7" w:rsidP="00DE1FB7">
      <w:pPr>
        <w:rPr>
          <w:szCs w:val="24"/>
        </w:rPr>
      </w:pPr>
      <w:r>
        <w:rPr>
          <w:szCs w:val="24"/>
        </w:rPr>
        <w:t>Also, t</w:t>
      </w:r>
      <w:r w:rsidRPr="00A8649D">
        <w:rPr>
          <w:szCs w:val="24"/>
        </w:rPr>
        <w:t>he Commission publishes all provider non-compliance determined by the Commission on a central</w:t>
      </w:r>
      <w:r>
        <w:rPr>
          <w:szCs w:val="24"/>
        </w:rPr>
        <w:t xml:space="preserve"> </w:t>
      </w:r>
      <w:hyperlink r:id="rId26" w:history="1">
        <w:r w:rsidRPr="00DE1FB7">
          <w:rPr>
            <w:rStyle w:val="Hyperlink"/>
            <w:szCs w:val="24"/>
          </w:rPr>
          <w:t>non-compliance register</w:t>
        </w:r>
      </w:hyperlink>
      <w:r>
        <w:rPr>
          <w:szCs w:val="24"/>
        </w:rPr>
        <w:t>.</w:t>
      </w:r>
      <w:r w:rsidRPr="00A8649D">
        <w:rPr>
          <w:szCs w:val="24"/>
        </w:rPr>
        <w:t xml:space="preserve"> </w:t>
      </w:r>
    </w:p>
    <w:p w14:paraId="098A4FB2" w14:textId="65AA1EE6" w:rsidR="00BE69DF" w:rsidRDefault="00D75220">
      <w:pPr>
        <w:rPr>
          <w:szCs w:val="24"/>
        </w:rPr>
      </w:pPr>
      <w:r w:rsidRPr="000562A2">
        <w:rPr>
          <w:szCs w:val="24"/>
        </w:rPr>
        <w:t xml:space="preserve">A residential service’s </w:t>
      </w:r>
      <w:r w:rsidR="00BE6513" w:rsidRPr="000562A2">
        <w:rPr>
          <w:szCs w:val="24"/>
        </w:rPr>
        <w:t>Compliance R</w:t>
      </w:r>
      <w:r w:rsidR="00226801" w:rsidRPr="00A8649D">
        <w:rPr>
          <w:szCs w:val="24"/>
        </w:rPr>
        <w:t xml:space="preserve">ating </w:t>
      </w:r>
      <w:r w:rsidR="00BE69DF" w:rsidRPr="000562A2">
        <w:rPr>
          <w:szCs w:val="24"/>
        </w:rPr>
        <w:t>is displayed out of 5 stars and based on any current non-compliance decisions about the service:</w:t>
      </w:r>
    </w:p>
    <w:p w14:paraId="4A705238" w14:textId="77777777" w:rsidR="00DE1FB7" w:rsidRPr="000562A2" w:rsidRDefault="00DE1FB7">
      <w:pPr>
        <w:rPr>
          <w:szCs w:val="24"/>
        </w:rPr>
      </w:pPr>
    </w:p>
    <w:tbl>
      <w:tblPr>
        <w:tblStyle w:val="GridTable5Dark-Accent3"/>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ook w:val="04A0" w:firstRow="1" w:lastRow="0" w:firstColumn="1" w:lastColumn="0" w:noHBand="0" w:noVBand="1"/>
      </w:tblPr>
      <w:tblGrid>
        <w:gridCol w:w="2552"/>
        <w:gridCol w:w="7938"/>
      </w:tblGrid>
      <w:tr w:rsidR="00D15DE2" w:rsidRPr="00EE0F27" w14:paraId="5477AF9D" w14:textId="77777777" w:rsidTr="00A91A51">
        <w:trPr>
          <w:cnfStyle w:val="100000000000" w:firstRow="1" w:lastRow="0" w:firstColumn="0" w:lastColumn="0" w:oddVBand="0" w:evenVBand="0" w:oddHBand="0" w:evenHBand="0" w:firstRowFirstColumn="0" w:firstRowLastColumn="0" w:lastRowFirstColumn="0" w:lastRowLastColumn="0"/>
          <w:trHeight w:val="369"/>
          <w:tblHeader/>
        </w:trPr>
        <w:tc>
          <w:tcPr>
            <w:cnfStyle w:val="001000000000" w:firstRow="0" w:lastRow="0" w:firstColumn="1" w:lastColumn="0" w:oddVBand="0" w:evenVBand="0" w:oddHBand="0" w:evenHBand="0" w:firstRowFirstColumn="0" w:firstRowLastColumn="0" w:lastRowFirstColumn="0" w:lastRowLastColumn="0"/>
            <w:tcW w:w="2552" w:type="dxa"/>
            <w:tcBorders>
              <w:bottom w:val="single" w:sz="4" w:space="0" w:color="auto"/>
            </w:tcBorders>
            <w:shd w:val="clear" w:color="auto" w:fill="9CC2E5" w:themeFill="accent5" w:themeFillTint="99"/>
          </w:tcPr>
          <w:p w14:paraId="76F063D4" w14:textId="6C8A4503" w:rsidR="00D15DE2" w:rsidRPr="00EE0F27" w:rsidRDefault="00A91A51" w:rsidP="00A91A51">
            <w:pPr>
              <w:spacing w:before="120"/>
              <w:jc w:val="center"/>
              <w:rPr>
                <w:color w:val="auto"/>
                <w:sz w:val="22"/>
              </w:rPr>
            </w:pPr>
            <w:r>
              <w:rPr>
                <w:color w:val="auto"/>
                <w:sz w:val="22"/>
              </w:rPr>
              <w:t xml:space="preserve">Compliance </w:t>
            </w:r>
            <w:r w:rsidR="00D15DE2" w:rsidRPr="00EE0F27">
              <w:rPr>
                <w:color w:val="auto"/>
                <w:sz w:val="22"/>
              </w:rPr>
              <w:t>Rating</w:t>
            </w:r>
          </w:p>
        </w:tc>
        <w:tc>
          <w:tcPr>
            <w:tcW w:w="7938" w:type="dxa"/>
            <w:shd w:val="clear" w:color="auto" w:fill="9CC2E5" w:themeFill="accent5" w:themeFillTint="99"/>
          </w:tcPr>
          <w:p w14:paraId="7F32A1D7" w14:textId="77777777" w:rsidR="00D15DE2" w:rsidRPr="00EE0F27" w:rsidRDefault="00D15DE2" w:rsidP="00A91A51">
            <w:pPr>
              <w:spacing w:before="120"/>
              <w:jc w:val="center"/>
              <w:cnfStyle w:val="100000000000" w:firstRow="1" w:lastRow="0" w:firstColumn="0" w:lastColumn="0" w:oddVBand="0" w:evenVBand="0" w:oddHBand="0" w:evenHBand="0" w:firstRowFirstColumn="0" w:firstRowLastColumn="0" w:lastRowFirstColumn="0" w:lastRowLastColumn="0"/>
              <w:rPr>
                <w:color w:val="auto"/>
                <w:sz w:val="22"/>
              </w:rPr>
            </w:pPr>
            <w:r w:rsidRPr="00EE0F27">
              <w:rPr>
                <w:color w:val="auto"/>
                <w:sz w:val="22"/>
              </w:rPr>
              <w:t>Decision Type</w:t>
            </w:r>
          </w:p>
        </w:tc>
      </w:tr>
      <w:tr w:rsidR="00D15DE2" w:rsidRPr="00EE0F27" w14:paraId="4C4BCD9F" w14:textId="77777777" w:rsidTr="00A91A51">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2552" w:type="dxa"/>
            <w:vMerge w:val="restart"/>
            <w:tcBorders>
              <w:left w:val="single" w:sz="4" w:space="0" w:color="auto"/>
            </w:tcBorders>
            <w:shd w:val="clear" w:color="auto" w:fill="F2F2F2" w:themeFill="background1" w:themeFillShade="F2"/>
          </w:tcPr>
          <w:p w14:paraId="0E98F347" w14:textId="77777777" w:rsidR="00D15DE2" w:rsidRPr="006E3A36" w:rsidRDefault="00D15DE2" w:rsidP="00A91A51">
            <w:pPr>
              <w:spacing w:before="120"/>
              <w:jc w:val="center"/>
              <w:textAlignment w:val="baseline"/>
              <w:rPr>
                <w:rFonts w:ascii="Segoe UI" w:eastAsia="Times New Roman" w:hAnsi="Segoe UI" w:cs="Segoe UI"/>
                <w:color w:val="000000"/>
                <w:sz w:val="22"/>
                <w:lang w:eastAsia="en-AU"/>
              </w:rPr>
            </w:pPr>
            <w:r w:rsidRPr="006E3A36">
              <w:rPr>
                <w:rFonts w:ascii="Calibri" w:eastAsia="Times New Roman" w:hAnsi="Calibri" w:cs="Calibri"/>
                <w:color w:val="385623"/>
                <w:sz w:val="22"/>
                <w:lang w:eastAsia="en-AU"/>
              </w:rPr>
              <w:t xml:space="preserve">Significant Improvement </w:t>
            </w:r>
            <w:r>
              <w:rPr>
                <w:rFonts w:ascii="Calibri" w:eastAsia="Times New Roman" w:hAnsi="Calibri" w:cs="Calibri"/>
                <w:color w:val="385623"/>
                <w:sz w:val="22"/>
                <w:lang w:eastAsia="en-AU"/>
              </w:rPr>
              <w:t>needed</w:t>
            </w:r>
          </w:p>
          <w:p w14:paraId="1CB9AB15" w14:textId="77777777" w:rsidR="00D15DE2" w:rsidRPr="006E3A36" w:rsidRDefault="00D15DE2" w:rsidP="00A91A51">
            <w:pPr>
              <w:spacing w:before="120"/>
              <w:jc w:val="center"/>
              <w:textAlignment w:val="baseline"/>
              <w:rPr>
                <w:rFonts w:ascii="Segoe UI" w:eastAsia="Times New Roman" w:hAnsi="Segoe UI" w:cs="Segoe UI"/>
                <w:color w:val="000000"/>
                <w:sz w:val="22"/>
                <w:lang w:eastAsia="en-AU"/>
              </w:rPr>
            </w:pPr>
            <w:r w:rsidRPr="006E3A36">
              <w:rPr>
                <w:rFonts w:ascii="Wingdings" w:eastAsia="Times New Roman" w:hAnsi="Wingdings" w:cs="Segoe UI"/>
                <w:color w:val="385723"/>
                <w:sz w:val="22"/>
                <w:lang w:eastAsia="en-AU"/>
              </w:rPr>
              <w:t></w:t>
            </w:r>
          </w:p>
          <w:p w14:paraId="19E518A0" w14:textId="77777777" w:rsidR="00D15DE2" w:rsidRPr="00EE0F27" w:rsidRDefault="00D15DE2" w:rsidP="00A91A51">
            <w:pPr>
              <w:spacing w:before="120"/>
              <w:rPr>
                <w:color w:val="auto"/>
                <w:sz w:val="22"/>
              </w:rPr>
            </w:pPr>
          </w:p>
        </w:tc>
        <w:tc>
          <w:tcPr>
            <w:tcW w:w="7938" w:type="dxa"/>
            <w:shd w:val="clear" w:color="auto" w:fill="F2F2F2" w:themeFill="background1" w:themeFillShade="F2"/>
          </w:tcPr>
          <w:p w14:paraId="04EE7D5B" w14:textId="77777777" w:rsidR="00D15DE2" w:rsidRPr="00EE0F27" w:rsidRDefault="00D15DE2" w:rsidP="00A91A51">
            <w:pPr>
              <w:spacing w:before="120"/>
              <w:cnfStyle w:val="000000100000" w:firstRow="0" w:lastRow="0" w:firstColumn="0" w:lastColumn="0" w:oddVBand="0" w:evenVBand="0" w:oddHBand="1" w:evenHBand="0" w:firstRowFirstColumn="0" w:firstRowLastColumn="0" w:lastRowFirstColumn="0" w:lastRowLastColumn="0"/>
              <w:rPr>
                <w:sz w:val="22"/>
              </w:rPr>
            </w:pPr>
            <w:r w:rsidRPr="00EE0F27">
              <w:rPr>
                <w:sz w:val="22"/>
              </w:rPr>
              <w:t>Notice of Decision to impose Sanction (NDIS)</w:t>
            </w:r>
          </w:p>
        </w:tc>
      </w:tr>
      <w:tr w:rsidR="00D15DE2" w:rsidRPr="00EE0F27" w14:paraId="3740E766" w14:textId="77777777" w:rsidTr="00A91A51">
        <w:trPr>
          <w:trHeight w:val="384"/>
        </w:trPr>
        <w:tc>
          <w:tcPr>
            <w:cnfStyle w:val="001000000000" w:firstRow="0" w:lastRow="0" w:firstColumn="1" w:lastColumn="0" w:oddVBand="0" w:evenVBand="0" w:oddHBand="0" w:evenHBand="0" w:firstRowFirstColumn="0" w:firstRowLastColumn="0" w:lastRowFirstColumn="0" w:lastRowLastColumn="0"/>
            <w:tcW w:w="2552" w:type="dxa"/>
            <w:vMerge/>
            <w:tcBorders>
              <w:left w:val="single" w:sz="4" w:space="0" w:color="auto"/>
            </w:tcBorders>
            <w:shd w:val="clear" w:color="auto" w:fill="F2F2F2" w:themeFill="background1" w:themeFillShade="F2"/>
          </w:tcPr>
          <w:p w14:paraId="131C2422" w14:textId="77777777" w:rsidR="00D15DE2" w:rsidRPr="00EE0F27" w:rsidRDefault="00D15DE2" w:rsidP="00A91A51">
            <w:pPr>
              <w:spacing w:before="120"/>
              <w:rPr>
                <w:color w:val="auto"/>
                <w:sz w:val="22"/>
              </w:rPr>
            </w:pPr>
          </w:p>
        </w:tc>
        <w:tc>
          <w:tcPr>
            <w:tcW w:w="7938" w:type="dxa"/>
            <w:shd w:val="clear" w:color="auto" w:fill="F2F2F2" w:themeFill="background1" w:themeFillShade="F2"/>
          </w:tcPr>
          <w:p w14:paraId="39A2D7E3" w14:textId="77777777" w:rsidR="00D15DE2" w:rsidRPr="00EE0F27" w:rsidRDefault="00D15DE2" w:rsidP="00A91A51">
            <w:pPr>
              <w:spacing w:before="120"/>
              <w:cnfStyle w:val="000000000000" w:firstRow="0" w:lastRow="0" w:firstColumn="0" w:lastColumn="0" w:oddVBand="0" w:evenVBand="0" w:oddHBand="0" w:evenHBand="0" w:firstRowFirstColumn="0" w:firstRowLastColumn="0" w:lastRowFirstColumn="0" w:lastRowLastColumn="0"/>
              <w:rPr>
                <w:sz w:val="22"/>
              </w:rPr>
            </w:pPr>
            <w:r w:rsidRPr="00EE0F27">
              <w:rPr>
                <w:sz w:val="22"/>
              </w:rPr>
              <w:t>Notice of Requirement to Agree (NTA)</w:t>
            </w:r>
          </w:p>
        </w:tc>
      </w:tr>
      <w:tr w:rsidR="00D15DE2" w:rsidRPr="00EE0F27" w14:paraId="3C4229AA" w14:textId="77777777" w:rsidTr="00A91A51">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552" w:type="dxa"/>
            <w:vMerge/>
            <w:tcBorders>
              <w:left w:val="single" w:sz="4" w:space="0" w:color="auto"/>
            </w:tcBorders>
            <w:shd w:val="clear" w:color="auto" w:fill="F2F2F2" w:themeFill="background1" w:themeFillShade="F2"/>
          </w:tcPr>
          <w:p w14:paraId="4FF9F5EA" w14:textId="77777777" w:rsidR="00D15DE2" w:rsidRPr="00EE0F27" w:rsidRDefault="00D15DE2" w:rsidP="00A91A51">
            <w:pPr>
              <w:spacing w:before="120"/>
              <w:rPr>
                <w:color w:val="auto"/>
                <w:sz w:val="22"/>
              </w:rPr>
            </w:pPr>
          </w:p>
        </w:tc>
        <w:tc>
          <w:tcPr>
            <w:tcW w:w="7938" w:type="dxa"/>
            <w:shd w:val="clear" w:color="auto" w:fill="F2F2F2" w:themeFill="background1" w:themeFillShade="F2"/>
          </w:tcPr>
          <w:p w14:paraId="435C053F" w14:textId="77777777" w:rsidR="00D15DE2" w:rsidRPr="00EE0F27" w:rsidRDefault="00D15DE2" w:rsidP="00A91A51">
            <w:pPr>
              <w:spacing w:before="120"/>
              <w:cnfStyle w:val="000000100000" w:firstRow="0" w:lastRow="0" w:firstColumn="0" w:lastColumn="0" w:oddVBand="0" w:evenVBand="0" w:oddHBand="1" w:evenHBand="0" w:firstRowFirstColumn="0" w:firstRowLastColumn="0" w:lastRowFirstColumn="0" w:lastRowLastColumn="0"/>
              <w:rPr>
                <w:sz w:val="22"/>
              </w:rPr>
            </w:pPr>
            <w:r w:rsidRPr="00EE0F27">
              <w:rPr>
                <w:sz w:val="22"/>
              </w:rPr>
              <w:t>Issuance of Infringement Notice - Victimisation</w:t>
            </w:r>
          </w:p>
        </w:tc>
      </w:tr>
      <w:tr w:rsidR="00D15DE2" w:rsidRPr="00EE0F27" w14:paraId="20E15BF3" w14:textId="77777777" w:rsidTr="00A91A51">
        <w:trPr>
          <w:trHeight w:val="555"/>
        </w:trPr>
        <w:tc>
          <w:tcPr>
            <w:cnfStyle w:val="001000000000" w:firstRow="0" w:lastRow="0" w:firstColumn="1" w:lastColumn="0" w:oddVBand="0" w:evenVBand="0" w:oddHBand="0" w:evenHBand="0" w:firstRowFirstColumn="0" w:firstRowLastColumn="0" w:lastRowFirstColumn="0" w:lastRowLastColumn="0"/>
            <w:tcW w:w="2552" w:type="dxa"/>
            <w:vMerge/>
            <w:tcBorders>
              <w:left w:val="single" w:sz="4" w:space="0" w:color="auto"/>
            </w:tcBorders>
            <w:shd w:val="clear" w:color="auto" w:fill="F2F2F2" w:themeFill="background1" w:themeFillShade="F2"/>
          </w:tcPr>
          <w:p w14:paraId="51452830" w14:textId="77777777" w:rsidR="00D15DE2" w:rsidRPr="00EE0F27" w:rsidRDefault="00D15DE2" w:rsidP="00A91A51">
            <w:pPr>
              <w:spacing w:before="120"/>
              <w:rPr>
                <w:color w:val="auto"/>
                <w:sz w:val="22"/>
              </w:rPr>
            </w:pPr>
          </w:p>
        </w:tc>
        <w:tc>
          <w:tcPr>
            <w:tcW w:w="7938" w:type="dxa"/>
            <w:shd w:val="clear" w:color="auto" w:fill="F2F2F2" w:themeFill="background1" w:themeFillShade="F2"/>
          </w:tcPr>
          <w:p w14:paraId="65239393" w14:textId="77777777" w:rsidR="00D15DE2" w:rsidRPr="00EE0F27" w:rsidRDefault="00D15DE2" w:rsidP="00A91A51">
            <w:pPr>
              <w:spacing w:before="120"/>
              <w:cnfStyle w:val="000000000000" w:firstRow="0" w:lastRow="0" w:firstColumn="0" w:lastColumn="0" w:oddVBand="0" w:evenVBand="0" w:oddHBand="0" w:evenHBand="0" w:firstRowFirstColumn="0" w:firstRowLastColumn="0" w:lastRowFirstColumn="0" w:lastRowLastColumn="0"/>
              <w:rPr>
                <w:sz w:val="22"/>
              </w:rPr>
            </w:pPr>
            <w:r w:rsidRPr="00EE0F27">
              <w:rPr>
                <w:sz w:val="22"/>
              </w:rPr>
              <w:t>Issuance of Infringement Notice - Compliance Notice</w:t>
            </w:r>
          </w:p>
        </w:tc>
      </w:tr>
      <w:tr w:rsidR="00D15DE2" w:rsidRPr="00EE0F27" w14:paraId="79E3E702" w14:textId="77777777" w:rsidTr="00A91A51">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2552" w:type="dxa"/>
            <w:vMerge w:val="restart"/>
            <w:tcBorders>
              <w:left w:val="single" w:sz="4" w:space="0" w:color="auto"/>
            </w:tcBorders>
            <w:shd w:val="clear" w:color="auto" w:fill="DEEAF6" w:themeFill="accent5" w:themeFillTint="33"/>
          </w:tcPr>
          <w:p w14:paraId="00914230" w14:textId="77777777" w:rsidR="00D15DE2" w:rsidRPr="006E3A36" w:rsidRDefault="00D15DE2" w:rsidP="00A91A51">
            <w:pPr>
              <w:spacing w:before="120"/>
              <w:jc w:val="center"/>
              <w:textAlignment w:val="baseline"/>
              <w:rPr>
                <w:rFonts w:ascii="Segoe UI" w:eastAsia="Times New Roman" w:hAnsi="Segoe UI" w:cs="Segoe UI"/>
                <w:color w:val="000000"/>
                <w:sz w:val="22"/>
                <w:lang w:eastAsia="en-AU"/>
              </w:rPr>
            </w:pPr>
            <w:r w:rsidRPr="006E3A36">
              <w:rPr>
                <w:rFonts w:ascii="Calibri" w:eastAsia="Times New Roman" w:hAnsi="Calibri" w:cs="Calibri"/>
                <w:color w:val="385623"/>
                <w:sz w:val="22"/>
                <w:lang w:eastAsia="en-AU"/>
              </w:rPr>
              <w:t xml:space="preserve">Improvement </w:t>
            </w:r>
            <w:r>
              <w:rPr>
                <w:rFonts w:ascii="Calibri" w:eastAsia="Times New Roman" w:hAnsi="Calibri" w:cs="Calibri"/>
                <w:color w:val="385623"/>
                <w:sz w:val="22"/>
                <w:lang w:eastAsia="en-AU"/>
              </w:rPr>
              <w:t>needed</w:t>
            </w:r>
            <w:r w:rsidRPr="006E3A36">
              <w:rPr>
                <w:rFonts w:ascii="Calibri" w:eastAsia="Times New Roman" w:hAnsi="Calibri" w:cs="Calibri"/>
                <w:color w:val="385623"/>
                <w:sz w:val="22"/>
                <w:lang w:eastAsia="en-AU"/>
              </w:rPr>
              <w:t> </w:t>
            </w:r>
          </w:p>
          <w:p w14:paraId="5FA4D4CC" w14:textId="77777777" w:rsidR="00D15DE2" w:rsidRPr="006E3A36" w:rsidRDefault="00D15DE2" w:rsidP="00A91A51">
            <w:pPr>
              <w:spacing w:before="120"/>
              <w:jc w:val="center"/>
              <w:textAlignment w:val="baseline"/>
              <w:rPr>
                <w:rFonts w:ascii="Segoe UI" w:eastAsia="Times New Roman" w:hAnsi="Segoe UI" w:cs="Segoe UI"/>
                <w:color w:val="000000"/>
                <w:sz w:val="22"/>
                <w:lang w:eastAsia="en-AU"/>
              </w:rPr>
            </w:pPr>
            <w:r w:rsidRPr="006E3A36">
              <w:rPr>
                <w:rFonts w:ascii="Wingdings" w:eastAsia="Times New Roman" w:hAnsi="Wingdings" w:cs="Segoe UI"/>
                <w:color w:val="385723"/>
                <w:sz w:val="22"/>
                <w:lang w:eastAsia="en-AU"/>
              </w:rPr>
              <w:t></w:t>
            </w:r>
            <w:r w:rsidRPr="006E3A36">
              <w:rPr>
                <w:rFonts w:ascii="Wingdings" w:eastAsia="Times New Roman" w:hAnsi="Wingdings" w:cs="Segoe UI"/>
                <w:color w:val="385723"/>
                <w:sz w:val="22"/>
                <w:lang w:eastAsia="en-AU"/>
              </w:rPr>
              <w:t></w:t>
            </w:r>
          </w:p>
          <w:p w14:paraId="51847A24" w14:textId="77777777" w:rsidR="00D15DE2" w:rsidRPr="00EE0F27" w:rsidRDefault="00D15DE2" w:rsidP="00A91A51">
            <w:pPr>
              <w:spacing w:before="120"/>
              <w:rPr>
                <w:color w:val="auto"/>
                <w:sz w:val="22"/>
              </w:rPr>
            </w:pPr>
          </w:p>
        </w:tc>
        <w:tc>
          <w:tcPr>
            <w:tcW w:w="7938" w:type="dxa"/>
            <w:shd w:val="clear" w:color="auto" w:fill="DEEAF6" w:themeFill="accent5" w:themeFillTint="33"/>
          </w:tcPr>
          <w:p w14:paraId="624E88D3" w14:textId="77777777" w:rsidR="00D15DE2" w:rsidRPr="00EE0F27" w:rsidRDefault="00D15DE2" w:rsidP="00A91A51">
            <w:pPr>
              <w:spacing w:before="120"/>
              <w:cnfStyle w:val="000000100000" w:firstRow="0" w:lastRow="0" w:firstColumn="0" w:lastColumn="0" w:oddVBand="0" w:evenVBand="0" w:oddHBand="1" w:evenHBand="0" w:firstRowFirstColumn="0" w:firstRowLastColumn="0" w:lastRowFirstColumn="0" w:lastRowLastColumn="0"/>
              <w:rPr>
                <w:sz w:val="22"/>
              </w:rPr>
            </w:pPr>
            <w:r w:rsidRPr="00EE0F27">
              <w:rPr>
                <w:sz w:val="22"/>
              </w:rPr>
              <w:t xml:space="preserve">Notice to Remedy (NTR)  </w:t>
            </w:r>
          </w:p>
        </w:tc>
      </w:tr>
      <w:tr w:rsidR="00D15DE2" w:rsidRPr="00EE0F27" w14:paraId="4DCF2F92" w14:textId="77777777" w:rsidTr="00A91A51">
        <w:trPr>
          <w:trHeight w:val="384"/>
        </w:trPr>
        <w:tc>
          <w:tcPr>
            <w:cnfStyle w:val="001000000000" w:firstRow="0" w:lastRow="0" w:firstColumn="1" w:lastColumn="0" w:oddVBand="0" w:evenVBand="0" w:oddHBand="0" w:evenHBand="0" w:firstRowFirstColumn="0" w:firstRowLastColumn="0" w:lastRowFirstColumn="0" w:lastRowLastColumn="0"/>
            <w:tcW w:w="2552" w:type="dxa"/>
            <w:vMerge/>
            <w:tcBorders>
              <w:left w:val="single" w:sz="4" w:space="0" w:color="auto"/>
            </w:tcBorders>
            <w:shd w:val="clear" w:color="auto" w:fill="DEEAF6" w:themeFill="accent5" w:themeFillTint="33"/>
          </w:tcPr>
          <w:p w14:paraId="37222832" w14:textId="77777777" w:rsidR="00D15DE2" w:rsidRPr="00EE0F27" w:rsidRDefault="00D15DE2" w:rsidP="00A91A51">
            <w:pPr>
              <w:spacing w:before="120"/>
              <w:rPr>
                <w:color w:val="auto"/>
                <w:sz w:val="22"/>
              </w:rPr>
            </w:pPr>
          </w:p>
        </w:tc>
        <w:tc>
          <w:tcPr>
            <w:tcW w:w="7938" w:type="dxa"/>
            <w:shd w:val="clear" w:color="auto" w:fill="DEEAF6" w:themeFill="accent5" w:themeFillTint="33"/>
          </w:tcPr>
          <w:p w14:paraId="346CD25E" w14:textId="77777777" w:rsidR="00D15DE2" w:rsidRPr="00EE0F27" w:rsidRDefault="00D15DE2" w:rsidP="00A91A51">
            <w:pPr>
              <w:spacing w:before="120"/>
              <w:cnfStyle w:val="000000000000" w:firstRow="0" w:lastRow="0" w:firstColumn="0" w:lastColumn="0" w:oddVBand="0" w:evenVBand="0" w:oddHBand="0" w:evenHBand="0" w:firstRowFirstColumn="0" w:firstRowLastColumn="0" w:lastRowFirstColumn="0" w:lastRowLastColumn="0"/>
              <w:rPr>
                <w:sz w:val="22"/>
              </w:rPr>
            </w:pPr>
            <w:r w:rsidRPr="00EE0F27">
              <w:rPr>
                <w:sz w:val="22"/>
              </w:rPr>
              <w:t>Compliance Notice - Code of Conduct (CCCN)*</w:t>
            </w:r>
          </w:p>
        </w:tc>
      </w:tr>
      <w:tr w:rsidR="00D15DE2" w:rsidRPr="00EE0F27" w14:paraId="1D9E795C" w14:textId="77777777" w:rsidTr="00A91A51">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2552" w:type="dxa"/>
            <w:vMerge/>
            <w:tcBorders>
              <w:left w:val="single" w:sz="4" w:space="0" w:color="auto"/>
            </w:tcBorders>
            <w:shd w:val="clear" w:color="auto" w:fill="DEEAF6" w:themeFill="accent5" w:themeFillTint="33"/>
          </w:tcPr>
          <w:p w14:paraId="2060E28F" w14:textId="77777777" w:rsidR="00D15DE2" w:rsidRPr="00EE0F27" w:rsidRDefault="00D15DE2" w:rsidP="00A91A51">
            <w:pPr>
              <w:spacing w:before="120"/>
              <w:rPr>
                <w:color w:val="auto"/>
                <w:sz w:val="22"/>
              </w:rPr>
            </w:pPr>
          </w:p>
        </w:tc>
        <w:tc>
          <w:tcPr>
            <w:tcW w:w="7938" w:type="dxa"/>
            <w:shd w:val="clear" w:color="auto" w:fill="DEEAF6" w:themeFill="accent5" w:themeFillTint="33"/>
          </w:tcPr>
          <w:p w14:paraId="3FE05EB7" w14:textId="77777777" w:rsidR="00D15DE2" w:rsidRPr="00EE0F27" w:rsidRDefault="00D15DE2" w:rsidP="00A91A51">
            <w:pPr>
              <w:spacing w:before="120"/>
              <w:cnfStyle w:val="000000100000" w:firstRow="0" w:lastRow="0" w:firstColumn="0" w:lastColumn="0" w:oddVBand="0" w:evenVBand="0" w:oddHBand="1" w:evenHBand="0" w:firstRowFirstColumn="0" w:firstRowLastColumn="0" w:lastRowFirstColumn="0" w:lastRowLastColumn="0"/>
              <w:rPr>
                <w:sz w:val="22"/>
              </w:rPr>
            </w:pPr>
            <w:r w:rsidRPr="00EE0F27">
              <w:rPr>
                <w:sz w:val="22"/>
              </w:rPr>
              <w:t>Compliance Notice – Incident Management (IMCN)*</w:t>
            </w:r>
          </w:p>
        </w:tc>
      </w:tr>
      <w:tr w:rsidR="00D15DE2" w:rsidRPr="00EE0F27" w14:paraId="0C59EC7D" w14:textId="77777777" w:rsidTr="00A91A51">
        <w:trPr>
          <w:trHeight w:val="531"/>
        </w:trPr>
        <w:tc>
          <w:tcPr>
            <w:cnfStyle w:val="001000000000" w:firstRow="0" w:lastRow="0" w:firstColumn="1" w:lastColumn="0" w:oddVBand="0" w:evenVBand="0" w:oddHBand="0" w:evenHBand="0" w:firstRowFirstColumn="0" w:firstRowLastColumn="0" w:lastRowFirstColumn="0" w:lastRowLastColumn="0"/>
            <w:tcW w:w="2552" w:type="dxa"/>
            <w:vMerge/>
            <w:tcBorders>
              <w:left w:val="single" w:sz="4" w:space="0" w:color="auto"/>
            </w:tcBorders>
            <w:shd w:val="clear" w:color="auto" w:fill="DEEAF6" w:themeFill="accent5" w:themeFillTint="33"/>
          </w:tcPr>
          <w:p w14:paraId="63A280F5" w14:textId="77777777" w:rsidR="00D15DE2" w:rsidRPr="00EE0F27" w:rsidRDefault="00D15DE2" w:rsidP="00A91A51">
            <w:pPr>
              <w:spacing w:before="120"/>
              <w:rPr>
                <w:sz w:val="22"/>
              </w:rPr>
            </w:pPr>
          </w:p>
        </w:tc>
        <w:tc>
          <w:tcPr>
            <w:tcW w:w="7938" w:type="dxa"/>
            <w:shd w:val="clear" w:color="auto" w:fill="DEEAF6" w:themeFill="accent5" w:themeFillTint="33"/>
          </w:tcPr>
          <w:p w14:paraId="6C3A1C3B" w14:textId="77777777" w:rsidR="00D15DE2" w:rsidRPr="00EE0F27" w:rsidRDefault="00D15DE2" w:rsidP="00A91A51">
            <w:pPr>
              <w:spacing w:before="120"/>
              <w:cnfStyle w:val="000000000000" w:firstRow="0" w:lastRow="0" w:firstColumn="0" w:lastColumn="0" w:oddVBand="0" w:evenVBand="0" w:oddHBand="0" w:evenHBand="0" w:firstRowFirstColumn="0" w:firstRowLastColumn="0" w:lastRowFirstColumn="0" w:lastRowLastColumn="0"/>
              <w:rPr>
                <w:sz w:val="22"/>
              </w:rPr>
            </w:pPr>
            <w:r w:rsidRPr="00EE0F27">
              <w:rPr>
                <w:sz w:val="22"/>
              </w:rPr>
              <w:t xml:space="preserve">Compliance Notice - Restrictive </w:t>
            </w:r>
            <w:proofErr w:type="gramStart"/>
            <w:r w:rsidRPr="00EE0F27">
              <w:rPr>
                <w:sz w:val="22"/>
              </w:rPr>
              <w:t>practices(</w:t>
            </w:r>
            <w:proofErr w:type="gramEnd"/>
            <w:r w:rsidRPr="00EE0F27">
              <w:rPr>
                <w:sz w:val="22"/>
              </w:rPr>
              <w:t xml:space="preserve">RPCN)*  </w:t>
            </w:r>
          </w:p>
        </w:tc>
      </w:tr>
      <w:tr w:rsidR="00D15DE2" w:rsidRPr="00EE0F27" w14:paraId="56FE1BD4" w14:textId="77777777" w:rsidTr="00A91A51">
        <w:trPr>
          <w:cnfStyle w:val="000000100000" w:firstRow="0" w:lastRow="0" w:firstColumn="0" w:lastColumn="0" w:oddVBand="0" w:evenVBand="0" w:oddHBand="1" w:evenHBand="0" w:firstRowFirstColumn="0" w:firstRowLastColumn="0" w:lastRowFirstColumn="0" w:lastRowLastColumn="0"/>
          <w:trHeight w:val="1577"/>
        </w:trPr>
        <w:tc>
          <w:tcPr>
            <w:cnfStyle w:val="001000000000" w:firstRow="0" w:lastRow="0" w:firstColumn="1" w:lastColumn="0" w:oddVBand="0" w:evenVBand="0" w:oddHBand="0" w:evenHBand="0" w:firstRowFirstColumn="0" w:firstRowLastColumn="0" w:lastRowFirstColumn="0" w:lastRowLastColumn="0"/>
            <w:tcW w:w="2552" w:type="dxa"/>
            <w:tcBorders>
              <w:left w:val="single" w:sz="4" w:space="0" w:color="auto"/>
            </w:tcBorders>
            <w:shd w:val="clear" w:color="auto" w:fill="F2F2F2" w:themeFill="background1" w:themeFillShade="F2"/>
          </w:tcPr>
          <w:p w14:paraId="70D21DFF" w14:textId="77777777" w:rsidR="00D15DE2" w:rsidRPr="006E3A36" w:rsidRDefault="00D15DE2" w:rsidP="00A91A51">
            <w:pPr>
              <w:spacing w:before="120"/>
              <w:jc w:val="center"/>
              <w:textAlignment w:val="baseline"/>
              <w:rPr>
                <w:rFonts w:ascii="Segoe UI" w:eastAsia="Times New Roman" w:hAnsi="Segoe UI" w:cs="Segoe UI"/>
                <w:color w:val="000000"/>
                <w:sz w:val="22"/>
                <w:lang w:eastAsia="en-AU"/>
              </w:rPr>
            </w:pPr>
            <w:r w:rsidRPr="006E3A36">
              <w:rPr>
                <w:rFonts w:ascii="Calibri" w:eastAsia="Times New Roman" w:hAnsi="Calibri" w:cs="Calibri"/>
                <w:color w:val="385723"/>
                <w:sz w:val="22"/>
                <w:lang w:eastAsia="en-AU"/>
              </w:rPr>
              <w:t>Acceptable </w:t>
            </w:r>
          </w:p>
          <w:p w14:paraId="47D5AE61" w14:textId="77777777" w:rsidR="00D15DE2" w:rsidRPr="006E3A36" w:rsidRDefault="00D15DE2" w:rsidP="00A91A51">
            <w:pPr>
              <w:spacing w:before="120"/>
              <w:jc w:val="center"/>
              <w:textAlignment w:val="baseline"/>
              <w:rPr>
                <w:rFonts w:ascii="Segoe UI" w:eastAsia="Times New Roman" w:hAnsi="Segoe UI" w:cs="Segoe UI"/>
                <w:color w:val="000000"/>
                <w:sz w:val="22"/>
                <w:lang w:eastAsia="en-AU"/>
              </w:rPr>
            </w:pPr>
            <w:r w:rsidRPr="006E3A36">
              <w:rPr>
                <w:rFonts w:ascii="Wingdings" w:eastAsia="Times New Roman" w:hAnsi="Wingdings" w:cs="Segoe UI"/>
                <w:color w:val="385723"/>
                <w:sz w:val="22"/>
                <w:lang w:eastAsia="en-AU"/>
              </w:rPr>
              <w:t></w:t>
            </w:r>
            <w:r w:rsidRPr="006E3A36">
              <w:rPr>
                <w:rFonts w:ascii="Wingdings" w:eastAsia="Times New Roman" w:hAnsi="Wingdings" w:cs="Segoe UI"/>
                <w:color w:val="385723"/>
                <w:sz w:val="22"/>
                <w:lang w:eastAsia="en-AU"/>
              </w:rPr>
              <w:t></w:t>
            </w:r>
            <w:r w:rsidRPr="006E3A36">
              <w:rPr>
                <w:rFonts w:ascii="Wingdings" w:eastAsia="Times New Roman" w:hAnsi="Wingdings" w:cs="Segoe UI"/>
                <w:color w:val="385723"/>
                <w:sz w:val="22"/>
                <w:lang w:eastAsia="en-AU"/>
              </w:rPr>
              <w:t></w:t>
            </w:r>
          </w:p>
          <w:p w14:paraId="6B8FAB0F" w14:textId="77777777" w:rsidR="00D15DE2" w:rsidRPr="00EE0F27" w:rsidRDefault="00D15DE2" w:rsidP="00A91A51">
            <w:pPr>
              <w:spacing w:before="120"/>
              <w:rPr>
                <w:sz w:val="22"/>
              </w:rPr>
            </w:pPr>
          </w:p>
        </w:tc>
        <w:tc>
          <w:tcPr>
            <w:tcW w:w="7938" w:type="dxa"/>
            <w:shd w:val="clear" w:color="auto" w:fill="F2F2F2" w:themeFill="background1" w:themeFillShade="F2"/>
          </w:tcPr>
          <w:p w14:paraId="01A246E7" w14:textId="77777777" w:rsidR="00D15DE2" w:rsidRPr="00EE0F27" w:rsidRDefault="00D15DE2" w:rsidP="00A91A51">
            <w:pPr>
              <w:spacing w:before="120"/>
              <w:cnfStyle w:val="000000100000" w:firstRow="0" w:lastRow="0" w:firstColumn="0" w:lastColumn="0" w:oddVBand="0" w:evenVBand="0" w:oddHBand="1" w:evenHBand="0" w:firstRowFirstColumn="0" w:firstRowLastColumn="0" w:lastRowFirstColumn="0" w:lastRowLastColumn="0"/>
              <w:rPr>
                <w:sz w:val="22"/>
              </w:rPr>
            </w:pPr>
            <w:r w:rsidRPr="00EE0F27">
              <w:rPr>
                <w:sz w:val="22"/>
              </w:rPr>
              <w:t xml:space="preserve">When the </w:t>
            </w:r>
            <w:r>
              <w:rPr>
                <w:sz w:val="22"/>
              </w:rPr>
              <w:t>C</w:t>
            </w:r>
            <w:r w:rsidRPr="00EE0F27">
              <w:rPr>
                <w:sz w:val="22"/>
              </w:rPr>
              <w:t>ommission is satisfied that all non-compliance has been resolved i.e. (no current non-compliance for up to 1 year)  </w:t>
            </w:r>
          </w:p>
          <w:p w14:paraId="4986C77C" w14:textId="77777777" w:rsidR="00D15DE2" w:rsidRPr="00EE0F27" w:rsidRDefault="00D15DE2" w:rsidP="00A91A51">
            <w:pPr>
              <w:spacing w:before="120"/>
              <w:cnfStyle w:val="000000100000" w:firstRow="0" w:lastRow="0" w:firstColumn="0" w:lastColumn="0" w:oddVBand="0" w:evenVBand="0" w:oddHBand="1" w:evenHBand="0" w:firstRowFirstColumn="0" w:firstRowLastColumn="0" w:lastRowFirstColumn="0" w:lastRowLastColumn="0"/>
              <w:rPr>
                <w:sz w:val="22"/>
              </w:rPr>
            </w:pPr>
            <w:r w:rsidRPr="00EE0F27">
              <w:rPr>
                <w:b/>
                <w:bCs/>
                <w:sz w:val="22"/>
              </w:rPr>
              <w:t>OR</w:t>
            </w:r>
            <w:r w:rsidRPr="00EE0F27">
              <w:rPr>
                <w:sz w:val="22"/>
              </w:rPr>
              <w:t> </w:t>
            </w:r>
          </w:p>
          <w:p w14:paraId="529FC965" w14:textId="77777777" w:rsidR="00D15DE2" w:rsidRPr="00EE0F27" w:rsidRDefault="00D15DE2" w:rsidP="00A91A51">
            <w:pPr>
              <w:spacing w:before="120"/>
              <w:cnfStyle w:val="000000100000" w:firstRow="0" w:lastRow="0" w:firstColumn="0" w:lastColumn="0" w:oddVBand="0" w:evenVBand="0" w:oddHBand="1" w:evenHBand="0" w:firstRowFirstColumn="0" w:firstRowLastColumn="0" w:lastRowFirstColumn="0" w:lastRowLastColumn="0"/>
              <w:rPr>
                <w:sz w:val="22"/>
              </w:rPr>
            </w:pPr>
            <w:r w:rsidRPr="00EE0F27">
              <w:rPr>
                <w:sz w:val="22"/>
              </w:rPr>
              <w:t>Direction to revise plan for continuous improvement that is currently active (PCI)</w:t>
            </w:r>
          </w:p>
        </w:tc>
      </w:tr>
      <w:tr w:rsidR="00D15DE2" w:rsidRPr="00EE0F27" w14:paraId="78FB24BD" w14:textId="77777777" w:rsidTr="00A91A51">
        <w:trPr>
          <w:trHeight w:val="854"/>
        </w:trPr>
        <w:tc>
          <w:tcPr>
            <w:cnfStyle w:val="001000000000" w:firstRow="0" w:lastRow="0" w:firstColumn="1" w:lastColumn="0" w:oddVBand="0" w:evenVBand="0" w:oddHBand="0" w:evenHBand="0" w:firstRowFirstColumn="0" w:firstRowLastColumn="0" w:lastRowFirstColumn="0" w:lastRowLastColumn="0"/>
            <w:tcW w:w="2552" w:type="dxa"/>
            <w:tcBorders>
              <w:left w:val="single" w:sz="4" w:space="0" w:color="auto"/>
            </w:tcBorders>
            <w:shd w:val="clear" w:color="auto" w:fill="DEEAF6" w:themeFill="accent5" w:themeFillTint="33"/>
          </w:tcPr>
          <w:p w14:paraId="6D7E82AF" w14:textId="77777777" w:rsidR="00D15DE2" w:rsidRPr="006E3A36" w:rsidRDefault="00D15DE2" w:rsidP="00A91A51">
            <w:pPr>
              <w:spacing w:before="120"/>
              <w:jc w:val="center"/>
              <w:textAlignment w:val="baseline"/>
              <w:rPr>
                <w:rFonts w:ascii="Segoe UI" w:eastAsia="Times New Roman" w:hAnsi="Segoe UI" w:cs="Segoe UI"/>
                <w:color w:val="000000"/>
                <w:sz w:val="22"/>
                <w:lang w:eastAsia="en-AU"/>
              </w:rPr>
            </w:pPr>
            <w:r w:rsidRPr="006E3A36">
              <w:rPr>
                <w:rFonts w:ascii="Calibri" w:eastAsia="Times New Roman" w:hAnsi="Calibri" w:cs="Calibri"/>
                <w:color w:val="385723"/>
                <w:sz w:val="22"/>
                <w:lang w:eastAsia="en-AU"/>
              </w:rPr>
              <w:t>Good  </w:t>
            </w:r>
          </w:p>
          <w:p w14:paraId="29685848" w14:textId="77777777" w:rsidR="00D15DE2" w:rsidRPr="006E3A36" w:rsidRDefault="00D15DE2" w:rsidP="00A91A51">
            <w:pPr>
              <w:spacing w:before="120"/>
              <w:jc w:val="center"/>
              <w:textAlignment w:val="baseline"/>
              <w:rPr>
                <w:rFonts w:ascii="Segoe UI" w:eastAsia="Times New Roman" w:hAnsi="Segoe UI" w:cs="Segoe UI"/>
                <w:color w:val="000000"/>
                <w:sz w:val="22"/>
                <w:lang w:eastAsia="en-AU"/>
              </w:rPr>
            </w:pPr>
            <w:r w:rsidRPr="006E3A36">
              <w:rPr>
                <w:rFonts w:ascii="Wingdings" w:eastAsia="Times New Roman" w:hAnsi="Wingdings" w:cs="Segoe UI"/>
                <w:color w:val="385723"/>
                <w:sz w:val="22"/>
                <w:lang w:eastAsia="en-AU"/>
              </w:rPr>
              <w:t></w:t>
            </w:r>
            <w:r w:rsidRPr="006E3A36">
              <w:rPr>
                <w:rFonts w:ascii="Wingdings" w:eastAsia="Times New Roman" w:hAnsi="Wingdings" w:cs="Segoe UI"/>
                <w:color w:val="385723"/>
                <w:sz w:val="22"/>
                <w:lang w:eastAsia="en-AU"/>
              </w:rPr>
              <w:t></w:t>
            </w:r>
            <w:r w:rsidRPr="006E3A36">
              <w:rPr>
                <w:rFonts w:ascii="Wingdings" w:eastAsia="Times New Roman" w:hAnsi="Wingdings" w:cs="Segoe UI"/>
                <w:color w:val="385723"/>
                <w:sz w:val="22"/>
                <w:lang w:eastAsia="en-AU"/>
              </w:rPr>
              <w:t></w:t>
            </w:r>
            <w:r w:rsidRPr="006E3A36">
              <w:rPr>
                <w:rFonts w:ascii="Wingdings" w:eastAsia="Times New Roman" w:hAnsi="Wingdings" w:cs="Segoe UI"/>
                <w:color w:val="385723"/>
                <w:sz w:val="22"/>
                <w:lang w:eastAsia="en-AU"/>
              </w:rPr>
              <w:t></w:t>
            </w:r>
          </w:p>
          <w:p w14:paraId="230F7A6E" w14:textId="77777777" w:rsidR="00D15DE2" w:rsidRPr="00EE0F27" w:rsidRDefault="00D15DE2" w:rsidP="00A91A51">
            <w:pPr>
              <w:spacing w:before="120"/>
              <w:rPr>
                <w:sz w:val="22"/>
              </w:rPr>
            </w:pPr>
          </w:p>
        </w:tc>
        <w:tc>
          <w:tcPr>
            <w:tcW w:w="7938" w:type="dxa"/>
            <w:shd w:val="clear" w:color="auto" w:fill="DEEAF6" w:themeFill="accent5" w:themeFillTint="33"/>
          </w:tcPr>
          <w:p w14:paraId="23D89140" w14:textId="62E43CB4" w:rsidR="00D15DE2" w:rsidRPr="00EE0F27" w:rsidRDefault="00D15DE2" w:rsidP="00A91A51">
            <w:pPr>
              <w:spacing w:before="120"/>
              <w:cnfStyle w:val="000000000000" w:firstRow="0" w:lastRow="0" w:firstColumn="0" w:lastColumn="0" w:oddVBand="0" w:evenVBand="0" w:oddHBand="0" w:evenHBand="0" w:firstRowFirstColumn="0" w:firstRowLastColumn="0" w:lastRowFirstColumn="0" w:lastRowLastColumn="0"/>
              <w:rPr>
                <w:sz w:val="22"/>
              </w:rPr>
            </w:pPr>
            <w:r w:rsidRPr="00EE0F27">
              <w:rPr>
                <w:sz w:val="22"/>
              </w:rPr>
              <w:t xml:space="preserve">No non-compliance for a </w:t>
            </w:r>
            <w:proofErr w:type="gramStart"/>
            <w:r w:rsidRPr="00EE0F27">
              <w:rPr>
                <w:sz w:val="22"/>
              </w:rPr>
              <w:t>1-3 year</w:t>
            </w:r>
            <w:proofErr w:type="gramEnd"/>
            <w:r w:rsidRPr="00EE0F27">
              <w:rPr>
                <w:sz w:val="22"/>
              </w:rPr>
              <w:t xml:space="preserve"> period</w:t>
            </w:r>
            <w:r w:rsidR="0079228C" w:rsidRPr="00EE0F27">
              <w:rPr>
                <w:sz w:val="22"/>
              </w:rPr>
              <w:t>***</w:t>
            </w:r>
          </w:p>
          <w:p w14:paraId="4648FC12" w14:textId="77777777" w:rsidR="00D15DE2" w:rsidRPr="00EE0F27" w:rsidRDefault="00D15DE2" w:rsidP="00A91A51">
            <w:pPr>
              <w:spacing w:before="120"/>
              <w:cnfStyle w:val="000000000000" w:firstRow="0" w:lastRow="0" w:firstColumn="0" w:lastColumn="0" w:oddVBand="0" w:evenVBand="0" w:oddHBand="0" w:evenHBand="0" w:firstRowFirstColumn="0" w:firstRowLastColumn="0" w:lastRowFirstColumn="0" w:lastRowLastColumn="0"/>
              <w:rPr>
                <w:sz w:val="22"/>
              </w:rPr>
            </w:pPr>
          </w:p>
        </w:tc>
      </w:tr>
      <w:tr w:rsidR="00D15DE2" w:rsidRPr="00EE0F27" w14:paraId="23DC3293" w14:textId="77777777" w:rsidTr="00A91A51">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2552" w:type="dxa"/>
            <w:tcBorders>
              <w:left w:val="single" w:sz="4" w:space="0" w:color="auto"/>
              <w:bottom w:val="single" w:sz="4" w:space="0" w:color="auto"/>
            </w:tcBorders>
            <w:shd w:val="clear" w:color="auto" w:fill="F2F2F2" w:themeFill="background1" w:themeFillShade="F2"/>
          </w:tcPr>
          <w:p w14:paraId="55BD5D92" w14:textId="77777777" w:rsidR="00D15DE2" w:rsidRPr="006E3A36" w:rsidRDefault="00D15DE2" w:rsidP="00A91A51">
            <w:pPr>
              <w:spacing w:before="120"/>
              <w:jc w:val="center"/>
              <w:textAlignment w:val="baseline"/>
              <w:rPr>
                <w:rFonts w:ascii="Segoe UI" w:eastAsia="Times New Roman" w:hAnsi="Segoe UI" w:cs="Segoe UI"/>
                <w:color w:val="000000"/>
                <w:sz w:val="22"/>
                <w:lang w:eastAsia="en-AU"/>
              </w:rPr>
            </w:pPr>
            <w:r>
              <w:rPr>
                <w:rFonts w:ascii="Calibri" w:eastAsia="Times New Roman" w:hAnsi="Calibri" w:cs="Calibri"/>
                <w:color w:val="385723"/>
                <w:sz w:val="22"/>
                <w:lang w:eastAsia="en-AU"/>
              </w:rPr>
              <w:lastRenderedPageBreak/>
              <w:t>Excellent</w:t>
            </w:r>
            <w:r w:rsidRPr="006E3A36">
              <w:rPr>
                <w:rFonts w:ascii="Calibri" w:eastAsia="Times New Roman" w:hAnsi="Calibri" w:cs="Calibri"/>
                <w:color w:val="385723"/>
                <w:sz w:val="22"/>
                <w:lang w:eastAsia="en-AU"/>
              </w:rPr>
              <w:t> </w:t>
            </w:r>
          </w:p>
          <w:p w14:paraId="5CBB8E11" w14:textId="77777777" w:rsidR="00D15DE2" w:rsidRPr="006E3A36" w:rsidRDefault="00D15DE2" w:rsidP="00A91A51">
            <w:pPr>
              <w:spacing w:before="120"/>
              <w:jc w:val="center"/>
              <w:textAlignment w:val="baseline"/>
              <w:rPr>
                <w:rFonts w:ascii="Segoe UI" w:eastAsia="Times New Roman" w:hAnsi="Segoe UI" w:cs="Segoe UI"/>
                <w:color w:val="000000"/>
                <w:sz w:val="22"/>
                <w:lang w:eastAsia="en-AU"/>
              </w:rPr>
            </w:pPr>
            <w:r w:rsidRPr="006E3A36">
              <w:rPr>
                <w:rFonts w:ascii="Wingdings" w:eastAsia="Times New Roman" w:hAnsi="Wingdings" w:cs="Segoe UI"/>
                <w:color w:val="385723"/>
                <w:sz w:val="22"/>
                <w:lang w:eastAsia="en-AU"/>
              </w:rPr>
              <w:t></w:t>
            </w:r>
            <w:r w:rsidRPr="006E3A36">
              <w:rPr>
                <w:rFonts w:ascii="Wingdings" w:eastAsia="Times New Roman" w:hAnsi="Wingdings" w:cs="Segoe UI"/>
                <w:color w:val="385723"/>
                <w:sz w:val="22"/>
                <w:lang w:eastAsia="en-AU"/>
              </w:rPr>
              <w:t></w:t>
            </w:r>
            <w:r w:rsidRPr="006E3A36">
              <w:rPr>
                <w:rFonts w:ascii="Wingdings" w:eastAsia="Times New Roman" w:hAnsi="Wingdings" w:cs="Segoe UI"/>
                <w:color w:val="385723"/>
                <w:sz w:val="22"/>
                <w:lang w:eastAsia="en-AU"/>
              </w:rPr>
              <w:t></w:t>
            </w:r>
            <w:r w:rsidRPr="006E3A36">
              <w:rPr>
                <w:rFonts w:ascii="Wingdings" w:eastAsia="Times New Roman" w:hAnsi="Wingdings" w:cs="Segoe UI"/>
                <w:color w:val="385723"/>
                <w:sz w:val="22"/>
                <w:lang w:eastAsia="en-AU"/>
              </w:rPr>
              <w:t></w:t>
            </w:r>
            <w:r w:rsidRPr="006E3A36">
              <w:rPr>
                <w:rFonts w:ascii="Wingdings" w:eastAsia="Times New Roman" w:hAnsi="Wingdings" w:cs="Segoe UI"/>
                <w:color w:val="385723"/>
                <w:sz w:val="22"/>
                <w:lang w:eastAsia="en-AU"/>
              </w:rPr>
              <w:t></w:t>
            </w:r>
          </w:p>
          <w:p w14:paraId="22460ED3" w14:textId="77777777" w:rsidR="00D15DE2" w:rsidRPr="00EE0F27" w:rsidRDefault="00D15DE2" w:rsidP="00A91A51">
            <w:pPr>
              <w:spacing w:before="120"/>
              <w:rPr>
                <w:sz w:val="22"/>
              </w:rPr>
            </w:pPr>
          </w:p>
        </w:tc>
        <w:tc>
          <w:tcPr>
            <w:tcW w:w="7938" w:type="dxa"/>
            <w:shd w:val="clear" w:color="auto" w:fill="F2F2F2" w:themeFill="background1" w:themeFillShade="F2"/>
          </w:tcPr>
          <w:p w14:paraId="74B376A9" w14:textId="0865D2CC" w:rsidR="00D15DE2" w:rsidRPr="00EE0F27" w:rsidRDefault="00D15DE2" w:rsidP="00A91A51">
            <w:pPr>
              <w:spacing w:before="120"/>
              <w:cnfStyle w:val="000000100000" w:firstRow="0" w:lastRow="0" w:firstColumn="0" w:lastColumn="0" w:oddVBand="0" w:evenVBand="0" w:oddHBand="1" w:evenHBand="0" w:firstRowFirstColumn="0" w:firstRowLastColumn="0" w:lastRowFirstColumn="0" w:lastRowLastColumn="0"/>
              <w:rPr>
                <w:sz w:val="22"/>
              </w:rPr>
            </w:pPr>
            <w:r w:rsidRPr="00EE0F27">
              <w:rPr>
                <w:sz w:val="22"/>
              </w:rPr>
              <w:t>No non-compliance for 3 years AND has been granted accreditation</w:t>
            </w:r>
            <w:r w:rsidR="00F57985" w:rsidRPr="00EE0F27">
              <w:rPr>
                <w:sz w:val="22"/>
              </w:rPr>
              <w:t>**</w:t>
            </w:r>
            <w:r w:rsidRPr="00EE0F27">
              <w:rPr>
                <w:sz w:val="22"/>
              </w:rPr>
              <w:t xml:space="preserve"> for a 3-year period</w:t>
            </w:r>
            <w:r w:rsidR="00BC7881">
              <w:rPr>
                <w:sz w:val="22"/>
              </w:rPr>
              <w:t xml:space="preserve"> </w:t>
            </w:r>
            <w:r w:rsidR="00BC7881" w:rsidRPr="0020348B">
              <w:rPr>
                <w:rFonts w:eastAsia="Calibri"/>
                <w:i/>
                <w:sz w:val="22"/>
              </w:rPr>
              <w:t>***</w:t>
            </w:r>
          </w:p>
        </w:tc>
      </w:tr>
      <w:tr w:rsidR="00D15DE2" w:rsidRPr="00EE0F27" w14:paraId="052AF233" w14:textId="77777777" w:rsidTr="00A91A51">
        <w:trPr>
          <w:trHeight w:val="687"/>
        </w:trPr>
        <w:tc>
          <w:tcPr>
            <w:cnfStyle w:val="001000000000" w:firstRow="0" w:lastRow="0" w:firstColumn="1" w:lastColumn="0" w:oddVBand="0" w:evenVBand="0" w:oddHBand="0" w:evenHBand="0" w:firstRowFirstColumn="0" w:firstRowLastColumn="0" w:lastRowFirstColumn="0" w:lastRowLastColumn="0"/>
            <w:tcW w:w="2552" w:type="dxa"/>
            <w:tcBorders>
              <w:left w:val="single" w:sz="4" w:space="0" w:color="auto"/>
              <w:bottom w:val="single" w:sz="4" w:space="0" w:color="auto"/>
            </w:tcBorders>
            <w:shd w:val="clear" w:color="auto" w:fill="DEEAF6" w:themeFill="accent5" w:themeFillTint="33"/>
          </w:tcPr>
          <w:p w14:paraId="518CEA92" w14:textId="77777777" w:rsidR="00D15DE2" w:rsidRPr="006E3A36" w:rsidRDefault="00D15DE2" w:rsidP="00A91A51">
            <w:pPr>
              <w:spacing w:before="120"/>
              <w:jc w:val="center"/>
              <w:textAlignment w:val="baseline"/>
              <w:rPr>
                <w:rFonts w:ascii="Segoe UI" w:eastAsia="Times New Roman" w:hAnsi="Segoe UI" w:cs="Segoe UI"/>
                <w:color w:val="000000"/>
                <w:sz w:val="22"/>
                <w:lang w:eastAsia="en-AU"/>
              </w:rPr>
            </w:pPr>
            <w:r w:rsidRPr="006E3A36">
              <w:rPr>
                <w:rFonts w:ascii="Calibri" w:eastAsia="Times New Roman" w:hAnsi="Calibri" w:cs="Calibri"/>
                <w:color w:val="385723"/>
                <w:sz w:val="22"/>
                <w:lang w:eastAsia="en-AU"/>
              </w:rPr>
              <w:t>Null Status </w:t>
            </w:r>
          </w:p>
          <w:p w14:paraId="260FD395" w14:textId="77777777" w:rsidR="00D15DE2" w:rsidRPr="006E3A36" w:rsidRDefault="00D15DE2" w:rsidP="00A91A51">
            <w:pPr>
              <w:spacing w:before="120"/>
              <w:jc w:val="center"/>
              <w:textAlignment w:val="baseline"/>
              <w:rPr>
                <w:rFonts w:ascii="Segoe UI" w:eastAsia="Times New Roman" w:hAnsi="Segoe UI" w:cs="Segoe UI"/>
                <w:color w:val="000000"/>
                <w:sz w:val="22"/>
                <w:lang w:eastAsia="en-AU"/>
              </w:rPr>
            </w:pPr>
            <w:r w:rsidRPr="006E3A36">
              <w:rPr>
                <w:rFonts w:ascii="Wingdings" w:eastAsia="Times New Roman" w:hAnsi="Wingdings" w:cs="Segoe UI"/>
                <w:color w:val="A6A6A6"/>
                <w:sz w:val="22"/>
                <w:lang w:eastAsia="en-AU"/>
              </w:rPr>
              <w:t></w:t>
            </w:r>
            <w:r w:rsidRPr="006E3A36">
              <w:rPr>
                <w:rFonts w:ascii="Wingdings" w:eastAsia="Times New Roman" w:hAnsi="Wingdings" w:cs="Segoe UI"/>
                <w:color w:val="A6A6A6"/>
                <w:sz w:val="22"/>
                <w:lang w:eastAsia="en-AU"/>
              </w:rPr>
              <w:t></w:t>
            </w:r>
            <w:r w:rsidRPr="006E3A36">
              <w:rPr>
                <w:rFonts w:ascii="Wingdings" w:eastAsia="Times New Roman" w:hAnsi="Wingdings" w:cs="Segoe UI"/>
                <w:color w:val="A6A6A6"/>
                <w:sz w:val="22"/>
                <w:lang w:eastAsia="en-AU"/>
              </w:rPr>
              <w:t></w:t>
            </w:r>
            <w:r w:rsidRPr="006E3A36">
              <w:rPr>
                <w:rFonts w:ascii="Wingdings" w:eastAsia="Times New Roman" w:hAnsi="Wingdings" w:cs="Segoe UI"/>
                <w:color w:val="A6A6A6"/>
                <w:sz w:val="22"/>
                <w:lang w:eastAsia="en-AU"/>
              </w:rPr>
              <w:t></w:t>
            </w:r>
            <w:r w:rsidRPr="006E3A36">
              <w:rPr>
                <w:rFonts w:ascii="Wingdings" w:eastAsia="Times New Roman" w:hAnsi="Wingdings" w:cs="Segoe UI"/>
                <w:color w:val="A6A6A6"/>
                <w:sz w:val="22"/>
                <w:lang w:eastAsia="en-AU"/>
              </w:rPr>
              <w:t></w:t>
            </w:r>
          </w:p>
          <w:p w14:paraId="2CD84B68" w14:textId="5E4BD55B" w:rsidR="00D15DE2" w:rsidRPr="00A91A51" w:rsidRDefault="00D15DE2" w:rsidP="00A91A51">
            <w:pPr>
              <w:spacing w:before="120"/>
              <w:jc w:val="center"/>
              <w:textAlignment w:val="baseline"/>
              <w:rPr>
                <w:rFonts w:ascii="Segoe UI" w:eastAsia="Times New Roman" w:hAnsi="Segoe UI" w:cs="Segoe UI"/>
                <w:b w:val="0"/>
                <w:color w:val="000000"/>
                <w:sz w:val="22"/>
                <w:lang w:eastAsia="en-AU"/>
              </w:rPr>
            </w:pPr>
            <w:r w:rsidRPr="006E3A36">
              <w:rPr>
                <w:rFonts w:ascii="Calibri" w:eastAsia="Times New Roman" w:hAnsi="Calibri" w:cs="Calibri"/>
                <w:b w:val="0"/>
                <w:color w:val="000000"/>
                <w:sz w:val="22"/>
                <w:lang w:eastAsia="en-AU"/>
              </w:rPr>
              <w:t>(no stars)</w:t>
            </w:r>
            <w:r w:rsidRPr="006E3A36">
              <w:rPr>
                <w:rFonts w:ascii="Calibri" w:eastAsia="Times New Roman" w:hAnsi="Calibri" w:cs="Calibri"/>
                <w:b w:val="0"/>
                <w:color w:val="385723"/>
                <w:sz w:val="22"/>
                <w:lang w:eastAsia="en-AU"/>
              </w:rPr>
              <w:t> </w:t>
            </w:r>
          </w:p>
        </w:tc>
        <w:tc>
          <w:tcPr>
            <w:tcW w:w="7938" w:type="dxa"/>
            <w:shd w:val="clear" w:color="auto" w:fill="DEEAF6" w:themeFill="accent5" w:themeFillTint="33"/>
          </w:tcPr>
          <w:p w14:paraId="00D1A170" w14:textId="77777777" w:rsidR="00D15DE2" w:rsidRPr="00EE0F27" w:rsidRDefault="00D15DE2" w:rsidP="00A91A51">
            <w:pPr>
              <w:spacing w:before="120"/>
              <w:cnfStyle w:val="000000000000" w:firstRow="0" w:lastRow="0" w:firstColumn="0" w:lastColumn="0" w:oddVBand="0" w:evenVBand="0" w:oddHBand="0" w:evenHBand="0" w:firstRowFirstColumn="0" w:firstRowLastColumn="0" w:lastRowFirstColumn="0" w:lastRowLastColumn="0"/>
              <w:rPr>
                <w:sz w:val="22"/>
              </w:rPr>
            </w:pPr>
            <w:r w:rsidRPr="00EE0F27">
              <w:rPr>
                <w:sz w:val="22"/>
              </w:rPr>
              <w:t xml:space="preserve">Change in Service Ownership, Commencing </w:t>
            </w:r>
            <w:r w:rsidRPr="00CC5629">
              <w:rPr>
                <w:sz w:val="22"/>
                <w:shd w:val="clear" w:color="auto" w:fill="DEEAF6" w:themeFill="accent5" w:themeFillTint="33"/>
              </w:rPr>
              <w:t>Homes/Services, Merged Services</w:t>
            </w:r>
          </w:p>
        </w:tc>
      </w:tr>
    </w:tbl>
    <w:p w14:paraId="02D06789" w14:textId="45548E16" w:rsidR="00B67D1D" w:rsidRPr="0020348B" w:rsidRDefault="00B67D1D" w:rsidP="00B67D1D">
      <w:pPr>
        <w:spacing w:before="0" w:line="247" w:lineRule="auto"/>
        <w:contextualSpacing/>
        <w:rPr>
          <w:rFonts w:eastAsia="Calibri"/>
          <w:i/>
          <w:noProof/>
          <w:sz w:val="16"/>
          <w:szCs w:val="16"/>
        </w:rPr>
      </w:pPr>
      <w:r w:rsidRPr="000562A2">
        <w:rPr>
          <w:rFonts w:eastAsia="Calibri"/>
          <w:i/>
          <w:noProof/>
          <w:sz w:val="22"/>
        </w:rPr>
        <w:t xml:space="preserve">* </w:t>
      </w:r>
      <w:r w:rsidRPr="0020348B">
        <w:rPr>
          <w:rFonts w:eastAsia="Calibri"/>
          <w:i/>
          <w:noProof/>
          <w:sz w:val="16"/>
          <w:szCs w:val="16"/>
        </w:rPr>
        <w:t>Only Compliance Notices issued</w:t>
      </w:r>
      <w:r w:rsidR="004834D1" w:rsidRPr="0020348B">
        <w:rPr>
          <w:rFonts w:eastAsia="Calibri"/>
          <w:i/>
          <w:noProof/>
          <w:sz w:val="16"/>
          <w:szCs w:val="16"/>
        </w:rPr>
        <w:t xml:space="preserve"> </w:t>
      </w:r>
      <w:r w:rsidR="004D511A" w:rsidRPr="0020348B">
        <w:rPr>
          <w:rFonts w:eastAsia="Calibri"/>
          <w:i/>
          <w:noProof/>
          <w:sz w:val="16"/>
          <w:szCs w:val="16"/>
        </w:rPr>
        <w:t>in response to</w:t>
      </w:r>
      <w:r w:rsidR="00201279" w:rsidRPr="0020348B">
        <w:rPr>
          <w:rFonts w:eastAsia="Calibri"/>
          <w:i/>
          <w:noProof/>
          <w:sz w:val="16"/>
          <w:szCs w:val="16"/>
        </w:rPr>
        <w:t xml:space="preserve"> the approved provider</w:t>
      </w:r>
      <w:r w:rsidR="004D511A" w:rsidRPr="0020348B">
        <w:rPr>
          <w:rFonts w:eastAsia="Calibri"/>
          <w:i/>
          <w:noProof/>
          <w:sz w:val="16"/>
          <w:szCs w:val="16"/>
        </w:rPr>
        <w:t>’s</w:t>
      </w:r>
      <w:r w:rsidR="00201279" w:rsidRPr="0020348B">
        <w:rPr>
          <w:rFonts w:eastAsia="Calibri"/>
          <w:i/>
          <w:noProof/>
          <w:sz w:val="16"/>
          <w:szCs w:val="16"/>
        </w:rPr>
        <w:t xml:space="preserve"> no</w:t>
      </w:r>
      <w:r w:rsidR="004D511A" w:rsidRPr="0020348B">
        <w:rPr>
          <w:rFonts w:eastAsia="Calibri"/>
          <w:i/>
          <w:noProof/>
          <w:sz w:val="16"/>
          <w:szCs w:val="16"/>
        </w:rPr>
        <w:t>n-</w:t>
      </w:r>
      <w:r w:rsidR="00201279" w:rsidRPr="0020348B">
        <w:rPr>
          <w:rFonts w:eastAsia="Calibri"/>
          <w:i/>
          <w:noProof/>
          <w:sz w:val="16"/>
          <w:szCs w:val="16"/>
        </w:rPr>
        <w:t>compl</w:t>
      </w:r>
      <w:r w:rsidR="004D511A" w:rsidRPr="0020348B">
        <w:rPr>
          <w:rFonts w:eastAsia="Calibri"/>
          <w:i/>
          <w:noProof/>
          <w:sz w:val="16"/>
          <w:szCs w:val="16"/>
        </w:rPr>
        <w:t>iance</w:t>
      </w:r>
      <w:r w:rsidR="00201279" w:rsidRPr="0020348B">
        <w:rPr>
          <w:rFonts w:eastAsia="Calibri"/>
          <w:i/>
          <w:noProof/>
          <w:sz w:val="16"/>
          <w:szCs w:val="16"/>
        </w:rPr>
        <w:t xml:space="preserve"> with </w:t>
      </w:r>
      <w:r w:rsidR="004D511A" w:rsidRPr="0020348B">
        <w:rPr>
          <w:rFonts w:eastAsia="Calibri"/>
          <w:i/>
          <w:noProof/>
          <w:sz w:val="16"/>
          <w:szCs w:val="16"/>
        </w:rPr>
        <w:t>it’s responsibility,</w:t>
      </w:r>
      <w:r w:rsidRPr="0020348B">
        <w:rPr>
          <w:rFonts w:eastAsia="Calibri"/>
          <w:i/>
          <w:noProof/>
          <w:sz w:val="16"/>
          <w:szCs w:val="16"/>
        </w:rPr>
        <w:t xml:space="preserve"> </w:t>
      </w:r>
      <w:r w:rsidR="004D511A" w:rsidRPr="0020348B">
        <w:rPr>
          <w:rFonts w:eastAsia="Calibri"/>
          <w:i/>
          <w:noProof/>
          <w:sz w:val="16"/>
          <w:szCs w:val="16"/>
        </w:rPr>
        <w:t xml:space="preserve">will be published (that is, </w:t>
      </w:r>
      <w:r w:rsidRPr="0020348B">
        <w:rPr>
          <w:rFonts w:eastAsia="Calibri"/>
          <w:i/>
          <w:noProof/>
          <w:sz w:val="16"/>
          <w:szCs w:val="16"/>
        </w:rPr>
        <w:t>under paragraph (a) of the relevant subsection in Section 74EE of the Commission Act</w:t>
      </w:r>
      <w:r w:rsidR="004D511A" w:rsidRPr="0020348B">
        <w:rPr>
          <w:rFonts w:eastAsia="Calibri"/>
          <w:i/>
          <w:noProof/>
          <w:sz w:val="16"/>
          <w:szCs w:val="16"/>
        </w:rPr>
        <w:t>)</w:t>
      </w:r>
      <w:r w:rsidRPr="0020348B">
        <w:rPr>
          <w:rFonts w:eastAsia="Calibri"/>
          <w:i/>
          <w:noProof/>
          <w:sz w:val="16"/>
          <w:szCs w:val="16"/>
        </w:rPr>
        <w:t>.</w:t>
      </w:r>
    </w:p>
    <w:p w14:paraId="1020A533" w14:textId="24A4C1D6" w:rsidR="00B67D1D" w:rsidRPr="0020348B" w:rsidRDefault="00B67D1D" w:rsidP="00B67D1D">
      <w:pPr>
        <w:spacing w:before="0" w:line="247" w:lineRule="auto"/>
        <w:contextualSpacing/>
        <w:rPr>
          <w:rFonts w:eastAsia="Calibri"/>
          <w:i/>
          <w:sz w:val="16"/>
          <w:szCs w:val="16"/>
        </w:rPr>
      </w:pPr>
      <w:r w:rsidRPr="0020348B">
        <w:rPr>
          <w:rFonts w:eastAsia="Calibri"/>
          <w:i/>
          <w:sz w:val="16"/>
          <w:szCs w:val="16"/>
        </w:rPr>
        <w:t xml:space="preserve">** </w:t>
      </w:r>
      <w:r w:rsidR="00BF330F" w:rsidRPr="0020348B">
        <w:rPr>
          <w:rFonts w:eastAsia="Calibri"/>
          <w:i/>
          <w:sz w:val="16"/>
          <w:szCs w:val="16"/>
        </w:rPr>
        <w:t xml:space="preserve">Where </w:t>
      </w:r>
      <w:r w:rsidRPr="0020348B">
        <w:rPr>
          <w:rFonts w:eastAsia="Calibri"/>
          <w:i/>
          <w:sz w:val="16"/>
          <w:szCs w:val="16"/>
        </w:rPr>
        <w:t xml:space="preserve">the accreditation decision was </w:t>
      </w:r>
      <w:r w:rsidR="00BF330F" w:rsidRPr="0020348B">
        <w:rPr>
          <w:rFonts w:eastAsia="Calibri"/>
          <w:i/>
          <w:sz w:val="16"/>
          <w:szCs w:val="16"/>
        </w:rPr>
        <w:t xml:space="preserve">following </w:t>
      </w:r>
      <w:r w:rsidRPr="0020348B">
        <w:rPr>
          <w:rFonts w:eastAsia="Calibri"/>
          <w:i/>
          <w:sz w:val="16"/>
          <w:szCs w:val="16"/>
        </w:rPr>
        <w:t>a site audit</w:t>
      </w:r>
    </w:p>
    <w:p w14:paraId="02A4B584" w14:textId="15F5BC40" w:rsidR="00502F02" w:rsidRDefault="00502F02" w:rsidP="00B67D1D">
      <w:pPr>
        <w:spacing w:before="0" w:line="247" w:lineRule="auto"/>
        <w:contextualSpacing/>
        <w:rPr>
          <w:rFonts w:eastAsia="Times New Roman"/>
          <w:i/>
          <w:iCs/>
          <w:sz w:val="16"/>
          <w:szCs w:val="16"/>
        </w:rPr>
      </w:pPr>
      <w:r w:rsidRPr="0020348B">
        <w:rPr>
          <w:rFonts w:eastAsia="Calibri"/>
          <w:i/>
          <w:sz w:val="16"/>
          <w:szCs w:val="16"/>
        </w:rPr>
        <w:t xml:space="preserve">*** </w:t>
      </w:r>
      <w:r w:rsidR="005A02B9" w:rsidRPr="0020348B">
        <w:rPr>
          <w:rFonts w:eastAsia="Times New Roman"/>
          <w:i/>
          <w:iCs/>
          <w:sz w:val="16"/>
          <w:szCs w:val="16"/>
        </w:rPr>
        <w:t>Where the service has been operated by the same approved provider by at least that same</w:t>
      </w:r>
      <w:r w:rsidR="00C06E35" w:rsidRPr="0020348B">
        <w:rPr>
          <w:rFonts w:eastAsia="Times New Roman"/>
          <w:i/>
          <w:iCs/>
          <w:sz w:val="16"/>
          <w:szCs w:val="16"/>
        </w:rPr>
        <w:t xml:space="preserve"> </w:t>
      </w:r>
      <w:r w:rsidR="005A02B9" w:rsidRPr="0020348B">
        <w:rPr>
          <w:rFonts w:eastAsia="Times New Roman"/>
          <w:i/>
          <w:iCs/>
          <w:sz w:val="16"/>
          <w:szCs w:val="16"/>
        </w:rPr>
        <w:t>duration</w:t>
      </w:r>
    </w:p>
    <w:p w14:paraId="7FC1C907" w14:textId="77777777" w:rsidR="00C06E35" w:rsidRPr="0020348B" w:rsidRDefault="00C06E35" w:rsidP="00B67D1D">
      <w:pPr>
        <w:spacing w:before="0" w:line="247" w:lineRule="auto"/>
        <w:contextualSpacing/>
        <w:rPr>
          <w:b/>
          <w:color w:val="00577D"/>
          <w:sz w:val="16"/>
          <w:szCs w:val="16"/>
        </w:rPr>
      </w:pPr>
    </w:p>
    <w:p w14:paraId="07B9FEE9" w14:textId="5BEF200D" w:rsidR="00542A50" w:rsidRDefault="00542A50" w:rsidP="00542A50">
      <w:pPr>
        <w:outlineLvl w:val="3"/>
        <w:rPr>
          <w:rFonts w:asciiTheme="minorHAnsi" w:hAnsiTheme="minorHAnsi" w:cstheme="minorBidi"/>
          <w:sz w:val="22"/>
        </w:rPr>
      </w:pPr>
      <w:r>
        <w:t xml:space="preserve">Providers </w:t>
      </w:r>
      <w:r w:rsidR="002D1CB5">
        <w:t xml:space="preserve">can improve their Compliance Rating by </w:t>
      </w:r>
      <w:r>
        <w:t xml:space="preserve">addressing areas of non-compliance with respect to their aged care service to ensure </w:t>
      </w:r>
      <w:r w:rsidR="00A91A51">
        <w:t xml:space="preserve">that they are meeting </w:t>
      </w:r>
      <w:r w:rsidR="000F6B1B">
        <w:t>required</w:t>
      </w:r>
      <w:r>
        <w:t xml:space="preserve"> standards of care and </w:t>
      </w:r>
      <w:r w:rsidR="00881F66">
        <w:t xml:space="preserve">their </w:t>
      </w:r>
      <w:r>
        <w:t>responsibilities as a</w:t>
      </w:r>
      <w:r w:rsidR="001C64C3">
        <w:t>n</w:t>
      </w:r>
      <w:r>
        <w:t xml:space="preserve"> </w:t>
      </w:r>
      <w:r w:rsidR="00881F66">
        <w:t xml:space="preserve">approved </w:t>
      </w:r>
      <w:r>
        <w:t xml:space="preserve">provider. </w:t>
      </w:r>
    </w:p>
    <w:p w14:paraId="29486D14" w14:textId="0C420753" w:rsidR="001666F5" w:rsidRDefault="00542A50" w:rsidP="002466AA">
      <w:pPr>
        <w:outlineLvl w:val="3"/>
      </w:pPr>
      <w:r>
        <w:t xml:space="preserve">The Compliance Rating will be updated once the Commission is satisfied that the service has addressed the non-compliance. </w:t>
      </w:r>
      <w:r w:rsidR="009356E4">
        <w:t xml:space="preserve">The Commission will </w:t>
      </w:r>
      <w:r w:rsidR="008B2EB1">
        <w:t xml:space="preserve">close </w:t>
      </w:r>
      <w:r w:rsidR="009356E4">
        <w:t>the non</w:t>
      </w:r>
      <w:r w:rsidR="000B40E0">
        <w:t xml:space="preserve">-compliance decision </w:t>
      </w:r>
      <w:r w:rsidR="008B2EB1">
        <w:t xml:space="preserve">and record </w:t>
      </w:r>
      <w:r w:rsidR="00C06E35">
        <w:t xml:space="preserve">the compliance </w:t>
      </w:r>
      <w:r w:rsidR="000F59E1">
        <w:t xml:space="preserve">on My Aged Care </w:t>
      </w:r>
      <w:r w:rsidR="00AC507A">
        <w:t xml:space="preserve">as ‘non-current’ </w:t>
      </w:r>
      <w:r w:rsidR="003C2150">
        <w:t>which will move the Compliance Rating to three-star</w:t>
      </w:r>
      <w:r w:rsidR="00331C79">
        <w:t>s</w:t>
      </w:r>
      <w:r w:rsidR="00892801">
        <w:t>,</w:t>
      </w:r>
      <w:r w:rsidR="006D3B71">
        <w:t xml:space="preserve"> </w:t>
      </w:r>
      <w:r w:rsidR="000B40E0">
        <w:t xml:space="preserve">when </w:t>
      </w:r>
      <w:r w:rsidR="00892801">
        <w:t xml:space="preserve">the Commission is </w:t>
      </w:r>
      <w:r w:rsidR="000B40E0">
        <w:t>satisfied</w:t>
      </w:r>
      <w:r w:rsidR="007D0D71">
        <w:t xml:space="preserve">, </w:t>
      </w:r>
      <w:r w:rsidR="000707B1">
        <w:t>based on evidence</w:t>
      </w:r>
      <w:r w:rsidR="007D0D71">
        <w:t xml:space="preserve">, </w:t>
      </w:r>
      <w:r w:rsidR="00B83A4B">
        <w:t>that</w:t>
      </w:r>
      <w:r w:rsidR="00B64A6A">
        <w:t>:</w:t>
      </w:r>
      <w:r w:rsidR="00B83A4B">
        <w:t xml:space="preserve"> </w:t>
      </w:r>
    </w:p>
    <w:p w14:paraId="3E9F9821" w14:textId="66099278" w:rsidR="00A61C89" w:rsidRDefault="00FC3030" w:rsidP="00A61C89">
      <w:pPr>
        <w:pStyle w:val="ListParagraph"/>
        <w:numPr>
          <w:ilvl w:val="0"/>
          <w:numId w:val="48"/>
        </w:numPr>
        <w:outlineLvl w:val="3"/>
      </w:pPr>
      <w:r>
        <w:t xml:space="preserve">the safety, health, wellbeing and quality of life of </w:t>
      </w:r>
      <w:r w:rsidR="00B64A6A">
        <w:t>consumers</w:t>
      </w:r>
      <w:r>
        <w:t xml:space="preserve"> are being protected and improve</w:t>
      </w:r>
      <w:r w:rsidR="00B64A6A">
        <w:t>d</w:t>
      </w:r>
    </w:p>
    <w:p w14:paraId="08CF5732" w14:textId="026CBBD8" w:rsidR="00A61C89" w:rsidRDefault="000707B1" w:rsidP="00A61C89">
      <w:pPr>
        <w:pStyle w:val="ListParagraph"/>
        <w:numPr>
          <w:ilvl w:val="0"/>
          <w:numId w:val="48"/>
        </w:numPr>
        <w:outlineLvl w:val="3"/>
      </w:pPr>
      <w:r>
        <w:t xml:space="preserve">the </w:t>
      </w:r>
      <w:r w:rsidRPr="006E1289">
        <w:t xml:space="preserve">provider has </w:t>
      </w:r>
      <w:r>
        <w:t>taken</w:t>
      </w:r>
      <w:r w:rsidR="00C6520C">
        <w:t xml:space="preserve"> the</w:t>
      </w:r>
      <w:r>
        <w:t xml:space="preserve"> </w:t>
      </w:r>
      <w:r w:rsidRPr="006E1289">
        <w:t xml:space="preserve">necessary </w:t>
      </w:r>
      <w:r>
        <w:t>action</w:t>
      </w:r>
      <w:r w:rsidR="0019156E">
        <w:t xml:space="preserve">s </w:t>
      </w:r>
      <w:r>
        <w:t>to comply</w:t>
      </w:r>
      <w:r w:rsidR="00B83A4B">
        <w:t xml:space="preserve"> </w:t>
      </w:r>
      <w:r w:rsidR="00682894">
        <w:t>with the</w:t>
      </w:r>
      <w:r w:rsidR="00A96288">
        <w:t xml:space="preserve"> non-compliance </w:t>
      </w:r>
      <w:r w:rsidR="00CC27B5">
        <w:t xml:space="preserve">decision </w:t>
      </w:r>
      <w:r w:rsidR="00285C82">
        <w:t>and implemented the agreed actions</w:t>
      </w:r>
    </w:p>
    <w:p w14:paraId="2CFF8F1F" w14:textId="4CEDCA7F" w:rsidR="000707B1" w:rsidRDefault="00DC59FA" w:rsidP="0020348B">
      <w:pPr>
        <w:pStyle w:val="ListParagraph"/>
        <w:numPr>
          <w:ilvl w:val="0"/>
          <w:numId w:val="48"/>
        </w:numPr>
        <w:outlineLvl w:val="3"/>
      </w:pPr>
      <w:r>
        <w:t>the provide</w:t>
      </w:r>
      <w:r w:rsidR="005A67BE">
        <w:t>r</w:t>
      </w:r>
      <w:r>
        <w:t xml:space="preserve"> is </w:t>
      </w:r>
      <w:r w:rsidR="00A96288">
        <w:t>compl</w:t>
      </w:r>
      <w:r w:rsidR="005A67BE">
        <w:t>ying</w:t>
      </w:r>
      <w:r w:rsidR="000707B1">
        <w:t xml:space="preserve"> with their aged care responsibilities. </w:t>
      </w:r>
    </w:p>
    <w:p w14:paraId="49EF22A3" w14:textId="27DB6FD8" w:rsidR="00177757" w:rsidRPr="0020348B" w:rsidRDefault="00542A50" w:rsidP="0020348B">
      <w:pPr>
        <w:pStyle w:val="Heading3"/>
        <w:rPr>
          <w:szCs w:val="24"/>
        </w:rPr>
      </w:pPr>
      <w:r w:rsidRPr="0020348B">
        <w:rPr>
          <w:szCs w:val="24"/>
        </w:rPr>
        <w:t xml:space="preserve"> </w:t>
      </w:r>
      <w:r w:rsidR="00177757" w:rsidRPr="0020348B">
        <w:rPr>
          <w:szCs w:val="24"/>
        </w:rPr>
        <w:t>Non-compliance decisions</w:t>
      </w:r>
    </w:p>
    <w:p w14:paraId="5BA45B30" w14:textId="555DC3FA" w:rsidR="00667536" w:rsidRPr="000562A2" w:rsidRDefault="00667536" w:rsidP="00667536">
      <w:pPr>
        <w:spacing w:before="120" w:line="22" w:lineRule="atLeast"/>
        <w:rPr>
          <w:szCs w:val="24"/>
        </w:rPr>
      </w:pPr>
      <w:r w:rsidRPr="000562A2">
        <w:rPr>
          <w:rFonts w:eastAsiaTheme="minorEastAsia"/>
          <w:szCs w:val="24"/>
        </w:rPr>
        <w:t>Non-compliance decisions are not published in full document form</w:t>
      </w:r>
      <w:r w:rsidR="00F702ED">
        <w:rPr>
          <w:rFonts w:eastAsiaTheme="minorEastAsia"/>
          <w:szCs w:val="24"/>
        </w:rPr>
        <w:t>.  The</w:t>
      </w:r>
      <w:r w:rsidRPr="000562A2">
        <w:rPr>
          <w:szCs w:val="24"/>
        </w:rPr>
        <w:t xml:space="preserve"> information published will </w:t>
      </w:r>
      <w:r w:rsidR="00922820">
        <w:rPr>
          <w:szCs w:val="24"/>
        </w:rPr>
        <w:t>state</w:t>
      </w:r>
      <w:r w:rsidR="00922820" w:rsidRPr="007332F5">
        <w:rPr>
          <w:szCs w:val="24"/>
        </w:rPr>
        <w:t xml:space="preserve"> the name of the </w:t>
      </w:r>
      <w:r w:rsidR="003A6C3D">
        <w:rPr>
          <w:szCs w:val="24"/>
        </w:rPr>
        <w:t xml:space="preserve">provider and relevant </w:t>
      </w:r>
      <w:r w:rsidR="00922820" w:rsidRPr="007332F5">
        <w:rPr>
          <w:szCs w:val="24"/>
        </w:rPr>
        <w:t>service</w:t>
      </w:r>
      <w:r w:rsidR="00922820">
        <w:rPr>
          <w:szCs w:val="24"/>
        </w:rPr>
        <w:t xml:space="preserve">, </w:t>
      </w:r>
      <w:r w:rsidR="00F702ED">
        <w:rPr>
          <w:szCs w:val="24"/>
        </w:rPr>
        <w:t xml:space="preserve">and </w:t>
      </w:r>
      <w:r w:rsidRPr="000562A2">
        <w:rPr>
          <w:szCs w:val="24"/>
        </w:rPr>
        <w:t xml:space="preserve">the applicable </w:t>
      </w:r>
      <w:r w:rsidR="00922820">
        <w:rPr>
          <w:szCs w:val="24"/>
        </w:rPr>
        <w:t>non-compliance decision that</w:t>
      </w:r>
      <w:r w:rsidRPr="000562A2">
        <w:rPr>
          <w:szCs w:val="24"/>
        </w:rPr>
        <w:t xml:space="preserve"> has been </w:t>
      </w:r>
      <w:r w:rsidR="00922820">
        <w:rPr>
          <w:szCs w:val="24"/>
        </w:rPr>
        <w:t xml:space="preserve">made by the Commissioner </w:t>
      </w:r>
      <w:r w:rsidRPr="000562A2">
        <w:rPr>
          <w:szCs w:val="24"/>
        </w:rPr>
        <w:t>in response to non-compliance</w:t>
      </w:r>
      <w:r w:rsidR="00922820">
        <w:rPr>
          <w:szCs w:val="24"/>
        </w:rPr>
        <w:t xml:space="preserve"> at the </w:t>
      </w:r>
      <w:r w:rsidR="00291366">
        <w:rPr>
          <w:szCs w:val="24"/>
        </w:rPr>
        <w:t>service</w:t>
      </w:r>
      <w:r w:rsidR="00F702ED">
        <w:rPr>
          <w:szCs w:val="24"/>
        </w:rPr>
        <w:t xml:space="preserve">.  </w:t>
      </w:r>
      <w:r w:rsidR="00DE1FB7">
        <w:rPr>
          <w:szCs w:val="24"/>
        </w:rPr>
        <w:t xml:space="preserve">A </w:t>
      </w:r>
      <w:r w:rsidR="006863C6">
        <w:rPr>
          <w:szCs w:val="24"/>
        </w:rPr>
        <w:t xml:space="preserve">summary </w:t>
      </w:r>
      <w:r w:rsidR="00DE1FB7">
        <w:rPr>
          <w:szCs w:val="24"/>
        </w:rPr>
        <w:t xml:space="preserve">of </w:t>
      </w:r>
      <w:r w:rsidRPr="000562A2">
        <w:rPr>
          <w:szCs w:val="24"/>
        </w:rPr>
        <w:t xml:space="preserve">the </w:t>
      </w:r>
      <w:r w:rsidR="00922820">
        <w:rPr>
          <w:szCs w:val="24"/>
        </w:rPr>
        <w:t>non-compliance decision</w:t>
      </w:r>
      <w:r w:rsidRPr="000562A2">
        <w:rPr>
          <w:szCs w:val="24"/>
        </w:rPr>
        <w:t xml:space="preserve"> </w:t>
      </w:r>
      <w:r w:rsidR="006863C6">
        <w:rPr>
          <w:szCs w:val="24"/>
        </w:rPr>
        <w:t xml:space="preserve">will also be provided </w:t>
      </w:r>
      <w:r w:rsidRPr="000562A2">
        <w:rPr>
          <w:szCs w:val="24"/>
        </w:rPr>
        <w:t xml:space="preserve">to ensure </w:t>
      </w:r>
      <w:r w:rsidR="00F702ED">
        <w:rPr>
          <w:szCs w:val="24"/>
        </w:rPr>
        <w:t xml:space="preserve">that </w:t>
      </w:r>
      <w:r w:rsidRPr="000562A2">
        <w:rPr>
          <w:szCs w:val="24"/>
        </w:rPr>
        <w:t>Consumers and their representatives have information about why it was issued</w:t>
      </w:r>
      <w:r w:rsidR="006863C6">
        <w:rPr>
          <w:szCs w:val="24"/>
        </w:rPr>
        <w:t xml:space="preserve"> and what the provider is required to do.</w:t>
      </w:r>
    </w:p>
    <w:p w14:paraId="7610A7F2" w14:textId="4B83F35C" w:rsidR="00177757" w:rsidRPr="000562A2" w:rsidRDefault="00177757" w:rsidP="00177757">
      <w:pPr>
        <w:spacing w:before="120"/>
        <w:rPr>
          <w:szCs w:val="24"/>
        </w:rPr>
      </w:pPr>
      <w:r w:rsidRPr="000562A2">
        <w:rPr>
          <w:szCs w:val="24"/>
        </w:rPr>
        <w:t xml:space="preserve">The following non-compliance decisions are published on the </w:t>
      </w:r>
      <w:r w:rsidR="00F702ED">
        <w:rPr>
          <w:szCs w:val="24"/>
        </w:rPr>
        <w:t xml:space="preserve">Commission’s </w:t>
      </w:r>
      <w:r w:rsidRPr="000562A2">
        <w:rPr>
          <w:szCs w:val="24"/>
        </w:rPr>
        <w:t>non-compliance register</w:t>
      </w:r>
      <w:r w:rsidR="008F4E85" w:rsidRPr="000562A2">
        <w:rPr>
          <w:szCs w:val="24"/>
        </w:rPr>
        <w:t xml:space="preserve"> and the My Aged Care website</w:t>
      </w:r>
      <w:r w:rsidRPr="000562A2">
        <w:rPr>
          <w:szCs w:val="24"/>
        </w:rPr>
        <w:t>:</w:t>
      </w:r>
    </w:p>
    <w:p w14:paraId="7807DBDB" w14:textId="58FAD356" w:rsidR="00177757" w:rsidRPr="000562A2" w:rsidRDefault="00177757" w:rsidP="000562A2">
      <w:pPr>
        <w:pStyle w:val="Heading3"/>
        <w:rPr>
          <w:b w:val="0"/>
          <w:szCs w:val="24"/>
        </w:rPr>
      </w:pPr>
      <w:r w:rsidRPr="00A8649D">
        <w:rPr>
          <w:szCs w:val="24"/>
        </w:rPr>
        <w:t xml:space="preserve">Directions to revise </w:t>
      </w:r>
      <w:r w:rsidR="00C1198D" w:rsidRPr="00A8649D">
        <w:rPr>
          <w:szCs w:val="24"/>
        </w:rPr>
        <w:t>p</w:t>
      </w:r>
      <w:r w:rsidRPr="00A8649D">
        <w:rPr>
          <w:szCs w:val="24"/>
        </w:rPr>
        <w:t xml:space="preserve">lan for </w:t>
      </w:r>
      <w:r w:rsidR="00C1198D" w:rsidRPr="00A8649D">
        <w:rPr>
          <w:szCs w:val="24"/>
        </w:rPr>
        <w:t>c</w:t>
      </w:r>
      <w:r w:rsidRPr="00A8649D">
        <w:rPr>
          <w:szCs w:val="24"/>
        </w:rPr>
        <w:t xml:space="preserve">ontinuous </w:t>
      </w:r>
      <w:r w:rsidR="00C1198D" w:rsidRPr="00A8649D">
        <w:rPr>
          <w:szCs w:val="24"/>
        </w:rPr>
        <w:t>i</w:t>
      </w:r>
      <w:r w:rsidRPr="00C85B6E">
        <w:rPr>
          <w:szCs w:val="24"/>
        </w:rPr>
        <w:t xml:space="preserve">mprovement </w:t>
      </w:r>
    </w:p>
    <w:p w14:paraId="45E3ABB3" w14:textId="66550623" w:rsidR="008F4E85" w:rsidRPr="000562A2" w:rsidRDefault="00177757" w:rsidP="008F4E85">
      <w:pPr>
        <w:spacing w:after="240"/>
      </w:pPr>
      <w:r>
        <w:t>A direction to revise a plan for continuous improvement may be issued</w:t>
      </w:r>
      <w:r w:rsidR="00891677">
        <w:t xml:space="preserve"> under section 63A of the Commission Rules</w:t>
      </w:r>
      <w:r>
        <w:t xml:space="preserve"> to a provider where </w:t>
      </w:r>
      <w:r w:rsidR="002401D6">
        <w:t xml:space="preserve">it is necessary for the plan for continuous improvement to be revised to ensure </w:t>
      </w:r>
      <w:r w:rsidR="009F6628">
        <w:t xml:space="preserve">compliance with </w:t>
      </w:r>
      <w:r w:rsidR="008F4E85">
        <w:t xml:space="preserve">the </w:t>
      </w:r>
      <w:r w:rsidR="002401D6">
        <w:t>Quality Standards</w:t>
      </w:r>
      <w:r w:rsidR="008F4E85">
        <w:t>.</w:t>
      </w:r>
    </w:p>
    <w:p w14:paraId="384FE358" w14:textId="1F199A5A" w:rsidR="00177757" w:rsidRPr="000562A2" w:rsidRDefault="00177757" w:rsidP="000562A2">
      <w:pPr>
        <w:pStyle w:val="Heading3"/>
        <w:rPr>
          <w:b w:val="0"/>
          <w:szCs w:val="24"/>
        </w:rPr>
      </w:pPr>
      <w:r w:rsidRPr="000562A2">
        <w:rPr>
          <w:szCs w:val="24"/>
        </w:rPr>
        <w:lastRenderedPageBreak/>
        <w:t>Compliance notices</w:t>
      </w:r>
    </w:p>
    <w:p w14:paraId="2031D8DA" w14:textId="0C4101C1" w:rsidR="0090041B" w:rsidRDefault="00177757" w:rsidP="00177757">
      <w:pPr>
        <w:keepNext/>
        <w:rPr>
          <w:szCs w:val="24"/>
        </w:rPr>
      </w:pPr>
      <w:r w:rsidRPr="000562A2">
        <w:rPr>
          <w:szCs w:val="24"/>
        </w:rPr>
        <w:t>The Commission</w:t>
      </w:r>
      <w:r w:rsidR="008F4E85" w:rsidRPr="000562A2">
        <w:rPr>
          <w:szCs w:val="24"/>
        </w:rPr>
        <w:t>er</w:t>
      </w:r>
      <w:r w:rsidRPr="000562A2">
        <w:rPr>
          <w:szCs w:val="24"/>
        </w:rPr>
        <w:t xml:space="preserve"> may give a written compliance notice</w:t>
      </w:r>
      <w:r w:rsidR="00891677" w:rsidRPr="000562A2">
        <w:rPr>
          <w:szCs w:val="24"/>
        </w:rPr>
        <w:t xml:space="preserve"> under section 74EE of the Commission Act </w:t>
      </w:r>
      <w:r w:rsidRPr="000562A2">
        <w:rPr>
          <w:szCs w:val="24"/>
        </w:rPr>
        <w:t>to a provider, where the Commission</w:t>
      </w:r>
      <w:r w:rsidR="008F4E85" w:rsidRPr="000562A2">
        <w:rPr>
          <w:szCs w:val="24"/>
        </w:rPr>
        <w:t>er</w:t>
      </w:r>
      <w:r w:rsidRPr="000562A2">
        <w:rPr>
          <w:szCs w:val="24"/>
        </w:rPr>
        <w:t xml:space="preserve">: </w:t>
      </w:r>
    </w:p>
    <w:p w14:paraId="6BD186BA" w14:textId="7D116A8F" w:rsidR="00177757" w:rsidRPr="000562A2" w:rsidRDefault="00BC4C24" w:rsidP="0020348B">
      <w:pPr>
        <w:pStyle w:val="ListParagraph"/>
        <w:keepNext/>
        <w:numPr>
          <w:ilvl w:val="0"/>
          <w:numId w:val="50"/>
        </w:numPr>
        <w:rPr>
          <w:szCs w:val="24"/>
        </w:rPr>
      </w:pPr>
      <w:r w:rsidRPr="00502F02">
        <w:rPr>
          <w:szCs w:val="24"/>
        </w:rPr>
        <w:t xml:space="preserve">is </w:t>
      </w:r>
      <w:r w:rsidR="00A155F6" w:rsidRPr="0020348B">
        <w:rPr>
          <w:color w:val="000000"/>
          <w:szCs w:val="24"/>
        </w:rPr>
        <w:t>satisfied that a</w:t>
      </w:r>
      <w:r w:rsidRPr="0020348B">
        <w:rPr>
          <w:color w:val="000000"/>
          <w:szCs w:val="24"/>
        </w:rPr>
        <w:t xml:space="preserve"> </w:t>
      </w:r>
      <w:r w:rsidR="00A155F6" w:rsidRPr="0020348B">
        <w:rPr>
          <w:color w:val="000000"/>
          <w:szCs w:val="24"/>
        </w:rPr>
        <w:t>provider is not complying with the provider’s</w:t>
      </w:r>
      <w:r w:rsidRPr="0020348B">
        <w:rPr>
          <w:color w:val="000000"/>
          <w:szCs w:val="24"/>
        </w:rPr>
        <w:t xml:space="preserve"> relevant</w:t>
      </w:r>
      <w:r w:rsidR="00A155F6" w:rsidRPr="0020348B">
        <w:rPr>
          <w:color w:val="000000"/>
          <w:szCs w:val="24"/>
        </w:rPr>
        <w:t xml:space="preserve"> responsibilities</w:t>
      </w:r>
      <w:r w:rsidR="00177757" w:rsidRPr="00502F02">
        <w:rPr>
          <w:szCs w:val="24"/>
        </w:rPr>
        <w:t xml:space="preserve">: </w:t>
      </w:r>
    </w:p>
    <w:p w14:paraId="297B4C20" w14:textId="4BCEDEA7" w:rsidR="00065754" w:rsidRPr="0020348B" w:rsidRDefault="00065754" w:rsidP="0020348B">
      <w:pPr>
        <w:pStyle w:val="StyleBullet3"/>
      </w:pPr>
      <w:r w:rsidRPr="0020348B">
        <w:t xml:space="preserve">under </w:t>
      </w:r>
      <w:r w:rsidR="00417672">
        <w:t>section</w:t>
      </w:r>
      <w:r w:rsidRPr="0020348B">
        <w:t> 54</w:t>
      </w:r>
      <w:r w:rsidRPr="0020348B">
        <w:noBreakHyphen/>
        <w:t>1(1)(e) of the Aged Care Act regarding the </w:t>
      </w:r>
      <w:r w:rsidRPr="0020348B">
        <w:rPr>
          <w:bCs/>
          <w:iCs/>
        </w:rPr>
        <w:t>incident management provisions</w:t>
      </w:r>
      <w:r w:rsidRPr="0020348B">
        <w:t>; or</w:t>
      </w:r>
    </w:p>
    <w:p w14:paraId="7A2435B2" w14:textId="0DC9858D" w:rsidR="00065754" w:rsidRPr="0020348B" w:rsidRDefault="00065754" w:rsidP="0020348B">
      <w:pPr>
        <w:pStyle w:val="StyleBullet3"/>
      </w:pPr>
      <w:r w:rsidRPr="0020348B">
        <w:t xml:space="preserve">under </w:t>
      </w:r>
      <w:r w:rsidR="00417672">
        <w:t>sectio</w:t>
      </w:r>
      <w:r w:rsidR="0090041B">
        <w:t xml:space="preserve">n </w:t>
      </w:r>
      <w:r w:rsidRPr="0020348B">
        <w:t>54</w:t>
      </w:r>
      <w:r w:rsidRPr="0020348B">
        <w:noBreakHyphen/>
        <w:t>1(1)(f) of the Aged Care Act regarding the Restrictive Practice Provision</w:t>
      </w:r>
      <w:r w:rsidR="00417672">
        <w:t>s</w:t>
      </w:r>
    </w:p>
    <w:p w14:paraId="5A2CF835" w14:textId="2DCF197C" w:rsidR="00AE0F06" w:rsidRPr="00AE0F06" w:rsidRDefault="00065754" w:rsidP="00AE0F06">
      <w:pPr>
        <w:pStyle w:val="StyleBullet3"/>
      </w:pPr>
      <w:r w:rsidRPr="0020348B">
        <w:t xml:space="preserve">under </w:t>
      </w:r>
      <w:r w:rsidR="0090041B">
        <w:t>section</w:t>
      </w:r>
      <w:r w:rsidRPr="0020348B">
        <w:t> 54</w:t>
      </w:r>
      <w:r w:rsidRPr="0020348B">
        <w:noBreakHyphen/>
        <w:t xml:space="preserve">1(1)(g) or (ga) of the Aged Care Act regarding the Code of Conduct </w:t>
      </w:r>
    </w:p>
    <w:p w14:paraId="543AB094" w14:textId="2B9A7F96" w:rsidR="00666377" w:rsidRPr="0020348B" w:rsidRDefault="00666377" w:rsidP="0020348B">
      <w:pPr>
        <w:pStyle w:val="StyleBullet3"/>
      </w:pPr>
      <w:r w:rsidRPr="00666377">
        <w:t>under section 63</w:t>
      </w:r>
      <w:r w:rsidRPr="00666377">
        <w:rPr>
          <w:rFonts w:ascii="Cambria Math" w:hAnsi="Cambria Math" w:cs="Cambria Math"/>
        </w:rPr>
        <w:t>‑</w:t>
      </w:r>
      <w:r w:rsidRPr="00666377">
        <w:t>1G of the Aged Care Act</w:t>
      </w:r>
      <w:r w:rsidR="002D3862">
        <w:t xml:space="preserve"> regarding information relating to reporting periods</w:t>
      </w:r>
    </w:p>
    <w:p w14:paraId="56972FD6" w14:textId="2A9A41E1" w:rsidR="00177757" w:rsidRPr="000562A2" w:rsidRDefault="00177757" w:rsidP="000562A2">
      <w:pPr>
        <w:pStyle w:val="StyleBullet1"/>
        <w:numPr>
          <w:ilvl w:val="0"/>
          <w:numId w:val="43"/>
        </w:numPr>
        <w:rPr>
          <w:rFonts w:ascii="Arial" w:hAnsi="Arial" w:cs="Arial"/>
          <w:szCs w:val="24"/>
        </w:rPr>
      </w:pPr>
      <w:r w:rsidRPr="000562A2">
        <w:rPr>
          <w:rFonts w:ascii="Arial" w:hAnsi="Arial" w:cs="Arial"/>
          <w:szCs w:val="24"/>
        </w:rPr>
        <w:t xml:space="preserve">is aware of information that suggests that the provider may not be complying with the </w:t>
      </w:r>
      <w:r w:rsidR="00BC4C24">
        <w:rPr>
          <w:rFonts w:ascii="Arial" w:hAnsi="Arial" w:cs="Arial"/>
          <w:szCs w:val="24"/>
        </w:rPr>
        <w:t xml:space="preserve">provider’s </w:t>
      </w:r>
      <w:r w:rsidRPr="000562A2">
        <w:rPr>
          <w:rFonts w:ascii="Arial" w:hAnsi="Arial" w:cs="Arial"/>
          <w:szCs w:val="24"/>
        </w:rPr>
        <w:t xml:space="preserve">relevant responsibilities </w:t>
      </w:r>
      <w:r w:rsidR="009F4526">
        <w:rPr>
          <w:rFonts w:ascii="Arial" w:hAnsi="Arial" w:cs="Arial"/>
          <w:szCs w:val="24"/>
        </w:rPr>
        <w:t>under</w:t>
      </w:r>
      <w:r w:rsidR="009F4526" w:rsidRPr="000562A2">
        <w:rPr>
          <w:rFonts w:ascii="Arial" w:hAnsi="Arial" w:cs="Arial"/>
          <w:szCs w:val="24"/>
        </w:rPr>
        <w:t xml:space="preserve"> </w:t>
      </w:r>
      <w:r w:rsidRPr="000562A2">
        <w:rPr>
          <w:rFonts w:ascii="Arial" w:hAnsi="Arial" w:cs="Arial"/>
          <w:szCs w:val="24"/>
        </w:rPr>
        <w:t>the Aged Care Act.</w:t>
      </w:r>
    </w:p>
    <w:p w14:paraId="01131789" w14:textId="77777777" w:rsidR="00177757" w:rsidRPr="000562A2" w:rsidRDefault="00177757" w:rsidP="00177757">
      <w:pPr>
        <w:spacing w:after="240"/>
        <w:rPr>
          <w:szCs w:val="24"/>
        </w:rPr>
      </w:pPr>
      <w:r w:rsidRPr="000562A2">
        <w:rPr>
          <w:szCs w:val="24"/>
        </w:rPr>
        <w:t xml:space="preserve">A compliance notice compels the provider to address the actual or possible non-compliance and will outline any action that the provider must take, or refrain from taking, within a reasonable </w:t>
      </w:r>
      <w:proofErr w:type="gramStart"/>
      <w:r w:rsidRPr="000562A2">
        <w:rPr>
          <w:szCs w:val="24"/>
        </w:rPr>
        <w:t>time period</w:t>
      </w:r>
      <w:proofErr w:type="gramEnd"/>
      <w:r w:rsidRPr="000562A2">
        <w:rPr>
          <w:szCs w:val="24"/>
        </w:rPr>
        <w:t xml:space="preserve">. </w:t>
      </w:r>
    </w:p>
    <w:p w14:paraId="7F752E73" w14:textId="506C2C9F" w:rsidR="00177757" w:rsidRPr="00A8649D" w:rsidRDefault="00177757" w:rsidP="00177757">
      <w:pPr>
        <w:rPr>
          <w:szCs w:val="24"/>
        </w:rPr>
      </w:pPr>
      <w:r w:rsidRPr="00A8649D">
        <w:rPr>
          <w:szCs w:val="24"/>
        </w:rPr>
        <w:t xml:space="preserve">Compliance notices where the Commissioner is aware of information that suggests the provider may not be complying with relevant responsibilities are </w:t>
      </w:r>
      <w:r w:rsidRPr="000562A2">
        <w:rPr>
          <w:b/>
          <w:szCs w:val="24"/>
        </w:rPr>
        <w:t>not</w:t>
      </w:r>
      <w:r w:rsidRPr="00A8649D">
        <w:rPr>
          <w:szCs w:val="24"/>
        </w:rPr>
        <w:t xml:space="preserve"> published on</w:t>
      </w:r>
      <w:r w:rsidR="008F4E85" w:rsidRPr="000562A2">
        <w:rPr>
          <w:szCs w:val="24"/>
        </w:rPr>
        <w:t xml:space="preserve"> the non-compliance register</w:t>
      </w:r>
      <w:r w:rsidRPr="00A8649D">
        <w:rPr>
          <w:szCs w:val="24"/>
        </w:rPr>
        <w:t xml:space="preserve"> </w:t>
      </w:r>
      <w:r w:rsidR="008F4E85" w:rsidRPr="000562A2">
        <w:rPr>
          <w:szCs w:val="24"/>
        </w:rPr>
        <w:t xml:space="preserve">or </w:t>
      </w:r>
      <w:r w:rsidRPr="00A8649D">
        <w:rPr>
          <w:szCs w:val="24"/>
        </w:rPr>
        <w:t xml:space="preserve">My Aged Care. </w:t>
      </w:r>
    </w:p>
    <w:p w14:paraId="17CE42A9" w14:textId="3AD2F233" w:rsidR="00B95736" w:rsidRPr="000562A2" w:rsidRDefault="00B37959" w:rsidP="00B95736">
      <w:pPr>
        <w:pStyle w:val="Heading3"/>
        <w:rPr>
          <w:b w:val="0"/>
          <w:szCs w:val="24"/>
        </w:rPr>
      </w:pPr>
      <w:r>
        <w:rPr>
          <w:szCs w:val="24"/>
        </w:rPr>
        <w:t>Non-compliance notices and n</w:t>
      </w:r>
      <w:r w:rsidR="00B95736" w:rsidRPr="00C85B6E">
        <w:rPr>
          <w:szCs w:val="24"/>
        </w:rPr>
        <w:t>otices to r</w:t>
      </w:r>
      <w:r w:rsidR="00B95736" w:rsidRPr="0048061D">
        <w:rPr>
          <w:szCs w:val="24"/>
        </w:rPr>
        <w:t>emedy</w:t>
      </w:r>
    </w:p>
    <w:p w14:paraId="326E1488" w14:textId="413B3C9F" w:rsidR="00021639" w:rsidRDefault="00B37959" w:rsidP="00B50EF4">
      <w:pPr>
        <w:spacing w:after="240"/>
      </w:pPr>
      <w:r>
        <w:t>Under section 63</w:t>
      </w:r>
      <w:r w:rsidR="00146A7F">
        <w:t>S</w:t>
      </w:r>
      <w:r>
        <w:t xml:space="preserve"> of the C</w:t>
      </w:r>
      <w:r w:rsidR="00146A7F">
        <w:t>ommission Act</w:t>
      </w:r>
      <w:r w:rsidR="006863C6">
        <w:t>,</w:t>
      </w:r>
      <w:r w:rsidR="00146A7F">
        <w:t xml:space="preserve"> a n</w:t>
      </w:r>
      <w:r w:rsidR="00B50EF4">
        <w:t>on-</w:t>
      </w:r>
      <w:r w:rsidR="00146A7F">
        <w:t>c</w:t>
      </w:r>
      <w:r w:rsidR="00B50EF4">
        <w:t xml:space="preserve">ompliance </w:t>
      </w:r>
      <w:r w:rsidR="00146A7F">
        <w:t>n</w:t>
      </w:r>
      <w:r w:rsidR="00B50EF4">
        <w:t xml:space="preserve">otice may be issued to a provider if the Commission is satisfied </w:t>
      </w:r>
      <w:r w:rsidR="006863C6">
        <w:t xml:space="preserve">that </w:t>
      </w:r>
      <w:r w:rsidR="00B50EF4">
        <w:t>the provider is or has been non-compliant with one or more of its responsibilities under the Aged Care Act</w:t>
      </w:r>
      <w:r w:rsidR="00021639">
        <w:t>.</w:t>
      </w:r>
    </w:p>
    <w:p w14:paraId="0B798078" w14:textId="49A25E67" w:rsidR="00B50EF4" w:rsidRDefault="00B50EF4" w:rsidP="00B50EF4">
      <w:pPr>
        <w:spacing w:after="240"/>
      </w:pPr>
      <w:r>
        <w:t>Th</w:t>
      </w:r>
      <w:r w:rsidR="00021639">
        <w:t>e non-compliance</w:t>
      </w:r>
      <w:r>
        <w:t xml:space="preserve"> notice sets out actions the provider is required to take to remedy the </w:t>
      </w:r>
      <w:proofErr w:type="gramStart"/>
      <w:r>
        <w:t>non-compliance, and</w:t>
      </w:r>
      <w:proofErr w:type="gramEnd"/>
      <w:r>
        <w:t xml:space="preserve"> gives the provider the opportunity to make submissions prior to the decision-maker deciding to impose one or more sanctions.</w:t>
      </w:r>
    </w:p>
    <w:p w14:paraId="5EE01CE4" w14:textId="219A47D7" w:rsidR="00B95736" w:rsidRPr="000562A2" w:rsidRDefault="00AF6C9A" w:rsidP="00B95736">
      <w:pPr>
        <w:spacing w:after="240"/>
        <w:rPr>
          <w:szCs w:val="24"/>
        </w:rPr>
      </w:pPr>
      <w:r>
        <w:t>If the Commission is satisfied with the provider’s response to a non-compliance notice</w:t>
      </w:r>
      <w:r w:rsidR="00D4779D">
        <w:t xml:space="preserve"> (</w:t>
      </w:r>
      <w:r>
        <w:t xml:space="preserve">for example the response </w:t>
      </w:r>
      <w:r w:rsidR="006720AD">
        <w:t>acknowledges th</w:t>
      </w:r>
      <w:r w:rsidR="00C61B4D">
        <w:t>e</w:t>
      </w:r>
      <w:r w:rsidR="007C7BB5">
        <w:t xml:space="preserve"> </w:t>
      </w:r>
      <w:r w:rsidR="00A84A6E">
        <w:t xml:space="preserve">areas for improvement set out in the </w:t>
      </w:r>
      <w:r w:rsidR="00185BAB">
        <w:t>non-compliance notice and propose</w:t>
      </w:r>
      <w:r w:rsidR="00D4779D">
        <w:t>s actions</w:t>
      </w:r>
      <w:r w:rsidR="00185BAB">
        <w:t xml:space="preserve"> </w:t>
      </w:r>
      <w:r>
        <w:t>to remedy the non-compliance</w:t>
      </w:r>
      <w:r w:rsidR="00D4779D">
        <w:t>)</w:t>
      </w:r>
      <w:r>
        <w:t xml:space="preserve">, </w:t>
      </w:r>
      <w:r w:rsidR="00B30722">
        <w:rPr>
          <w:szCs w:val="24"/>
        </w:rPr>
        <w:t>u</w:t>
      </w:r>
      <w:r w:rsidR="00B30722" w:rsidRPr="000562A2">
        <w:rPr>
          <w:szCs w:val="24"/>
        </w:rPr>
        <w:t xml:space="preserve">nder section 63T of the Commission Act </w:t>
      </w:r>
      <w:r w:rsidR="00B30722">
        <w:t xml:space="preserve">a </w:t>
      </w:r>
      <w:r w:rsidR="00B30722" w:rsidRPr="006863C6">
        <w:rPr>
          <w:b/>
        </w:rPr>
        <w:t>notice to remedy</w:t>
      </w:r>
      <w:r w:rsidR="00B30722">
        <w:t xml:space="preserve"> </w:t>
      </w:r>
      <w:r>
        <w:t xml:space="preserve">may be issued to the provider. This requires the provider to give the Commission an </w:t>
      </w:r>
      <w:r w:rsidR="00B30722" w:rsidRPr="006863C6">
        <w:rPr>
          <w:b/>
        </w:rPr>
        <w:t>u</w:t>
      </w:r>
      <w:r w:rsidRPr="006863C6">
        <w:rPr>
          <w:b/>
        </w:rPr>
        <w:t xml:space="preserve">ndertaking to </w:t>
      </w:r>
      <w:r w:rsidR="00B30722" w:rsidRPr="006863C6">
        <w:rPr>
          <w:b/>
        </w:rPr>
        <w:t>r</w:t>
      </w:r>
      <w:r w:rsidRPr="006863C6">
        <w:rPr>
          <w:b/>
        </w:rPr>
        <w:t>emedy</w:t>
      </w:r>
      <w:r>
        <w:t xml:space="preserve"> the non-compliance referred to in the </w:t>
      </w:r>
      <w:r w:rsidR="00B30722">
        <w:t>n</w:t>
      </w:r>
      <w:r>
        <w:t>on-</w:t>
      </w:r>
      <w:r w:rsidR="00B30722">
        <w:t>c</w:t>
      </w:r>
      <w:r>
        <w:t xml:space="preserve">ompliance </w:t>
      </w:r>
      <w:r w:rsidR="00B30722">
        <w:t>n</w:t>
      </w:r>
      <w:r>
        <w:t>otice.</w:t>
      </w:r>
      <w:r w:rsidR="00E053A3">
        <w:rPr>
          <w:szCs w:val="24"/>
        </w:rPr>
        <w:t xml:space="preserve"> </w:t>
      </w:r>
      <w:r w:rsidR="00B95736" w:rsidRPr="000562A2">
        <w:rPr>
          <w:szCs w:val="24"/>
        </w:rPr>
        <w:t xml:space="preserve">The undertaking is required to describe and acknowledge the non-compliance </w:t>
      </w:r>
      <w:r w:rsidR="00305CF6">
        <w:rPr>
          <w:szCs w:val="24"/>
        </w:rPr>
        <w:t>that was detailed in the non-compliance notice</w:t>
      </w:r>
      <w:r w:rsidR="00B95736" w:rsidRPr="000562A2">
        <w:rPr>
          <w:szCs w:val="24"/>
        </w:rPr>
        <w:t xml:space="preserve"> and </w:t>
      </w:r>
      <w:r w:rsidR="00192031">
        <w:rPr>
          <w:szCs w:val="24"/>
        </w:rPr>
        <w:t xml:space="preserve">commits </w:t>
      </w:r>
      <w:r w:rsidR="00B95736" w:rsidRPr="000562A2">
        <w:rPr>
          <w:szCs w:val="24"/>
        </w:rPr>
        <w:t xml:space="preserve">the provider </w:t>
      </w:r>
      <w:r w:rsidR="00192031">
        <w:rPr>
          <w:szCs w:val="24"/>
        </w:rPr>
        <w:t xml:space="preserve">to undertake the actions </w:t>
      </w:r>
      <w:r w:rsidR="00B95736" w:rsidRPr="000562A2">
        <w:rPr>
          <w:szCs w:val="24"/>
        </w:rPr>
        <w:t>propose</w:t>
      </w:r>
      <w:r w:rsidR="003A575A">
        <w:rPr>
          <w:szCs w:val="24"/>
        </w:rPr>
        <w:t>d</w:t>
      </w:r>
      <w:r w:rsidR="00AE2C7D">
        <w:rPr>
          <w:szCs w:val="24"/>
        </w:rPr>
        <w:t xml:space="preserve"> in its </w:t>
      </w:r>
      <w:r w:rsidR="00EA4502">
        <w:rPr>
          <w:szCs w:val="24"/>
        </w:rPr>
        <w:t xml:space="preserve">plan for continuous improvement to </w:t>
      </w:r>
      <w:r w:rsidR="00B95736" w:rsidRPr="000562A2">
        <w:rPr>
          <w:szCs w:val="24"/>
        </w:rPr>
        <w:t xml:space="preserve">remedy the non-compliance. </w:t>
      </w:r>
    </w:p>
    <w:p w14:paraId="20BD6E59" w14:textId="279744A5" w:rsidR="00B95736" w:rsidRDefault="00B95736" w:rsidP="0020348B">
      <w:pPr>
        <w:spacing w:after="240"/>
        <w:rPr>
          <w:szCs w:val="24"/>
        </w:rPr>
      </w:pPr>
      <w:r w:rsidRPr="000562A2">
        <w:rPr>
          <w:szCs w:val="24"/>
        </w:rPr>
        <w:lastRenderedPageBreak/>
        <w:t>The notice to remedy i</w:t>
      </w:r>
      <w:r>
        <w:rPr>
          <w:szCs w:val="24"/>
        </w:rPr>
        <w:t>s</w:t>
      </w:r>
      <w:r w:rsidRPr="000562A2">
        <w:rPr>
          <w:szCs w:val="24"/>
        </w:rPr>
        <w:t xml:space="preserve"> published on the non-compliance register and My Aged Care</w:t>
      </w:r>
      <w:r w:rsidR="00083E24">
        <w:rPr>
          <w:szCs w:val="24"/>
        </w:rPr>
        <w:t xml:space="preserve">. </w:t>
      </w:r>
    </w:p>
    <w:p w14:paraId="5B540B94" w14:textId="1E3F0F65" w:rsidR="00177757" w:rsidRPr="000562A2" w:rsidRDefault="00177757" w:rsidP="000562A2">
      <w:pPr>
        <w:pStyle w:val="Heading3"/>
        <w:rPr>
          <w:b w:val="0"/>
          <w:szCs w:val="24"/>
        </w:rPr>
      </w:pPr>
      <w:r w:rsidRPr="00A8649D">
        <w:rPr>
          <w:szCs w:val="24"/>
        </w:rPr>
        <w:t>Infringement notices</w:t>
      </w:r>
    </w:p>
    <w:p w14:paraId="424D21CE" w14:textId="4B9CF92F" w:rsidR="00177757" w:rsidRPr="000562A2" w:rsidRDefault="00177757" w:rsidP="00177757">
      <w:pPr>
        <w:spacing w:after="240"/>
        <w:rPr>
          <w:szCs w:val="24"/>
        </w:rPr>
      </w:pPr>
      <w:r w:rsidRPr="000562A2">
        <w:rPr>
          <w:szCs w:val="24"/>
        </w:rPr>
        <w:t xml:space="preserve">If the Commission has reasonable grounds to believe that a person (e.g. provider or an aged care employee) has contravened a specified civil penalty provision or a specified offence provision in the </w:t>
      </w:r>
      <w:r w:rsidR="00891677" w:rsidRPr="000562A2">
        <w:rPr>
          <w:szCs w:val="24"/>
        </w:rPr>
        <w:t>Aged Care legislation</w:t>
      </w:r>
      <w:r w:rsidRPr="000562A2">
        <w:rPr>
          <w:szCs w:val="24"/>
        </w:rPr>
        <w:t>, the Commission may issue an infringement notice</w:t>
      </w:r>
      <w:r w:rsidR="00891677" w:rsidRPr="000562A2">
        <w:rPr>
          <w:szCs w:val="24"/>
        </w:rPr>
        <w:t xml:space="preserve"> under section 74EB of the Commission Act. </w:t>
      </w:r>
    </w:p>
    <w:p w14:paraId="1014943B" w14:textId="6E53F6B2" w:rsidR="00891677" w:rsidRPr="000562A2" w:rsidRDefault="00333E61" w:rsidP="00177757">
      <w:pPr>
        <w:spacing w:after="240"/>
        <w:rPr>
          <w:szCs w:val="24"/>
        </w:rPr>
      </w:pPr>
      <w:r>
        <w:rPr>
          <w:szCs w:val="24"/>
        </w:rPr>
        <w:t xml:space="preserve">Under </w:t>
      </w:r>
      <w:r w:rsidR="00066100">
        <w:rPr>
          <w:szCs w:val="24"/>
        </w:rPr>
        <w:t xml:space="preserve">section </w:t>
      </w:r>
      <w:r w:rsidR="00015CEF">
        <w:rPr>
          <w:szCs w:val="24"/>
        </w:rPr>
        <w:t>74EB of the Commission</w:t>
      </w:r>
      <w:r>
        <w:rPr>
          <w:szCs w:val="24"/>
        </w:rPr>
        <w:t xml:space="preserve"> Act</w:t>
      </w:r>
      <w:r w:rsidR="00EC7F0C">
        <w:rPr>
          <w:szCs w:val="24"/>
        </w:rPr>
        <w:t>,</w:t>
      </w:r>
      <w:r>
        <w:rPr>
          <w:szCs w:val="24"/>
        </w:rPr>
        <w:t xml:space="preserve"> the Commission has powers to </w:t>
      </w:r>
      <w:proofErr w:type="gramStart"/>
      <w:r>
        <w:rPr>
          <w:szCs w:val="24"/>
        </w:rPr>
        <w:t xml:space="preserve">issue </w:t>
      </w:r>
      <w:r w:rsidR="00891677" w:rsidRPr="000562A2">
        <w:rPr>
          <w:szCs w:val="24"/>
        </w:rPr>
        <w:t xml:space="preserve"> infringement</w:t>
      </w:r>
      <w:proofErr w:type="gramEnd"/>
      <w:r w:rsidR="00891677" w:rsidRPr="000562A2">
        <w:rPr>
          <w:szCs w:val="24"/>
        </w:rPr>
        <w:t xml:space="preserve"> notices </w:t>
      </w:r>
      <w:r>
        <w:rPr>
          <w:szCs w:val="24"/>
        </w:rPr>
        <w:t>for</w:t>
      </w:r>
      <w:r w:rsidR="00066100">
        <w:rPr>
          <w:szCs w:val="24"/>
        </w:rPr>
        <w:t xml:space="preserve">: </w:t>
      </w:r>
    </w:p>
    <w:p w14:paraId="64EB8ECD" w14:textId="672F1337" w:rsidR="00891677" w:rsidRPr="000562A2" w:rsidRDefault="00C1198D" w:rsidP="00891677">
      <w:pPr>
        <w:pStyle w:val="ListParagraph"/>
        <w:numPr>
          <w:ilvl w:val="0"/>
          <w:numId w:val="46"/>
        </w:numPr>
        <w:spacing w:after="240"/>
        <w:rPr>
          <w:szCs w:val="24"/>
        </w:rPr>
      </w:pPr>
      <w:r w:rsidRPr="000562A2">
        <w:rPr>
          <w:szCs w:val="24"/>
        </w:rPr>
        <w:t>f</w:t>
      </w:r>
      <w:r w:rsidR="00891677" w:rsidRPr="000562A2">
        <w:rPr>
          <w:szCs w:val="24"/>
        </w:rPr>
        <w:t xml:space="preserve">ailing to comply with a Compliance Notice given under section 74EE of the Commission Act </w:t>
      </w:r>
    </w:p>
    <w:p w14:paraId="4C6822C6" w14:textId="6493A143" w:rsidR="00333E61" w:rsidRDefault="00C1198D" w:rsidP="000562A2">
      <w:pPr>
        <w:pStyle w:val="ListParagraph"/>
        <w:numPr>
          <w:ilvl w:val="0"/>
          <w:numId w:val="46"/>
        </w:numPr>
        <w:spacing w:before="60" w:after="240"/>
        <w:rPr>
          <w:szCs w:val="24"/>
        </w:rPr>
      </w:pPr>
      <w:r w:rsidRPr="000562A2">
        <w:rPr>
          <w:szCs w:val="24"/>
        </w:rPr>
        <w:t>v</w:t>
      </w:r>
      <w:r w:rsidR="00891677" w:rsidRPr="00A8649D">
        <w:rPr>
          <w:szCs w:val="24"/>
        </w:rPr>
        <w:t xml:space="preserve">ictimisation </w:t>
      </w:r>
      <w:r w:rsidR="004214DB">
        <w:rPr>
          <w:szCs w:val="24"/>
        </w:rPr>
        <w:t>prohibited under section 54-6 of the Aged Care Act</w:t>
      </w:r>
      <w:r w:rsidR="00891677" w:rsidRPr="00A8649D">
        <w:rPr>
          <w:szCs w:val="24"/>
        </w:rPr>
        <w:t>– causing or threatening to cause detriment to a person who has disclosed that they suspect a reportable incident has occurred</w:t>
      </w:r>
    </w:p>
    <w:p w14:paraId="0D156D60" w14:textId="262BF8D0" w:rsidR="00891677" w:rsidRPr="00333E61" w:rsidRDefault="00333E61" w:rsidP="0020348B">
      <w:pPr>
        <w:spacing w:before="60" w:after="240"/>
        <w:rPr>
          <w:szCs w:val="24"/>
        </w:rPr>
      </w:pPr>
      <w:r>
        <w:rPr>
          <w:szCs w:val="24"/>
        </w:rPr>
        <w:t xml:space="preserve">These </w:t>
      </w:r>
      <w:r w:rsidR="00A077FA">
        <w:rPr>
          <w:szCs w:val="24"/>
        </w:rPr>
        <w:t>notices</w:t>
      </w:r>
      <w:r>
        <w:rPr>
          <w:szCs w:val="24"/>
        </w:rPr>
        <w:t xml:space="preserve"> </w:t>
      </w:r>
      <w:r w:rsidRPr="00333E61">
        <w:rPr>
          <w:szCs w:val="24"/>
        </w:rPr>
        <w:t>will be published on the non-compliance register and on My Aged Care</w:t>
      </w:r>
      <w:r>
        <w:rPr>
          <w:szCs w:val="24"/>
        </w:rPr>
        <w:t>.</w:t>
      </w:r>
    </w:p>
    <w:p w14:paraId="31CE2E3C" w14:textId="4EB8D297" w:rsidR="00177757" w:rsidRPr="000562A2" w:rsidRDefault="00177757" w:rsidP="000562A2">
      <w:pPr>
        <w:pStyle w:val="Heading3"/>
        <w:rPr>
          <w:b w:val="0"/>
          <w:szCs w:val="24"/>
        </w:rPr>
      </w:pPr>
      <w:r w:rsidRPr="00A8649D">
        <w:rPr>
          <w:szCs w:val="24"/>
        </w:rPr>
        <w:t xml:space="preserve">Notices to </w:t>
      </w:r>
      <w:r w:rsidR="00197B86" w:rsidRPr="00A8649D">
        <w:rPr>
          <w:szCs w:val="24"/>
        </w:rPr>
        <w:t>a</w:t>
      </w:r>
      <w:r w:rsidRPr="00A8649D">
        <w:rPr>
          <w:szCs w:val="24"/>
        </w:rPr>
        <w:t>gree</w:t>
      </w:r>
    </w:p>
    <w:p w14:paraId="12368EB4" w14:textId="05E6E97F" w:rsidR="008B437C" w:rsidRPr="000562A2" w:rsidRDefault="00C1198D" w:rsidP="00C1198D">
      <w:pPr>
        <w:rPr>
          <w:szCs w:val="24"/>
        </w:rPr>
      </w:pPr>
      <w:r w:rsidRPr="000562A2">
        <w:rPr>
          <w:szCs w:val="24"/>
        </w:rPr>
        <w:t>Under section 63N of the Commission Act</w:t>
      </w:r>
      <w:r w:rsidR="00A077FA">
        <w:rPr>
          <w:szCs w:val="24"/>
        </w:rPr>
        <w:t>,</w:t>
      </w:r>
      <w:r w:rsidRPr="000562A2">
        <w:rPr>
          <w:szCs w:val="24"/>
        </w:rPr>
        <w:t xml:space="preserve"> the Commission may revoke the approval of the provider (a revocation sanction)</w:t>
      </w:r>
      <w:r w:rsidR="008B437C" w:rsidRPr="000562A2">
        <w:rPr>
          <w:szCs w:val="24"/>
        </w:rPr>
        <w:t xml:space="preserve"> for non-compliance with </w:t>
      </w:r>
      <w:r w:rsidR="006863C6">
        <w:rPr>
          <w:szCs w:val="24"/>
        </w:rPr>
        <w:t xml:space="preserve">their </w:t>
      </w:r>
      <w:r w:rsidR="008B437C" w:rsidRPr="000562A2">
        <w:rPr>
          <w:szCs w:val="24"/>
        </w:rPr>
        <w:t>aged care responsibilities</w:t>
      </w:r>
      <w:r w:rsidRPr="000562A2">
        <w:rPr>
          <w:szCs w:val="24"/>
        </w:rPr>
        <w:t>.  Before imposing the revocation sanction, under 63U of the Commission Act the Commission may</w:t>
      </w:r>
      <w:r w:rsidR="00177757" w:rsidRPr="000562A2">
        <w:rPr>
          <w:szCs w:val="24"/>
        </w:rPr>
        <w:t xml:space="preserve"> first issue the provider with a Notice of Requirement to Agree to Certain Matters (</w:t>
      </w:r>
      <w:r w:rsidRPr="000562A2">
        <w:rPr>
          <w:szCs w:val="24"/>
        </w:rPr>
        <w:t>n</w:t>
      </w:r>
      <w:r w:rsidR="00177757" w:rsidRPr="000562A2">
        <w:rPr>
          <w:szCs w:val="24"/>
        </w:rPr>
        <w:t xml:space="preserve">otice to </w:t>
      </w:r>
      <w:r w:rsidRPr="000562A2">
        <w:rPr>
          <w:szCs w:val="24"/>
        </w:rPr>
        <w:t>a</w:t>
      </w:r>
      <w:r w:rsidR="00177757" w:rsidRPr="000562A2">
        <w:rPr>
          <w:szCs w:val="24"/>
        </w:rPr>
        <w:t>gree).</w:t>
      </w:r>
    </w:p>
    <w:p w14:paraId="0D7FDA26" w14:textId="60547F92" w:rsidR="008B437C" w:rsidRPr="000562A2" w:rsidRDefault="008B437C" w:rsidP="00C1198D">
      <w:pPr>
        <w:rPr>
          <w:szCs w:val="24"/>
        </w:rPr>
      </w:pPr>
      <w:r w:rsidRPr="000562A2">
        <w:rPr>
          <w:szCs w:val="24"/>
        </w:rPr>
        <w:t xml:space="preserve">The notice to agree will require the provider to agree in writing to do one or more things specified in the notice </w:t>
      </w:r>
      <w:proofErr w:type="gramStart"/>
      <w:r w:rsidRPr="000562A2">
        <w:rPr>
          <w:szCs w:val="24"/>
        </w:rPr>
        <w:t>in order to</w:t>
      </w:r>
      <w:proofErr w:type="gramEnd"/>
      <w:r w:rsidRPr="000562A2">
        <w:rPr>
          <w:szCs w:val="24"/>
        </w:rPr>
        <w:t xml:space="preserve"> comply with their aged care responsibilities. </w:t>
      </w:r>
    </w:p>
    <w:p w14:paraId="2E2B3874" w14:textId="51F80C72" w:rsidR="008B437C" w:rsidRPr="000562A2" w:rsidRDefault="008B437C" w:rsidP="000562A2">
      <w:pPr>
        <w:spacing w:after="240"/>
        <w:rPr>
          <w:szCs w:val="24"/>
        </w:rPr>
      </w:pPr>
      <w:r w:rsidRPr="000562A2">
        <w:rPr>
          <w:szCs w:val="24"/>
        </w:rPr>
        <w:t>The notice to agree i</w:t>
      </w:r>
      <w:r w:rsidR="00440AC7">
        <w:rPr>
          <w:szCs w:val="24"/>
        </w:rPr>
        <w:t>s</w:t>
      </w:r>
      <w:r w:rsidRPr="000562A2">
        <w:rPr>
          <w:szCs w:val="24"/>
        </w:rPr>
        <w:t xml:space="preserve"> published on the non-compliance register and </w:t>
      </w:r>
      <w:r w:rsidR="006863C6">
        <w:rPr>
          <w:szCs w:val="24"/>
        </w:rPr>
        <w:t xml:space="preserve">on </w:t>
      </w:r>
      <w:r w:rsidRPr="000562A2">
        <w:rPr>
          <w:szCs w:val="24"/>
        </w:rPr>
        <w:t>My Aged Care</w:t>
      </w:r>
      <w:r w:rsidR="00DC03BF">
        <w:rPr>
          <w:szCs w:val="24"/>
        </w:rPr>
        <w:t xml:space="preserve">. </w:t>
      </w:r>
    </w:p>
    <w:p w14:paraId="50DFC58A" w14:textId="0AFA1DCF" w:rsidR="00177757" w:rsidRPr="000562A2" w:rsidRDefault="00177757" w:rsidP="000562A2">
      <w:pPr>
        <w:pStyle w:val="Heading3"/>
        <w:rPr>
          <w:b w:val="0"/>
          <w:szCs w:val="24"/>
        </w:rPr>
      </w:pPr>
      <w:r w:rsidRPr="00A8649D">
        <w:rPr>
          <w:szCs w:val="24"/>
        </w:rPr>
        <w:t xml:space="preserve">Notices of </w:t>
      </w:r>
      <w:r w:rsidR="008B437C" w:rsidRPr="00A8649D">
        <w:rPr>
          <w:szCs w:val="24"/>
        </w:rPr>
        <w:t>d</w:t>
      </w:r>
      <w:r w:rsidRPr="00A8649D">
        <w:rPr>
          <w:szCs w:val="24"/>
        </w:rPr>
        <w:t xml:space="preserve">ecision to </w:t>
      </w:r>
      <w:r w:rsidR="008B437C" w:rsidRPr="00A8649D">
        <w:rPr>
          <w:szCs w:val="24"/>
        </w:rPr>
        <w:t>i</w:t>
      </w:r>
      <w:r w:rsidRPr="00A8649D">
        <w:rPr>
          <w:szCs w:val="24"/>
        </w:rPr>
        <w:t xml:space="preserve">mpose </w:t>
      </w:r>
      <w:r w:rsidR="008B437C" w:rsidRPr="00C85B6E">
        <w:rPr>
          <w:szCs w:val="24"/>
        </w:rPr>
        <w:t>s</w:t>
      </w:r>
      <w:r w:rsidRPr="00C85B6E">
        <w:rPr>
          <w:szCs w:val="24"/>
        </w:rPr>
        <w:t>anctions</w:t>
      </w:r>
    </w:p>
    <w:p w14:paraId="33AA1574" w14:textId="34025957" w:rsidR="00177757" w:rsidRPr="000562A2" w:rsidRDefault="006F423D" w:rsidP="00177757">
      <w:pPr>
        <w:spacing w:after="240"/>
        <w:rPr>
          <w:szCs w:val="24"/>
        </w:rPr>
      </w:pPr>
      <w:r w:rsidRPr="004A3ACF">
        <w:rPr>
          <w:szCs w:val="24"/>
        </w:rPr>
        <w:t>Sanctions are intended to protect consumers – both future and present – and compel the provider to take action to implement changes and sustain compliance</w:t>
      </w:r>
      <w:r w:rsidR="0048061D">
        <w:rPr>
          <w:szCs w:val="24"/>
        </w:rPr>
        <w:t>.</w:t>
      </w:r>
      <w:r w:rsidRPr="00F32B44">
        <w:rPr>
          <w:szCs w:val="24"/>
        </w:rPr>
        <w:t xml:space="preserve"> </w:t>
      </w:r>
      <w:r w:rsidR="00197B86" w:rsidRPr="000562A2">
        <w:rPr>
          <w:szCs w:val="24"/>
        </w:rPr>
        <w:t>When a</w:t>
      </w:r>
      <w:r w:rsidR="00177757" w:rsidRPr="000562A2">
        <w:rPr>
          <w:szCs w:val="24"/>
        </w:rPr>
        <w:t xml:space="preserve"> sanction is imposed on a provider for non-compliance with its aged care responsibilities</w:t>
      </w:r>
      <w:r w:rsidR="006863C6">
        <w:rPr>
          <w:szCs w:val="24"/>
        </w:rPr>
        <w:t>,</w:t>
      </w:r>
      <w:r w:rsidR="00197B86" w:rsidRPr="000562A2">
        <w:rPr>
          <w:szCs w:val="24"/>
        </w:rPr>
        <w:t xml:space="preserve"> the</w:t>
      </w:r>
      <w:r w:rsidR="002D18D9">
        <w:rPr>
          <w:szCs w:val="24"/>
        </w:rPr>
        <w:t xml:space="preserve"> </w:t>
      </w:r>
      <w:r w:rsidR="007F4B91">
        <w:rPr>
          <w:szCs w:val="24"/>
        </w:rPr>
        <w:t xml:space="preserve">provider </w:t>
      </w:r>
      <w:r w:rsidR="002D18D9">
        <w:rPr>
          <w:szCs w:val="24"/>
        </w:rPr>
        <w:t xml:space="preserve">will receive a </w:t>
      </w:r>
      <w:r w:rsidR="00440AC7">
        <w:rPr>
          <w:szCs w:val="24"/>
        </w:rPr>
        <w:t>notice of the decision to impose the sanction under section 63N of the Commission Act. The notice will set out the details of the non-compliance, reasons for the decision, the sanction that will be imposed and the effect the sanction will have on the provider</w:t>
      </w:r>
      <w:r w:rsidR="00177757" w:rsidRPr="000562A2">
        <w:rPr>
          <w:szCs w:val="24"/>
        </w:rPr>
        <w:t xml:space="preserve">. </w:t>
      </w:r>
      <w:r w:rsidR="0059791E">
        <w:rPr>
          <w:szCs w:val="24"/>
        </w:rPr>
        <w:t xml:space="preserve">Sanctions </w:t>
      </w:r>
      <w:r w:rsidR="00A75691">
        <w:rPr>
          <w:szCs w:val="24"/>
        </w:rPr>
        <w:t xml:space="preserve">are published on the non-compliance register and My Aged Care </w:t>
      </w:r>
      <w:r w:rsidR="008C0648">
        <w:rPr>
          <w:szCs w:val="24"/>
        </w:rPr>
        <w:t xml:space="preserve">once </w:t>
      </w:r>
      <w:r w:rsidR="00111446">
        <w:rPr>
          <w:szCs w:val="24"/>
        </w:rPr>
        <w:t xml:space="preserve">consumers at the sanctioned service and their representatives have been informed </w:t>
      </w:r>
      <w:r w:rsidR="009E5944">
        <w:rPr>
          <w:szCs w:val="24"/>
        </w:rPr>
        <w:t xml:space="preserve">about the sanctions imposed. </w:t>
      </w:r>
    </w:p>
    <w:p w14:paraId="1F05C036" w14:textId="065DBE8A" w:rsidR="00177757" w:rsidRDefault="4435C855" w:rsidP="00177757">
      <w:pPr>
        <w:pStyle w:val="Heading1"/>
      </w:pPr>
      <w:r>
        <w:t>Directions to take specified action</w:t>
      </w:r>
    </w:p>
    <w:p w14:paraId="623A86EE" w14:textId="23A161FE" w:rsidR="00177757" w:rsidRPr="000562A2" w:rsidRDefault="00177757" w:rsidP="10628A7F">
      <w:pPr>
        <w:rPr>
          <w:lang w:eastAsia="en-AU"/>
        </w:rPr>
      </w:pPr>
      <w:r>
        <w:t xml:space="preserve">Directions to take specified action are available to the Commission when undertaking a resolution process in relation to an issue raised in a complaint or provider responsibility </w:t>
      </w:r>
      <w:r>
        <w:lastRenderedPageBreak/>
        <w:t>information.</w:t>
      </w:r>
      <w:r w:rsidR="00440AC7" w:rsidRPr="10628A7F">
        <w:rPr>
          <w:lang w:eastAsia="en-AU"/>
        </w:rPr>
        <w:t xml:space="preserve"> </w:t>
      </w:r>
      <w:r w:rsidRPr="10628A7F">
        <w:rPr>
          <w:lang w:eastAsia="en-AU"/>
        </w:rPr>
        <w:t xml:space="preserve">The Commissioner may issue a </w:t>
      </w:r>
      <w:r w:rsidR="00440AC7" w:rsidRPr="10628A7F">
        <w:rPr>
          <w:lang w:eastAsia="en-AU"/>
        </w:rPr>
        <w:t>d</w:t>
      </w:r>
      <w:r w:rsidRPr="10628A7F">
        <w:rPr>
          <w:lang w:eastAsia="en-AU"/>
        </w:rPr>
        <w:t xml:space="preserve">irection which directs a provider to take specified action </w:t>
      </w:r>
      <w:proofErr w:type="gramStart"/>
      <w:r w:rsidRPr="10628A7F">
        <w:rPr>
          <w:lang w:eastAsia="en-AU"/>
        </w:rPr>
        <w:t xml:space="preserve">in order </w:t>
      </w:r>
      <w:r w:rsidR="006863C6">
        <w:rPr>
          <w:lang w:eastAsia="en-AU"/>
        </w:rPr>
        <w:t>to</w:t>
      </w:r>
      <w:proofErr w:type="gramEnd"/>
      <w:r w:rsidR="006863C6">
        <w:rPr>
          <w:lang w:eastAsia="en-AU"/>
        </w:rPr>
        <w:t xml:space="preserve"> </w:t>
      </w:r>
      <w:r w:rsidRPr="10628A7F">
        <w:rPr>
          <w:lang w:eastAsia="en-AU"/>
        </w:rPr>
        <w:t xml:space="preserve">meet their aged care responsibilities. </w:t>
      </w:r>
    </w:p>
    <w:p w14:paraId="7A5756A3" w14:textId="77777777" w:rsidR="00177757" w:rsidRPr="000562A2" w:rsidRDefault="00177757" w:rsidP="00177757">
      <w:pPr>
        <w:rPr>
          <w:szCs w:val="24"/>
          <w:lang w:eastAsia="en-AU"/>
        </w:rPr>
      </w:pPr>
      <w:r w:rsidRPr="000562A2">
        <w:rPr>
          <w:szCs w:val="24"/>
          <w:lang w:eastAsia="en-AU"/>
        </w:rPr>
        <w:t xml:space="preserve">Directions are given under section 19 of the Commission Rules when the Commissioner is </w:t>
      </w:r>
      <w:r w:rsidRPr="000562A2">
        <w:rPr>
          <w:color w:val="000000"/>
          <w:szCs w:val="24"/>
          <w:shd w:val="clear" w:color="auto" w:fill="FFFFFF"/>
        </w:rPr>
        <w:t>undertaking a resolution process</w:t>
      </w:r>
      <w:r w:rsidRPr="000562A2">
        <w:rPr>
          <w:szCs w:val="24"/>
          <w:lang w:eastAsia="en-AU"/>
        </w:rPr>
        <w:t xml:space="preserve">: </w:t>
      </w:r>
    </w:p>
    <w:p w14:paraId="03A3A6ED" w14:textId="77777777" w:rsidR="00177757" w:rsidRPr="000562A2" w:rsidRDefault="00177757" w:rsidP="00177757">
      <w:pPr>
        <w:pStyle w:val="ListParagraph"/>
        <w:numPr>
          <w:ilvl w:val="0"/>
          <w:numId w:val="42"/>
        </w:numPr>
        <w:spacing w:before="120"/>
        <w:ind w:left="714" w:hanging="357"/>
        <w:contextualSpacing w:val="0"/>
        <w:rPr>
          <w:szCs w:val="24"/>
          <w:lang w:eastAsia="en-AU"/>
        </w:rPr>
      </w:pPr>
      <w:r w:rsidRPr="000562A2">
        <w:rPr>
          <w:color w:val="000000"/>
          <w:szCs w:val="24"/>
          <w:shd w:val="clear" w:color="auto" w:fill="FFFFFF"/>
        </w:rPr>
        <w:t xml:space="preserve">in relation to a complaint made, or information raising an issue or issues about provider responsibilities </w:t>
      </w:r>
      <w:r w:rsidRPr="000562A2">
        <w:rPr>
          <w:szCs w:val="24"/>
          <w:lang w:eastAsia="en-AU"/>
        </w:rPr>
        <w:t xml:space="preserve">under the Aged Care Act, the Aged Care Principles, or a funding agreement </w:t>
      </w:r>
    </w:p>
    <w:p w14:paraId="38478161" w14:textId="77777777" w:rsidR="00177757" w:rsidRPr="000562A2" w:rsidRDefault="00177757" w:rsidP="00177757">
      <w:pPr>
        <w:pStyle w:val="ListParagraph"/>
        <w:numPr>
          <w:ilvl w:val="0"/>
          <w:numId w:val="42"/>
        </w:numPr>
        <w:spacing w:before="120"/>
        <w:ind w:left="714" w:hanging="357"/>
        <w:contextualSpacing w:val="0"/>
        <w:rPr>
          <w:szCs w:val="24"/>
          <w:lang w:eastAsia="en-AU"/>
        </w:rPr>
      </w:pPr>
      <w:r w:rsidRPr="000562A2">
        <w:rPr>
          <w:szCs w:val="24"/>
          <w:lang w:eastAsia="en-AU"/>
        </w:rPr>
        <w:t>the Commissioner becomes satisfied that a provider is not meeting their responsibilities</w:t>
      </w:r>
    </w:p>
    <w:p w14:paraId="2A3B3151" w14:textId="77777777" w:rsidR="00177757" w:rsidRPr="000562A2" w:rsidRDefault="00177757" w:rsidP="00177757">
      <w:pPr>
        <w:pStyle w:val="ListParagraph"/>
        <w:numPr>
          <w:ilvl w:val="0"/>
          <w:numId w:val="42"/>
        </w:numPr>
        <w:spacing w:before="120"/>
        <w:ind w:left="714" w:hanging="357"/>
        <w:contextualSpacing w:val="0"/>
        <w:rPr>
          <w:szCs w:val="24"/>
          <w:lang w:eastAsia="en-AU"/>
        </w:rPr>
      </w:pPr>
      <w:r w:rsidRPr="000562A2">
        <w:rPr>
          <w:szCs w:val="24"/>
        </w:rPr>
        <w:t>the provider has not responded to a Notice of Intention to Give Directions, or if they have responded, is unable to satisfy the Commission that they are compliant with their responsibilities.</w:t>
      </w:r>
      <w:r w:rsidRPr="000562A2">
        <w:rPr>
          <w:szCs w:val="24"/>
          <w:lang w:eastAsia="en-AU"/>
        </w:rPr>
        <w:t xml:space="preserve"> </w:t>
      </w:r>
    </w:p>
    <w:p w14:paraId="3BDFCA6A" w14:textId="2F67C40C" w:rsidR="00177757" w:rsidRPr="000562A2" w:rsidRDefault="00177757" w:rsidP="00177757">
      <w:pPr>
        <w:rPr>
          <w:szCs w:val="24"/>
          <w:lang w:eastAsia="en-AU"/>
        </w:rPr>
      </w:pPr>
      <w:r w:rsidRPr="000562A2">
        <w:rPr>
          <w:szCs w:val="24"/>
          <w:lang w:eastAsia="en-AU"/>
        </w:rPr>
        <w:t>Directions given to the provider to take specified action are published by the Commission on</w:t>
      </w:r>
      <w:r w:rsidRPr="000562A2">
        <w:rPr>
          <w:szCs w:val="24"/>
        </w:rPr>
        <w:t xml:space="preserve"> the </w:t>
      </w:r>
      <w:hyperlink r:id="rId27" w:history="1">
        <w:r w:rsidRPr="000562A2">
          <w:rPr>
            <w:rStyle w:val="Hyperlink"/>
            <w:szCs w:val="24"/>
          </w:rPr>
          <w:t>Complaints Directions page</w:t>
        </w:r>
      </w:hyperlink>
      <w:r w:rsidRPr="000562A2">
        <w:rPr>
          <w:rStyle w:val="FootnoteReference"/>
          <w:szCs w:val="24"/>
        </w:rPr>
        <w:footnoteReference w:id="17"/>
      </w:r>
      <w:r w:rsidRPr="000562A2">
        <w:rPr>
          <w:szCs w:val="24"/>
        </w:rPr>
        <w:t xml:space="preserve"> on the Commission website. </w:t>
      </w:r>
      <w:r w:rsidRPr="000562A2">
        <w:rPr>
          <w:szCs w:val="24"/>
          <w:lang w:eastAsia="en-AU"/>
        </w:rPr>
        <w:t>The information published includes the name of the service, the name of the provider, the date the Direction was signed, the summary of specified actions and the date by which actions must be taken.</w:t>
      </w:r>
    </w:p>
    <w:p w14:paraId="28796E9E" w14:textId="77777777" w:rsidR="00701F89" w:rsidRPr="00CD13C3" w:rsidRDefault="00701F89">
      <w:pPr>
        <w:pStyle w:val="Heading1"/>
      </w:pPr>
      <w:r w:rsidRPr="00CD13C3">
        <w:t>Frequently asked questions</w:t>
      </w:r>
    </w:p>
    <w:p w14:paraId="55955B85" w14:textId="3268D41E" w:rsidR="00701F89" w:rsidRDefault="00701F89" w:rsidP="00F97EC0">
      <w:pPr>
        <w:pStyle w:val="Heading2"/>
        <w:numPr>
          <w:ilvl w:val="0"/>
          <w:numId w:val="34"/>
        </w:numPr>
        <w:ind w:left="567" w:hanging="567"/>
      </w:pPr>
      <w:r>
        <w:t>Why does the Commission publish information about provider performance?</w:t>
      </w:r>
    </w:p>
    <w:p w14:paraId="7C288472" w14:textId="0159C237" w:rsidR="00701F89" w:rsidRDefault="00701F89" w:rsidP="00B32DB2">
      <w:r>
        <w:t xml:space="preserve">The Commission is required to publish certain information on the Commission website under the </w:t>
      </w:r>
      <w:r w:rsidR="00444A34">
        <w:t xml:space="preserve">Commission </w:t>
      </w:r>
      <w:r>
        <w:t>Rules. The Commission also makes publicly available outcomes of its regulatory</w:t>
      </w:r>
      <w:r w:rsidR="43F177AE">
        <w:t xml:space="preserve"> </w:t>
      </w:r>
      <w:r>
        <w:t xml:space="preserve">functions </w:t>
      </w:r>
      <w:r w:rsidR="003716AC">
        <w:t>which include complaints resolution processes, performance assessments</w:t>
      </w:r>
      <w:r w:rsidR="001E0A5A">
        <w:t xml:space="preserve">, and compliance </w:t>
      </w:r>
      <w:r w:rsidR="008D633A">
        <w:t xml:space="preserve">actions in response to </w:t>
      </w:r>
      <w:r w:rsidR="00702E9C">
        <w:t xml:space="preserve">a provider’s </w:t>
      </w:r>
      <w:r w:rsidR="00504284">
        <w:t xml:space="preserve">failure </w:t>
      </w:r>
      <w:r w:rsidR="00E25BD7">
        <w:t xml:space="preserve">to meet </w:t>
      </w:r>
      <w:r w:rsidR="00504284">
        <w:t xml:space="preserve">its </w:t>
      </w:r>
      <w:r w:rsidR="00016AE6">
        <w:t>responsibilities</w:t>
      </w:r>
      <w:r w:rsidR="00E25BD7">
        <w:t xml:space="preserve"> </w:t>
      </w:r>
      <w:r w:rsidR="00732903">
        <w:t>as an approved provider</w:t>
      </w:r>
      <w:r w:rsidR="006863C6">
        <w:t xml:space="preserve">. Publication of this information </w:t>
      </w:r>
      <w:r>
        <w:t>ensure</w:t>
      </w:r>
      <w:r w:rsidR="006863C6">
        <w:t>s</w:t>
      </w:r>
      <w:r>
        <w:t xml:space="preserve"> transparency and visibility to:</w:t>
      </w:r>
    </w:p>
    <w:p w14:paraId="396E1694" w14:textId="77777777" w:rsidR="00701F89" w:rsidRDefault="00701F89" w:rsidP="00701F89">
      <w:pPr>
        <w:pStyle w:val="ListBullet"/>
        <w:tabs>
          <w:tab w:val="left" w:pos="720"/>
        </w:tabs>
        <w:spacing w:before="120" w:after="0"/>
      </w:pPr>
      <w:r>
        <w:t>help consumers make informed choices about aged care services</w:t>
      </w:r>
    </w:p>
    <w:p w14:paraId="4F650DB2" w14:textId="77777777" w:rsidR="00701F89" w:rsidRDefault="00701F89" w:rsidP="00701F89">
      <w:pPr>
        <w:pStyle w:val="ListBullet"/>
        <w:tabs>
          <w:tab w:val="left" w:pos="720"/>
        </w:tabs>
        <w:spacing w:before="120" w:after="0"/>
      </w:pPr>
      <w:r>
        <w:t>drive improvements in the quality and safety of aged care services</w:t>
      </w:r>
    </w:p>
    <w:p w14:paraId="72CB4F03" w14:textId="77777777" w:rsidR="00701F89" w:rsidRDefault="00701F89" w:rsidP="00701F89">
      <w:pPr>
        <w:pStyle w:val="ListBullet"/>
        <w:tabs>
          <w:tab w:val="left" w:pos="720"/>
        </w:tabs>
        <w:spacing w:before="120" w:after="0"/>
      </w:pPr>
      <w:r>
        <w:t>enable providers to benchmark their performance and manage risks and continuous improvement</w:t>
      </w:r>
    </w:p>
    <w:p w14:paraId="7CA30EC3" w14:textId="77777777" w:rsidR="00701F89" w:rsidRDefault="00701F89" w:rsidP="00701F89">
      <w:pPr>
        <w:pStyle w:val="ListBullet"/>
        <w:tabs>
          <w:tab w:val="left" w:pos="720"/>
        </w:tabs>
        <w:spacing w:before="120" w:after="240"/>
      </w:pPr>
      <w:r>
        <w:t>inform the public about the Commission’s work.</w:t>
      </w:r>
    </w:p>
    <w:p w14:paraId="167A459B" w14:textId="77777777" w:rsidR="00701F89" w:rsidRDefault="00701F89" w:rsidP="00701F89">
      <w:pPr>
        <w:pStyle w:val="Heading2"/>
        <w:numPr>
          <w:ilvl w:val="0"/>
          <w:numId w:val="34"/>
        </w:numPr>
        <w:ind w:left="567" w:hanging="567"/>
      </w:pPr>
      <w:r>
        <w:t>Where can I access information about a provider’s performance?</w:t>
      </w:r>
    </w:p>
    <w:p w14:paraId="6BCCFB09" w14:textId="0B04A100" w:rsidR="00701F89" w:rsidRDefault="00701F89" w:rsidP="00701F89">
      <w:r>
        <w:t xml:space="preserve">Information about a provider’s performance is available through the Commission’s website and on the My Aged </w:t>
      </w:r>
      <w:r w:rsidR="002519D2">
        <w:t>C</w:t>
      </w:r>
      <w:r>
        <w:t>are website.</w:t>
      </w:r>
    </w:p>
    <w:p w14:paraId="31C77D29" w14:textId="77777777" w:rsidR="00701F89" w:rsidRDefault="00701F89" w:rsidP="00701F89">
      <w:pPr>
        <w:pStyle w:val="Heading3"/>
      </w:pPr>
      <w:r>
        <w:lastRenderedPageBreak/>
        <w:t>Information published on the Commission’s website</w:t>
      </w:r>
    </w:p>
    <w:p w14:paraId="4D194F28" w14:textId="3AD8D7CD" w:rsidR="00701F89" w:rsidRDefault="00701F89" w:rsidP="00701F89">
      <w:r>
        <w:t xml:space="preserve">The </w:t>
      </w:r>
      <w:hyperlink r:id="rId28" w:history="1">
        <w:r>
          <w:rPr>
            <w:rStyle w:val="Hyperlink"/>
          </w:rPr>
          <w:t>Aged Care Performance section</w:t>
        </w:r>
      </w:hyperlink>
      <w:r>
        <w:rPr>
          <w:rStyle w:val="FootnoteReference"/>
        </w:rPr>
        <w:footnoteReference w:id="18"/>
      </w:r>
      <w:r>
        <w:t xml:space="preserve"> of the Commission’s website includes access to a dedicated page for each aged care service detailing current and historical performance information about that service. Performance information available from these pages includes:</w:t>
      </w:r>
    </w:p>
    <w:p w14:paraId="75FB6227" w14:textId="544135E0" w:rsidR="00CE5FFC" w:rsidRDefault="00CE5FFC" w:rsidP="00743FBB">
      <w:pPr>
        <w:pStyle w:val="ListBullet"/>
        <w:spacing w:before="120"/>
        <w:ind w:left="714" w:hanging="357"/>
      </w:pPr>
      <w:hyperlink r:id="rId29" w:history="1">
        <w:r>
          <w:rPr>
            <w:rStyle w:val="Hyperlink"/>
          </w:rPr>
          <w:t>s</w:t>
        </w:r>
        <w:r w:rsidRPr="00CE5FFC">
          <w:rPr>
            <w:rStyle w:val="Hyperlink"/>
          </w:rPr>
          <w:t>ector performance data</w:t>
        </w:r>
      </w:hyperlink>
    </w:p>
    <w:p w14:paraId="5EFE9363" w14:textId="1B0B0921" w:rsidR="00701F89" w:rsidRDefault="00701F89" w:rsidP="00743FBB">
      <w:pPr>
        <w:pStyle w:val="ListBullet"/>
        <w:spacing w:before="120"/>
        <w:ind w:left="714" w:hanging="357"/>
      </w:pPr>
      <w:hyperlink r:id="rId30" w:history="1">
        <w:r w:rsidRPr="00CE5FFC">
          <w:rPr>
            <w:rStyle w:val="Hyperlink"/>
          </w:rPr>
          <w:t>performance reports from quality assessments</w:t>
        </w:r>
      </w:hyperlink>
      <w:r>
        <w:t xml:space="preserve"> </w:t>
      </w:r>
    </w:p>
    <w:p w14:paraId="67691F58" w14:textId="43119A09" w:rsidR="00701F89" w:rsidRDefault="00701F89" w:rsidP="00743FBB">
      <w:pPr>
        <w:pStyle w:val="ListBullet"/>
        <w:spacing w:before="120"/>
        <w:ind w:left="714" w:hanging="357"/>
      </w:pPr>
      <w:hyperlink r:id="rId31" w:history="1">
        <w:r w:rsidRPr="00CE5FFC">
          <w:rPr>
            <w:rStyle w:val="Hyperlink"/>
          </w:rPr>
          <w:t>decisions relating to accreditation</w:t>
        </w:r>
      </w:hyperlink>
      <w:r>
        <w:t xml:space="preserve"> </w:t>
      </w:r>
    </w:p>
    <w:p w14:paraId="46E45FC4" w14:textId="22196797" w:rsidR="00701F89" w:rsidRDefault="00CE5FFC" w:rsidP="00743FBB">
      <w:pPr>
        <w:pStyle w:val="ListBullet"/>
        <w:spacing w:before="120"/>
        <w:ind w:left="714" w:hanging="357"/>
      </w:pPr>
      <w:hyperlink r:id="rId32" w:history="1">
        <w:r>
          <w:rPr>
            <w:rStyle w:val="Hyperlink"/>
          </w:rPr>
          <w:t>n</w:t>
        </w:r>
        <w:r w:rsidR="00701F89" w:rsidRPr="00CE5FFC">
          <w:rPr>
            <w:rStyle w:val="Hyperlink"/>
          </w:rPr>
          <w:t>on-</w:t>
        </w:r>
        <w:r w:rsidR="00ED2FA0" w:rsidRPr="00CE5FFC">
          <w:rPr>
            <w:rStyle w:val="Hyperlink"/>
          </w:rPr>
          <w:t>c</w:t>
        </w:r>
        <w:r w:rsidR="00701F89" w:rsidRPr="00CE5FFC">
          <w:rPr>
            <w:rStyle w:val="Hyperlink"/>
          </w:rPr>
          <w:t xml:space="preserve">ompliance </w:t>
        </w:r>
        <w:r w:rsidR="0021584F" w:rsidRPr="00CE5FFC">
          <w:rPr>
            <w:rStyle w:val="Hyperlink"/>
          </w:rPr>
          <w:t>register</w:t>
        </w:r>
      </w:hyperlink>
    </w:p>
    <w:p w14:paraId="60D154BD" w14:textId="735226BC" w:rsidR="00701F89" w:rsidRDefault="00CE5FFC" w:rsidP="00743FBB">
      <w:pPr>
        <w:pStyle w:val="ListBullet"/>
        <w:spacing w:before="120"/>
        <w:ind w:left="714" w:hanging="357"/>
      </w:pPr>
      <w:hyperlink r:id="rId33" w:history="1">
        <w:r>
          <w:rPr>
            <w:rStyle w:val="Hyperlink"/>
          </w:rPr>
          <w:t>c</w:t>
        </w:r>
        <w:r w:rsidR="00701F89" w:rsidRPr="00CE5FFC">
          <w:rPr>
            <w:rStyle w:val="Hyperlink"/>
          </w:rPr>
          <w:t xml:space="preserve">omplaints </w:t>
        </w:r>
        <w:r>
          <w:rPr>
            <w:rStyle w:val="Hyperlink"/>
          </w:rPr>
          <w:t>d</w:t>
        </w:r>
        <w:r w:rsidR="00701F89" w:rsidRPr="00CE5FFC">
          <w:rPr>
            <w:rStyle w:val="Hyperlink"/>
          </w:rPr>
          <w:t>irections</w:t>
        </w:r>
      </w:hyperlink>
    </w:p>
    <w:p w14:paraId="59ACB6F1" w14:textId="77777777" w:rsidR="00701F89" w:rsidRDefault="00701F89" w:rsidP="00701F89">
      <w:pPr>
        <w:pStyle w:val="Heading3"/>
      </w:pPr>
      <w:r>
        <w:t>Information published on the My Aged Care website</w:t>
      </w:r>
    </w:p>
    <w:p w14:paraId="51F3250D" w14:textId="2BDBAC57" w:rsidR="00701F89" w:rsidRDefault="00701F89" w:rsidP="00701F89">
      <w:r>
        <w:t xml:space="preserve">Performance information available from the </w:t>
      </w:r>
      <w:hyperlink r:id="rId34" w:history="1">
        <w:r>
          <w:rPr>
            <w:rStyle w:val="Hyperlink"/>
          </w:rPr>
          <w:t>My Aged Care website</w:t>
        </w:r>
      </w:hyperlink>
      <w:r>
        <w:rPr>
          <w:rStyle w:val="FootnoteReference"/>
        </w:rPr>
        <w:footnoteReference w:id="19"/>
      </w:r>
      <w:r>
        <w:t xml:space="preserve"> includes:</w:t>
      </w:r>
    </w:p>
    <w:p w14:paraId="7706DEE7" w14:textId="154F1D52" w:rsidR="00531613" w:rsidRDefault="00701F89">
      <w:pPr>
        <w:pStyle w:val="ListBullet"/>
        <w:spacing w:before="120"/>
        <w:ind w:left="714" w:hanging="357"/>
      </w:pPr>
      <w:r>
        <w:t xml:space="preserve">Service </w:t>
      </w:r>
      <w:r w:rsidR="00CE5FFC">
        <w:t>Star Rating including</w:t>
      </w:r>
      <w:r w:rsidR="00291366">
        <w:t xml:space="preserve"> </w:t>
      </w:r>
      <w:hyperlink r:id="rId35" w:history="1">
        <w:r w:rsidR="00531613" w:rsidRPr="00531613">
          <w:rPr>
            <w:rStyle w:val="Hyperlink"/>
          </w:rPr>
          <w:t>Compliance Ratings</w:t>
        </w:r>
      </w:hyperlink>
    </w:p>
    <w:p w14:paraId="7D399532" w14:textId="0057F441" w:rsidR="00701F89" w:rsidRDefault="00D06DF9" w:rsidP="000562A2">
      <w:pPr>
        <w:pStyle w:val="ListBullet"/>
        <w:spacing w:before="120"/>
        <w:ind w:left="714" w:hanging="357"/>
      </w:pPr>
      <w:r w:rsidRPr="0020348B">
        <w:t>Non-compliance decisions</w:t>
      </w:r>
      <w:r w:rsidR="00531613">
        <w:t xml:space="preserve"> (</w:t>
      </w:r>
      <w:r w:rsidR="00701F89">
        <w:t xml:space="preserve">can be accessed by doing a search for a service via the </w:t>
      </w:r>
      <w:r w:rsidR="005723BE">
        <w:t>‘</w:t>
      </w:r>
      <w:hyperlink r:id="rId36" w:history="1">
        <w:r w:rsidR="00460C2E">
          <w:rPr>
            <w:rStyle w:val="Hyperlink"/>
          </w:rPr>
          <w:t>Find</w:t>
        </w:r>
      </w:hyperlink>
      <w:r w:rsidR="00460C2E">
        <w:rPr>
          <w:rStyle w:val="Hyperlink"/>
        </w:rPr>
        <w:t xml:space="preserve"> a Provider</w:t>
      </w:r>
      <w:r w:rsidR="009B1D5C">
        <w:rPr>
          <w:rStyle w:val="Hyperlink"/>
        </w:rPr>
        <w:t>’</w:t>
      </w:r>
      <w:r w:rsidR="00460C2E">
        <w:rPr>
          <w:rStyle w:val="Hyperlink"/>
        </w:rPr>
        <w:t xml:space="preserve"> tool</w:t>
      </w:r>
      <w:r w:rsidR="00701F89">
        <w:rPr>
          <w:rStyle w:val="Hyperlink"/>
        </w:rPr>
        <w:t>.</w:t>
      </w:r>
      <w:r w:rsidR="00E03A65">
        <w:rPr>
          <w:rStyle w:val="Hyperlink"/>
        </w:rPr>
        <w:t>)</w:t>
      </w:r>
    </w:p>
    <w:p w14:paraId="1016DAE1" w14:textId="149DD78F" w:rsidR="00FC0D35" w:rsidRDefault="00FC0D35" w:rsidP="00701F89">
      <w:pPr>
        <w:pStyle w:val="Heading2"/>
        <w:numPr>
          <w:ilvl w:val="0"/>
          <w:numId w:val="34"/>
        </w:numPr>
        <w:ind w:left="567" w:hanging="567"/>
      </w:pPr>
      <w:r>
        <w:t>Are providers given an opportunity to respond prior to the publication of performance information?</w:t>
      </w:r>
    </w:p>
    <w:p w14:paraId="08F3D66C" w14:textId="005B876C" w:rsidR="00291366" w:rsidRDefault="00291366" w:rsidP="028631A6">
      <w:pPr>
        <w:rPr>
          <w:rFonts w:eastAsia="Times New Roman"/>
        </w:rPr>
      </w:pPr>
      <w:r w:rsidRPr="028631A6">
        <w:rPr>
          <w:rFonts w:eastAsia="Times New Roman"/>
        </w:rPr>
        <w:t>The Commission</w:t>
      </w:r>
      <w:r w:rsidR="00FC0D35" w:rsidRPr="028631A6">
        <w:rPr>
          <w:rFonts w:eastAsia="Times New Roman"/>
        </w:rPr>
        <w:t xml:space="preserve"> provide</w:t>
      </w:r>
      <w:r w:rsidRPr="028631A6">
        <w:rPr>
          <w:rFonts w:eastAsia="Times New Roman"/>
        </w:rPr>
        <w:t>s</w:t>
      </w:r>
      <w:r w:rsidR="00FC0D35" w:rsidRPr="028631A6">
        <w:rPr>
          <w:rFonts w:eastAsia="Times New Roman"/>
        </w:rPr>
        <w:t xml:space="preserve"> procedural fairness to a provider </w:t>
      </w:r>
      <w:r w:rsidR="00F61A53">
        <w:rPr>
          <w:rFonts w:eastAsia="Times New Roman"/>
        </w:rPr>
        <w:t>whose rights or interests</w:t>
      </w:r>
      <w:r w:rsidR="00FC0D35" w:rsidRPr="028631A6">
        <w:rPr>
          <w:rFonts w:eastAsia="Times New Roman"/>
        </w:rPr>
        <w:t xml:space="preserve"> may be adversely affected by the </w:t>
      </w:r>
      <w:r w:rsidRPr="028631A6">
        <w:rPr>
          <w:rFonts w:eastAsia="Times New Roman"/>
        </w:rPr>
        <w:t xml:space="preserve">non-compliance </w:t>
      </w:r>
      <w:r w:rsidR="00FC0D35" w:rsidRPr="028631A6">
        <w:rPr>
          <w:rFonts w:eastAsia="Times New Roman"/>
        </w:rPr>
        <w:t>decision</w:t>
      </w:r>
      <w:r w:rsidRPr="028631A6">
        <w:rPr>
          <w:rFonts w:eastAsia="Times New Roman"/>
        </w:rPr>
        <w:t xml:space="preserve"> in accordance with the principles of administrative law and the requirements of the relevant Aged Care legislation</w:t>
      </w:r>
      <w:r w:rsidR="00FC0D35" w:rsidRPr="028631A6">
        <w:rPr>
          <w:rFonts w:eastAsia="Times New Roman"/>
        </w:rPr>
        <w:t xml:space="preserve">. </w:t>
      </w:r>
    </w:p>
    <w:p w14:paraId="223F1C36" w14:textId="60E90CC8" w:rsidR="00F67B3A" w:rsidRPr="0020348B" w:rsidRDefault="00F67B3A" w:rsidP="00F67B3A">
      <w:pPr>
        <w:rPr>
          <w:rFonts w:eastAsia="Times New Roman"/>
        </w:rPr>
      </w:pPr>
      <w:r>
        <w:t xml:space="preserve">The nature of procedural fairness differs across circumstances. In some circumstances, the Commission will notify the provider, setting out the reasons why certain actions are being considered. </w:t>
      </w:r>
      <w:r w:rsidRPr="005723BE">
        <w:rPr>
          <w:szCs w:val="24"/>
        </w:rPr>
        <w:t>If a p</w:t>
      </w:r>
      <w:r w:rsidRPr="004D281D">
        <w:rPr>
          <w:szCs w:val="24"/>
        </w:rPr>
        <w:t>rovider has concerns about the publication of performance information related to their service(s), the provider can make a submission outlining their concerns at the same time as they are responding to adverse information prior to a decision being made</w:t>
      </w:r>
      <w:r w:rsidRPr="005723BE">
        <w:rPr>
          <w:szCs w:val="24"/>
        </w:rPr>
        <w:t>.</w:t>
      </w:r>
    </w:p>
    <w:p w14:paraId="6A29FB5D" w14:textId="77777777" w:rsidR="00F67B3A" w:rsidRPr="00E66890" w:rsidRDefault="00F67B3A" w:rsidP="00F67B3A">
      <w:pPr>
        <w:rPr>
          <w:color w:val="212529"/>
          <w:szCs w:val="24"/>
        </w:rPr>
      </w:pPr>
      <w:r>
        <w:rPr>
          <w:color w:val="212529"/>
          <w:szCs w:val="24"/>
        </w:rPr>
        <w:t>Procedural fairness measures</w:t>
      </w:r>
      <w:r w:rsidRPr="00261B14">
        <w:rPr>
          <w:color w:val="212529"/>
          <w:szCs w:val="24"/>
        </w:rPr>
        <w:t xml:space="preserve"> afforded </w:t>
      </w:r>
      <w:r w:rsidRPr="00E66890">
        <w:rPr>
          <w:color w:val="212529"/>
          <w:szCs w:val="24"/>
        </w:rPr>
        <w:t xml:space="preserve">to the </w:t>
      </w:r>
      <w:r w:rsidRPr="00261B14">
        <w:rPr>
          <w:color w:val="212529"/>
          <w:szCs w:val="24"/>
        </w:rPr>
        <w:t>provider</w:t>
      </w:r>
      <w:r w:rsidRPr="00E66890">
        <w:rPr>
          <w:color w:val="212529"/>
          <w:szCs w:val="24"/>
        </w:rPr>
        <w:t xml:space="preserve"> includ</w:t>
      </w:r>
      <w:r>
        <w:rPr>
          <w:color w:val="212529"/>
          <w:szCs w:val="24"/>
        </w:rPr>
        <w:t>e</w:t>
      </w:r>
      <w:r w:rsidRPr="00E66890">
        <w:rPr>
          <w:color w:val="212529"/>
          <w:szCs w:val="24"/>
        </w:rPr>
        <w:t>:</w:t>
      </w:r>
    </w:p>
    <w:p w14:paraId="679CFE04" w14:textId="4AAFF55A" w:rsidR="00F67B3A" w:rsidRPr="005723BE" w:rsidRDefault="00F67B3A" w:rsidP="00F67B3A">
      <w:pPr>
        <w:pStyle w:val="ListParagraph"/>
        <w:numPr>
          <w:ilvl w:val="0"/>
          <w:numId w:val="52"/>
        </w:numPr>
        <w:spacing w:before="0" w:after="160" w:line="256" w:lineRule="auto"/>
        <w:ind w:left="320" w:hanging="320"/>
        <w:rPr>
          <w:rFonts w:eastAsia="Calibri"/>
          <w:szCs w:val="24"/>
        </w:rPr>
      </w:pPr>
      <w:r>
        <w:rPr>
          <w:rFonts w:eastAsia="Calibri"/>
          <w:b/>
        </w:rPr>
        <w:t>Direction to revise a PCI</w:t>
      </w:r>
      <w:r w:rsidR="000D6D2A">
        <w:rPr>
          <w:rFonts w:eastAsia="Calibri"/>
          <w:b/>
        </w:rPr>
        <w:t xml:space="preserve">: </w:t>
      </w:r>
      <w:r w:rsidRPr="0020348B">
        <w:rPr>
          <w:rFonts w:eastAsia="Calibri"/>
          <w:szCs w:val="24"/>
        </w:rPr>
        <w:t>if</w:t>
      </w:r>
      <w:r w:rsidRPr="00261B14">
        <w:rPr>
          <w:rFonts w:eastAsia="Calibri"/>
          <w:szCs w:val="24"/>
        </w:rPr>
        <w:t xml:space="preserve"> issued in response to non-compliance detected through a</w:t>
      </w:r>
      <w:r w:rsidR="00E03A65">
        <w:rPr>
          <w:rFonts w:eastAsia="Calibri"/>
          <w:szCs w:val="24"/>
        </w:rPr>
        <w:t>n</w:t>
      </w:r>
      <w:r w:rsidRPr="00261B14">
        <w:rPr>
          <w:rFonts w:eastAsia="Calibri"/>
          <w:szCs w:val="24"/>
        </w:rPr>
        <w:t xml:space="preserve"> </w:t>
      </w:r>
      <w:r w:rsidR="00096610">
        <w:rPr>
          <w:rFonts w:eastAsia="Calibri"/>
          <w:szCs w:val="24"/>
        </w:rPr>
        <w:t>assessment of p</w:t>
      </w:r>
      <w:r w:rsidRPr="00261B14">
        <w:rPr>
          <w:rFonts w:eastAsia="Calibri"/>
          <w:szCs w:val="24"/>
        </w:rPr>
        <w:t xml:space="preserve">erformance, </w:t>
      </w:r>
      <w:r w:rsidRPr="0020348B">
        <w:rPr>
          <w:rFonts w:eastAsia="Calibri"/>
          <w:szCs w:val="24"/>
        </w:rPr>
        <w:t>the provider</w:t>
      </w:r>
      <w:r w:rsidRPr="00261B14">
        <w:rPr>
          <w:rFonts w:eastAsia="Calibri"/>
        </w:rPr>
        <w:t xml:space="preserve"> is provided with a copy of the Assessment Team’s </w:t>
      </w:r>
      <w:r w:rsidR="00096610">
        <w:rPr>
          <w:rFonts w:eastAsia="Calibri"/>
        </w:rPr>
        <w:t xml:space="preserve">assessment </w:t>
      </w:r>
      <w:r w:rsidRPr="00261B14">
        <w:rPr>
          <w:rFonts w:eastAsia="Calibri"/>
        </w:rPr>
        <w:t xml:space="preserve">report and given an opportunity to make submissions in response to the </w:t>
      </w:r>
      <w:r w:rsidR="00096610">
        <w:rPr>
          <w:rFonts w:eastAsia="Calibri"/>
        </w:rPr>
        <w:t>assessment</w:t>
      </w:r>
      <w:r w:rsidRPr="00261B14">
        <w:rPr>
          <w:rFonts w:eastAsia="Calibri"/>
        </w:rPr>
        <w:t xml:space="preserve"> report</w:t>
      </w:r>
      <w:r w:rsidR="003F68E1">
        <w:rPr>
          <w:rFonts w:eastAsia="Calibri"/>
        </w:rPr>
        <w:t xml:space="preserve">. These are considered in finalising the decision on </w:t>
      </w:r>
      <w:proofErr w:type="spellStart"/>
      <w:proofErr w:type="gramStart"/>
      <w:r w:rsidR="003F68E1">
        <w:rPr>
          <w:rFonts w:eastAsia="Calibri"/>
        </w:rPr>
        <w:t>non compliance</w:t>
      </w:r>
      <w:proofErr w:type="spellEnd"/>
      <w:proofErr w:type="gramEnd"/>
      <w:r w:rsidR="003F68E1">
        <w:rPr>
          <w:rFonts w:eastAsia="Calibri"/>
        </w:rPr>
        <w:t xml:space="preserve"> </w:t>
      </w:r>
      <w:r w:rsidR="00636329">
        <w:rPr>
          <w:rFonts w:eastAsia="Calibri"/>
        </w:rPr>
        <w:t>documented in</w:t>
      </w:r>
      <w:r w:rsidR="003F68E1">
        <w:rPr>
          <w:rFonts w:eastAsia="Calibri"/>
        </w:rPr>
        <w:t xml:space="preserve"> the </w:t>
      </w:r>
      <w:r w:rsidR="000D6D2A">
        <w:rPr>
          <w:rFonts w:eastAsia="Calibri"/>
        </w:rPr>
        <w:t xml:space="preserve">published </w:t>
      </w:r>
      <w:r w:rsidR="003F68E1">
        <w:rPr>
          <w:rFonts w:eastAsia="Calibri"/>
        </w:rPr>
        <w:t xml:space="preserve">performance report </w:t>
      </w:r>
    </w:p>
    <w:p w14:paraId="0CC9DA7D" w14:textId="5B646D1D" w:rsidR="00F67B3A" w:rsidRPr="00261B14" w:rsidRDefault="00F67B3A" w:rsidP="00F67B3A">
      <w:pPr>
        <w:pStyle w:val="ListParagraph"/>
        <w:numPr>
          <w:ilvl w:val="0"/>
          <w:numId w:val="52"/>
        </w:numPr>
        <w:spacing w:before="0" w:after="160" w:line="256" w:lineRule="auto"/>
        <w:ind w:left="320" w:hanging="320"/>
        <w:rPr>
          <w:rFonts w:eastAsia="Calibri"/>
        </w:rPr>
      </w:pPr>
      <w:r>
        <w:rPr>
          <w:rFonts w:eastAsia="Calibri"/>
          <w:b/>
        </w:rPr>
        <w:t>Direction to take specified action</w:t>
      </w:r>
      <w:r w:rsidR="000D6D2A">
        <w:rPr>
          <w:rFonts w:eastAsia="Calibri"/>
          <w:b/>
        </w:rPr>
        <w:t xml:space="preserve">: </w:t>
      </w:r>
      <w:r w:rsidRPr="00261B14">
        <w:rPr>
          <w:rFonts w:eastAsia="Calibri"/>
        </w:rPr>
        <w:t xml:space="preserve">before </w:t>
      </w:r>
      <w:r w:rsidR="00E03A65">
        <w:rPr>
          <w:rFonts w:eastAsia="Calibri"/>
        </w:rPr>
        <w:t>the Commission issues a</w:t>
      </w:r>
      <w:r w:rsidRPr="00261B14">
        <w:rPr>
          <w:rFonts w:eastAsia="Calibri"/>
        </w:rPr>
        <w:t xml:space="preserve"> Direction</w:t>
      </w:r>
      <w:r w:rsidR="00E03A65">
        <w:rPr>
          <w:rFonts w:eastAsia="Calibri"/>
        </w:rPr>
        <w:t>,</w:t>
      </w:r>
      <w:r w:rsidRPr="00261B14">
        <w:rPr>
          <w:rFonts w:eastAsia="Calibri"/>
        </w:rPr>
        <w:t xml:space="preserve"> the provider is notified</w:t>
      </w:r>
      <w:r>
        <w:rPr>
          <w:rFonts w:eastAsia="Calibri"/>
        </w:rPr>
        <w:t xml:space="preserve"> of the Commission’s concerns</w:t>
      </w:r>
      <w:r w:rsidRPr="00261B14">
        <w:rPr>
          <w:rFonts w:eastAsia="Calibri"/>
        </w:rPr>
        <w:t xml:space="preserve"> through a</w:t>
      </w:r>
      <w:r>
        <w:rPr>
          <w:rFonts w:eastAsia="Calibri"/>
          <w:b/>
        </w:rPr>
        <w:t xml:space="preserve"> </w:t>
      </w:r>
      <w:r>
        <w:rPr>
          <w:szCs w:val="24"/>
        </w:rPr>
        <w:t>n</w:t>
      </w:r>
      <w:r w:rsidRPr="000562A2">
        <w:rPr>
          <w:szCs w:val="24"/>
        </w:rPr>
        <w:t xml:space="preserve">otice of </w:t>
      </w:r>
      <w:r>
        <w:rPr>
          <w:szCs w:val="24"/>
        </w:rPr>
        <w:t>i</w:t>
      </w:r>
      <w:r w:rsidRPr="000562A2">
        <w:rPr>
          <w:szCs w:val="24"/>
        </w:rPr>
        <w:t xml:space="preserve">ntention to </w:t>
      </w:r>
      <w:r>
        <w:rPr>
          <w:szCs w:val="24"/>
        </w:rPr>
        <w:t>g</w:t>
      </w:r>
      <w:r w:rsidRPr="000562A2">
        <w:rPr>
          <w:szCs w:val="24"/>
        </w:rPr>
        <w:t xml:space="preserve">ive </w:t>
      </w:r>
      <w:r>
        <w:rPr>
          <w:szCs w:val="24"/>
        </w:rPr>
        <w:t>d</w:t>
      </w:r>
      <w:r w:rsidRPr="000562A2">
        <w:rPr>
          <w:szCs w:val="24"/>
        </w:rPr>
        <w:t>irections</w:t>
      </w:r>
      <w:r>
        <w:rPr>
          <w:szCs w:val="24"/>
        </w:rPr>
        <w:t xml:space="preserve"> an</w:t>
      </w:r>
      <w:r w:rsidR="000D6D2A">
        <w:rPr>
          <w:szCs w:val="24"/>
        </w:rPr>
        <w:t>d</w:t>
      </w:r>
      <w:r>
        <w:rPr>
          <w:szCs w:val="24"/>
        </w:rPr>
        <w:t xml:space="preserve"> provided with opportunity to respond those concerns</w:t>
      </w:r>
    </w:p>
    <w:p w14:paraId="36CFAAA1" w14:textId="4E3FC9F9" w:rsidR="00F67B3A" w:rsidRPr="007B6356" w:rsidRDefault="00F67B3A" w:rsidP="00F67B3A">
      <w:pPr>
        <w:pStyle w:val="ListParagraph"/>
        <w:numPr>
          <w:ilvl w:val="0"/>
          <w:numId w:val="52"/>
        </w:numPr>
        <w:spacing w:before="0" w:after="160" w:line="256" w:lineRule="auto"/>
        <w:ind w:left="320" w:hanging="320"/>
        <w:rPr>
          <w:rFonts w:eastAsia="Calibri"/>
        </w:rPr>
      </w:pPr>
      <w:r>
        <w:rPr>
          <w:rFonts w:eastAsia="Calibri"/>
          <w:b/>
        </w:rPr>
        <w:lastRenderedPageBreak/>
        <w:t xml:space="preserve">Compliance Notice: </w:t>
      </w:r>
      <w:r>
        <w:rPr>
          <w:rFonts w:eastAsia="Calibri"/>
        </w:rPr>
        <w:t>t</w:t>
      </w:r>
      <w:r w:rsidRPr="00261B14">
        <w:rPr>
          <w:rFonts w:eastAsia="Calibri"/>
        </w:rPr>
        <w:t>he provider may seek a variation or revocation of the Compliance Notice</w:t>
      </w:r>
      <w:r w:rsidR="00E03A65">
        <w:rPr>
          <w:rFonts w:eastAsia="Calibri"/>
        </w:rPr>
        <w:t xml:space="preserve">. The </w:t>
      </w:r>
      <w:r w:rsidRPr="003F12C0">
        <w:rPr>
          <w:color w:val="212529"/>
          <w:szCs w:val="24"/>
        </w:rPr>
        <w:t>provider may also seek internal review through a reconsideration request, as well as external review by the Administrative Appeals Tribunal</w:t>
      </w:r>
    </w:p>
    <w:p w14:paraId="57D1A553" w14:textId="77777777" w:rsidR="00F67B3A" w:rsidRPr="00261B14" w:rsidRDefault="00F67B3A" w:rsidP="00F67B3A">
      <w:pPr>
        <w:pStyle w:val="ListParagraph"/>
        <w:numPr>
          <w:ilvl w:val="0"/>
          <w:numId w:val="52"/>
        </w:numPr>
        <w:spacing w:before="0" w:after="160" w:line="256" w:lineRule="auto"/>
        <w:ind w:left="320" w:hanging="320"/>
        <w:rPr>
          <w:rFonts w:eastAsia="Calibri"/>
          <w:b/>
        </w:rPr>
      </w:pPr>
      <w:r w:rsidRPr="00261B14">
        <w:rPr>
          <w:rFonts w:eastAsia="Calibri"/>
          <w:b/>
        </w:rPr>
        <w:t>Infringement Notice</w:t>
      </w:r>
      <w:r>
        <w:rPr>
          <w:rFonts w:eastAsia="Calibri"/>
          <w:b/>
        </w:rPr>
        <w:t xml:space="preserve">: </w:t>
      </w:r>
      <w:r>
        <w:rPr>
          <w:rFonts w:eastAsia="Calibri"/>
        </w:rPr>
        <w:t>t</w:t>
      </w:r>
      <w:r w:rsidRPr="00261B14">
        <w:rPr>
          <w:rFonts w:eastAsia="Calibri"/>
        </w:rPr>
        <w:t xml:space="preserve">he provider may make a submission requesting </w:t>
      </w:r>
      <w:r w:rsidRPr="003F12C0">
        <w:rPr>
          <w:rFonts w:eastAsia="Calibri"/>
        </w:rPr>
        <w:t>withdrawal</w:t>
      </w:r>
      <w:r w:rsidRPr="00261B14">
        <w:rPr>
          <w:rFonts w:eastAsia="Calibri"/>
        </w:rPr>
        <w:t xml:space="preserve"> of the </w:t>
      </w:r>
      <w:r>
        <w:rPr>
          <w:rFonts w:eastAsia="Calibri"/>
        </w:rPr>
        <w:t xml:space="preserve">infringement </w:t>
      </w:r>
      <w:r w:rsidRPr="00261B14">
        <w:rPr>
          <w:rFonts w:eastAsia="Calibri"/>
        </w:rPr>
        <w:t>notice</w:t>
      </w:r>
      <w:r>
        <w:rPr>
          <w:rFonts w:eastAsia="Calibri"/>
          <w:b/>
        </w:rPr>
        <w:t xml:space="preserve"> </w:t>
      </w:r>
      <w:r w:rsidRPr="00261B14">
        <w:rPr>
          <w:rFonts w:eastAsia="Calibri"/>
          <w:b/>
        </w:rPr>
        <w:t xml:space="preserve"> </w:t>
      </w:r>
    </w:p>
    <w:p w14:paraId="20C03BE5" w14:textId="453BAAEE" w:rsidR="00F67B3A" w:rsidRPr="00261B14" w:rsidRDefault="00F67B3A" w:rsidP="00F67B3A">
      <w:pPr>
        <w:pStyle w:val="ListParagraph"/>
        <w:numPr>
          <w:ilvl w:val="0"/>
          <w:numId w:val="52"/>
        </w:numPr>
        <w:spacing w:before="0" w:after="160" w:line="256" w:lineRule="auto"/>
        <w:ind w:left="320" w:hanging="320"/>
        <w:rPr>
          <w:rFonts w:eastAsia="Calibri"/>
        </w:rPr>
      </w:pPr>
      <w:r w:rsidRPr="00261B14">
        <w:rPr>
          <w:rFonts w:eastAsia="Calibri"/>
          <w:b/>
          <w:color w:val="000000"/>
          <w:kern w:val="24"/>
          <w:lang w:eastAsia="en-AU"/>
        </w:rPr>
        <w:t>Notice to remedy</w:t>
      </w:r>
      <w:r w:rsidR="00E03A65">
        <w:rPr>
          <w:rFonts w:eastAsia="Calibri"/>
          <w:b/>
          <w:color w:val="000000"/>
          <w:kern w:val="24"/>
          <w:lang w:eastAsia="en-AU"/>
        </w:rPr>
        <w:t>:</w:t>
      </w:r>
      <w:r w:rsidRPr="00261B14">
        <w:rPr>
          <w:rFonts w:eastAsia="Calibri"/>
          <w:b/>
          <w:color w:val="000000"/>
          <w:kern w:val="24"/>
          <w:lang w:eastAsia="en-AU"/>
        </w:rPr>
        <w:t xml:space="preserve"> </w:t>
      </w:r>
      <w:r w:rsidRPr="00261B14">
        <w:rPr>
          <w:rFonts w:eastAsia="Calibri"/>
          <w:color w:val="000000"/>
          <w:kern w:val="24"/>
          <w:lang w:eastAsia="en-AU"/>
        </w:rPr>
        <w:t xml:space="preserve">the provider is given </w:t>
      </w:r>
      <w:r w:rsidR="00CD17D2">
        <w:rPr>
          <w:rFonts w:eastAsia="Calibri"/>
          <w:color w:val="000000"/>
          <w:kern w:val="24"/>
          <w:lang w:eastAsia="en-AU"/>
        </w:rPr>
        <w:t xml:space="preserve">a </w:t>
      </w:r>
      <w:r w:rsidRPr="00261B14">
        <w:rPr>
          <w:rFonts w:eastAsia="Calibri"/>
          <w:color w:val="000000"/>
          <w:kern w:val="24"/>
          <w:lang w:eastAsia="en-AU"/>
        </w:rPr>
        <w:t>notice of non-compliance which invites submissions from the provider in response to the non-compliance</w:t>
      </w:r>
    </w:p>
    <w:p w14:paraId="09C67266" w14:textId="71DD1D0A" w:rsidR="00F67B3A" w:rsidRPr="00261B14" w:rsidRDefault="00F67B3A" w:rsidP="00F67B3A">
      <w:pPr>
        <w:pStyle w:val="ListParagraph"/>
        <w:numPr>
          <w:ilvl w:val="0"/>
          <w:numId w:val="52"/>
        </w:numPr>
        <w:spacing w:before="0" w:after="160" w:line="256" w:lineRule="auto"/>
        <w:ind w:left="320" w:hanging="320"/>
        <w:rPr>
          <w:rFonts w:eastAsia="Calibri"/>
        </w:rPr>
      </w:pPr>
      <w:r w:rsidRPr="7A829717">
        <w:rPr>
          <w:rFonts w:eastAsia="Calibri"/>
          <w:b/>
          <w:color w:val="000000" w:themeColor="text1"/>
          <w:lang w:eastAsia="en-AU"/>
        </w:rPr>
        <w:t>N</w:t>
      </w:r>
      <w:r w:rsidRPr="00261B14">
        <w:rPr>
          <w:rFonts w:eastAsia="Calibri"/>
          <w:b/>
          <w:color w:val="000000" w:themeColor="text1"/>
          <w:lang w:eastAsia="en-AU"/>
        </w:rPr>
        <w:t>otice of decision to impose sanctions</w:t>
      </w:r>
      <w:r w:rsidRPr="00261B14">
        <w:rPr>
          <w:rFonts w:eastAsia="Calibri"/>
          <w:color w:val="000000" w:themeColor="text1"/>
          <w:lang w:eastAsia="en-AU"/>
        </w:rPr>
        <w:t xml:space="preserve"> </w:t>
      </w:r>
      <w:r w:rsidRPr="00261B14">
        <w:rPr>
          <w:rFonts w:eastAsia="Calibri"/>
          <w:b/>
          <w:color w:val="000000" w:themeColor="text1"/>
          <w:lang w:eastAsia="en-AU"/>
        </w:rPr>
        <w:t>and notice to agree</w:t>
      </w:r>
      <w:r w:rsidR="00E03A65">
        <w:rPr>
          <w:rFonts w:eastAsia="Calibri"/>
          <w:b/>
          <w:color w:val="000000" w:themeColor="text1"/>
          <w:lang w:eastAsia="en-AU"/>
        </w:rPr>
        <w:t>:</w:t>
      </w:r>
      <w:r w:rsidRPr="7A829717">
        <w:rPr>
          <w:rFonts w:eastAsia="Calibri"/>
          <w:b/>
          <w:color w:val="000000" w:themeColor="text1"/>
          <w:lang w:eastAsia="en-AU"/>
        </w:rPr>
        <w:t xml:space="preserve"> </w:t>
      </w:r>
      <w:r w:rsidRPr="7A829717">
        <w:rPr>
          <w:rFonts w:eastAsia="Calibri"/>
          <w:color w:val="000000" w:themeColor="text1"/>
          <w:lang w:eastAsia="en-AU"/>
        </w:rPr>
        <w:t xml:space="preserve">where the non-compliance is not immediate and severe, the provider </w:t>
      </w:r>
      <w:r>
        <w:rPr>
          <w:rFonts w:eastAsia="Calibri"/>
          <w:color w:val="000000"/>
          <w:kern w:val="24"/>
          <w:lang w:eastAsia="en-AU"/>
        </w:rPr>
        <w:t>may be</w:t>
      </w:r>
      <w:r w:rsidRPr="7A829717">
        <w:rPr>
          <w:rFonts w:eastAsia="Calibri"/>
          <w:color w:val="000000" w:themeColor="text1"/>
          <w:lang w:eastAsia="en-AU"/>
        </w:rPr>
        <w:t xml:space="preserve"> given notice of non-compliance which invites submissions from the provider in response to the non-complianc</w:t>
      </w:r>
      <w:r>
        <w:rPr>
          <w:rFonts w:eastAsia="Calibri"/>
          <w:color w:val="000000" w:themeColor="text1"/>
          <w:lang w:eastAsia="en-AU"/>
        </w:rPr>
        <w:t xml:space="preserve">e. </w:t>
      </w:r>
      <w:r>
        <w:rPr>
          <w:rFonts w:eastAsia="Times New Roman"/>
        </w:rPr>
        <w:t>W</w:t>
      </w:r>
      <w:r w:rsidRPr="00815C21">
        <w:rPr>
          <w:rFonts w:eastAsia="Times New Roman"/>
        </w:rPr>
        <w:t>here there is immediate and severe risk, the Commission may</w:t>
      </w:r>
      <w:r>
        <w:rPr>
          <w:rFonts w:eastAsia="Times New Roman"/>
        </w:rPr>
        <w:t xml:space="preserve"> proceed to make a non-compliance decision </w:t>
      </w:r>
      <w:r w:rsidRPr="00815C21">
        <w:rPr>
          <w:rFonts w:eastAsia="Times New Roman"/>
        </w:rPr>
        <w:t xml:space="preserve">with no prior notice </w:t>
      </w:r>
      <w:r>
        <w:rPr>
          <w:rFonts w:eastAsia="Times New Roman"/>
        </w:rPr>
        <w:t xml:space="preserve">to a provider, </w:t>
      </w:r>
      <w:r w:rsidRPr="00815C21">
        <w:rPr>
          <w:rFonts w:eastAsia="Times New Roman"/>
        </w:rPr>
        <w:t xml:space="preserve">or opportunity </w:t>
      </w:r>
      <w:r>
        <w:rPr>
          <w:rFonts w:eastAsia="Times New Roman"/>
        </w:rPr>
        <w:t xml:space="preserve">for the provider </w:t>
      </w:r>
      <w:r w:rsidRPr="00815C21">
        <w:rPr>
          <w:rFonts w:eastAsia="Times New Roman"/>
        </w:rPr>
        <w:t>to respond</w:t>
      </w:r>
      <w:r>
        <w:rPr>
          <w:rFonts w:eastAsia="Times New Roman"/>
        </w:rPr>
        <w:t>.</w:t>
      </w:r>
    </w:p>
    <w:p w14:paraId="2E934117" w14:textId="37AB8CF4" w:rsidR="00F67B3A" w:rsidRDefault="00F67B3A" w:rsidP="00B85830">
      <w:pPr>
        <w:keepLines/>
        <w:rPr>
          <w:shd w:val="clear" w:color="auto" w:fill="FFFFFF"/>
        </w:rPr>
      </w:pPr>
      <w:r>
        <w:t xml:space="preserve">Following an adverse decision, the affected provider may </w:t>
      </w:r>
      <w:r>
        <w:rPr>
          <w:shd w:val="clear" w:color="auto" w:fill="FFFFFF"/>
        </w:rPr>
        <w:t>seek review of reviewable decisions through the Commission’s internal reconsideration process</w:t>
      </w:r>
      <w:r w:rsidR="00E03A65">
        <w:rPr>
          <w:shd w:val="clear" w:color="auto" w:fill="FFFFFF"/>
        </w:rPr>
        <w:t>,</w:t>
      </w:r>
      <w:r>
        <w:rPr>
          <w:shd w:val="clear" w:color="auto" w:fill="FFFFFF"/>
        </w:rPr>
        <w:t xml:space="preserve"> or external review by the Administrative Appeals Tribunal or Federal Courts or the Commonwealth Ombudsman. </w:t>
      </w:r>
    </w:p>
    <w:p w14:paraId="6989D481" w14:textId="77777777" w:rsidR="00FC0D35" w:rsidRDefault="00FC0D35" w:rsidP="00701F89">
      <w:pPr>
        <w:pStyle w:val="Heading2"/>
        <w:numPr>
          <w:ilvl w:val="0"/>
          <w:numId w:val="34"/>
        </w:numPr>
        <w:ind w:left="567" w:hanging="567"/>
      </w:pPr>
      <w:r>
        <w:t>What if there is an error in the information published?</w:t>
      </w:r>
    </w:p>
    <w:p w14:paraId="67AA38C5" w14:textId="3960501C" w:rsidR="00FC0D35" w:rsidRDefault="00FC0D35" w:rsidP="00FC0D35">
      <w:r>
        <w:t xml:space="preserve">The Commission undertakes various checks to ensure the information is correct. However, if an error in the information published is identified, please notify the Commission by emailing </w:t>
      </w:r>
      <w:hyperlink r:id="rId37" w:history="1">
        <w:r>
          <w:rPr>
            <w:rStyle w:val="Hyperlink"/>
          </w:rPr>
          <w:t>info@agedcarequality.gov.au</w:t>
        </w:r>
      </w:hyperlink>
      <w:r>
        <w:t xml:space="preserve"> or by calling 1800 951 822.</w:t>
      </w:r>
    </w:p>
    <w:p w14:paraId="61F1E00E" w14:textId="6D4CB7ED" w:rsidR="00CD13C3" w:rsidRDefault="00CD13C3" w:rsidP="000562A2">
      <w:pPr>
        <w:pStyle w:val="Heading2"/>
        <w:numPr>
          <w:ilvl w:val="0"/>
          <w:numId w:val="34"/>
        </w:numPr>
        <w:ind w:left="567" w:hanging="567"/>
      </w:pPr>
      <w:r>
        <w:t>When did Star Ratings commence?</w:t>
      </w:r>
    </w:p>
    <w:p w14:paraId="1BAC4911" w14:textId="1BDF5ADF" w:rsidR="00935BFB" w:rsidRPr="000562A2" w:rsidRDefault="00935BFB">
      <w:pPr>
        <w:rPr>
          <w:color w:val="313131"/>
          <w:szCs w:val="24"/>
          <w:shd w:val="clear" w:color="auto" w:fill="FFFFFF"/>
        </w:rPr>
      </w:pPr>
      <w:hyperlink r:id="rId38" w:history="1">
        <w:r w:rsidRPr="000562A2">
          <w:rPr>
            <w:rStyle w:val="Hyperlink"/>
            <w:color w:val="00577D"/>
            <w:szCs w:val="24"/>
            <w:shd w:val="clear" w:color="auto" w:fill="FFFFFF"/>
          </w:rPr>
          <w:t>Star Ratings</w:t>
        </w:r>
      </w:hyperlink>
      <w:r w:rsidRPr="000562A2">
        <w:rPr>
          <w:color w:val="313131"/>
          <w:szCs w:val="24"/>
          <w:shd w:val="clear" w:color="auto" w:fill="FFFFFF"/>
        </w:rPr>
        <w:t> </w:t>
      </w:r>
      <w:r w:rsidR="0064101A">
        <w:rPr>
          <w:color w:val="313131"/>
          <w:szCs w:val="24"/>
          <w:shd w:val="clear" w:color="auto" w:fill="FFFFFF"/>
        </w:rPr>
        <w:t xml:space="preserve">legislation </w:t>
      </w:r>
      <w:r w:rsidRPr="000562A2">
        <w:rPr>
          <w:color w:val="313131"/>
          <w:szCs w:val="24"/>
          <w:shd w:val="clear" w:color="auto" w:fill="FFFFFF"/>
        </w:rPr>
        <w:t>w</w:t>
      </w:r>
      <w:r w:rsidR="0064101A">
        <w:rPr>
          <w:color w:val="313131"/>
          <w:szCs w:val="24"/>
          <w:shd w:val="clear" w:color="auto" w:fill="FFFFFF"/>
        </w:rPr>
        <w:t>as</w:t>
      </w:r>
      <w:r w:rsidRPr="000562A2">
        <w:rPr>
          <w:color w:val="313131"/>
          <w:szCs w:val="24"/>
          <w:shd w:val="clear" w:color="auto" w:fill="FFFFFF"/>
        </w:rPr>
        <w:t xml:space="preserve"> introduced</w:t>
      </w:r>
      <w:r w:rsidR="0064101A">
        <w:rPr>
          <w:color w:val="313131"/>
          <w:szCs w:val="24"/>
          <w:shd w:val="clear" w:color="auto" w:fill="FFFFFF"/>
        </w:rPr>
        <w:t xml:space="preserve"> in the Aged Care Act</w:t>
      </w:r>
      <w:r w:rsidRPr="000562A2">
        <w:rPr>
          <w:color w:val="313131"/>
          <w:szCs w:val="24"/>
          <w:shd w:val="clear" w:color="auto" w:fill="FFFFFF"/>
        </w:rPr>
        <w:t xml:space="preserve"> </w:t>
      </w:r>
      <w:r w:rsidR="00A9693E">
        <w:rPr>
          <w:color w:val="313131"/>
          <w:szCs w:val="24"/>
          <w:shd w:val="clear" w:color="auto" w:fill="FFFFFF"/>
        </w:rPr>
        <w:t xml:space="preserve">on </w:t>
      </w:r>
      <w:r w:rsidR="0064101A">
        <w:rPr>
          <w:color w:val="313131"/>
          <w:szCs w:val="24"/>
          <w:shd w:val="clear" w:color="auto" w:fill="FFFFFF"/>
        </w:rPr>
        <w:t xml:space="preserve">1 </w:t>
      </w:r>
      <w:r w:rsidRPr="000562A2">
        <w:rPr>
          <w:color w:val="313131"/>
          <w:szCs w:val="24"/>
          <w:shd w:val="clear" w:color="auto" w:fill="FFFFFF"/>
        </w:rPr>
        <w:t>December 2022</w:t>
      </w:r>
      <w:r w:rsidR="00BF2296">
        <w:rPr>
          <w:color w:val="313131"/>
          <w:szCs w:val="24"/>
          <w:shd w:val="clear" w:color="auto" w:fill="FFFFFF"/>
        </w:rPr>
        <w:t>. F</w:t>
      </w:r>
      <w:r w:rsidR="0064101A">
        <w:rPr>
          <w:color w:val="313131"/>
          <w:szCs w:val="24"/>
          <w:shd w:val="clear" w:color="auto" w:fill="FFFFFF"/>
        </w:rPr>
        <w:t xml:space="preserve">rom </w:t>
      </w:r>
      <w:r w:rsidR="00C54D38">
        <w:rPr>
          <w:color w:val="313131"/>
          <w:szCs w:val="24"/>
          <w:shd w:val="clear" w:color="auto" w:fill="FFFFFF"/>
        </w:rPr>
        <w:t xml:space="preserve">19 </w:t>
      </w:r>
      <w:r w:rsidR="0064101A">
        <w:rPr>
          <w:color w:val="313131"/>
          <w:szCs w:val="24"/>
          <w:shd w:val="clear" w:color="auto" w:fill="FFFFFF"/>
        </w:rPr>
        <w:t>December 2022 the My Aged Care website was updated to reflect the Star Ratings system with</w:t>
      </w:r>
      <w:r w:rsidR="002A7D61" w:rsidRPr="000562A2">
        <w:rPr>
          <w:color w:val="313131"/>
          <w:szCs w:val="24"/>
          <w:shd w:val="clear" w:color="auto" w:fill="FFFFFF"/>
        </w:rPr>
        <w:t xml:space="preserve"> </w:t>
      </w:r>
      <w:r w:rsidR="002A7D61" w:rsidRPr="000562A2">
        <w:rPr>
          <w:color w:val="000000"/>
          <w:szCs w:val="24"/>
          <w:shd w:val="clear" w:color="auto" w:fill="FFFFFF"/>
        </w:rPr>
        <w:t>residential services</w:t>
      </w:r>
      <w:r w:rsidRPr="000562A2">
        <w:rPr>
          <w:color w:val="000000"/>
          <w:szCs w:val="24"/>
          <w:shd w:val="clear" w:color="auto" w:fill="FFFFFF"/>
        </w:rPr>
        <w:t xml:space="preserve"> receiv</w:t>
      </w:r>
      <w:r w:rsidR="0064101A">
        <w:rPr>
          <w:color w:val="000000"/>
          <w:szCs w:val="24"/>
          <w:shd w:val="clear" w:color="auto" w:fill="FFFFFF"/>
        </w:rPr>
        <w:t>ing</w:t>
      </w:r>
      <w:r w:rsidRPr="000562A2">
        <w:rPr>
          <w:color w:val="000000"/>
          <w:szCs w:val="24"/>
          <w:shd w:val="clear" w:color="auto" w:fill="FFFFFF"/>
        </w:rPr>
        <w:t xml:space="preserve"> a rating between 1 and 5 stars to indicate the quality of care across 4 key areas of performance. </w:t>
      </w:r>
    </w:p>
    <w:p w14:paraId="65DC4111" w14:textId="77777777" w:rsidR="00FC0D35" w:rsidRDefault="00FC0D35" w:rsidP="00701F89">
      <w:pPr>
        <w:pStyle w:val="Heading2"/>
        <w:numPr>
          <w:ilvl w:val="0"/>
          <w:numId w:val="34"/>
        </w:numPr>
        <w:ind w:left="567" w:hanging="567"/>
      </w:pPr>
      <w:r>
        <w:t>What information is published regarding assessment contacts (monitoring)?</w:t>
      </w:r>
    </w:p>
    <w:p w14:paraId="3863607A" w14:textId="6853413D" w:rsidR="00EC1962" w:rsidRDefault="00E03A65" w:rsidP="00FC0D35">
      <w:r>
        <w:t xml:space="preserve">Assessment contacts (monitoring) are another form of assessment contact that the Commission undertakes with services, in addition to assessment contacts (performance assessment).  </w:t>
      </w:r>
      <w:r w:rsidR="00FC0D35">
        <w:t xml:space="preserve">The purpose of these assessment contacts </w:t>
      </w:r>
      <w:r>
        <w:t xml:space="preserve">(monitoring) </w:t>
      </w:r>
      <w:r w:rsidR="00FC0D35">
        <w:t xml:space="preserve">is to monitor the quality of care and services provided by the service. </w:t>
      </w:r>
    </w:p>
    <w:p w14:paraId="4DB90856" w14:textId="700CDC11" w:rsidR="00FC0D35" w:rsidRDefault="00FC0D35" w:rsidP="00FC0D35">
      <w:r>
        <w:t xml:space="preserve">The Commission does </w:t>
      </w:r>
      <w:r w:rsidRPr="0020348B">
        <w:rPr>
          <w:bCs/>
        </w:rPr>
        <w:t xml:space="preserve">not </w:t>
      </w:r>
      <w:r>
        <w:t>publish information about assessment contacts (monitoring) on the Commission website.</w:t>
      </w:r>
    </w:p>
    <w:p w14:paraId="4E8198F1" w14:textId="62ADEC82" w:rsidR="00FC0D35" w:rsidRDefault="00FC0D35" w:rsidP="00701F89">
      <w:pPr>
        <w:pStyle w:val="Heading2"/>
        <w:numPr>
          <w:ilvl w:val="0"/>
          <w:numId w:val="34"/>
        </w:numPr>
        <w:ind w:left="567" w:hanging="567"/>
      </w:pPr>
      <w:r>
        <w:lastRenderedPageBreak/>
        <w:t>What information does the Commission publish about accreditation decisions?</w:t>
      </w:r>
    </w:p>
    <w:p w14:paraId="5CD53D40" w14:textId="42AED5DA" w:rsidR="00FC0D35" w:rsidRDefault="00FC0D35" w:rsidP="00FC0D35">
      <w:r>
        <w:t xml:space="preserve">Where the Commission has </w:t>
      </w:r>
      <w:proofErr w:type="gramStart"/>
      <w:r>
        <w:t>made a decision</w:t>
      </w:r>
      <w:proofErr w:type="gramEnd"/>
      <w:r>
        <w:t xml:space="preserve"> related to the accreditation or re-accreditation of a </w:t>
      </w:r>
      <w:r w:rsidR="00E03A65">
        <w:t xml:space="preserve">residential </w:t>
      </w:r>
      <w:r>
        <w:t xml:space="preserve">service, the Commission is required to give written notice of the decision to the provider and publish the decision on the Commission website. </w:t>
      </w:r>
    </w:p>
    <w:p w14:paraId="7B9BA912" w14:textId="16AFFC3E" w:rsidR="00FC0D35" w:rsidRDefault="00FC0D35" w:rsidP="00FC0D35">
      <w:r>
        <w:t xml:space="preserve">The Commission does </w:t>
      </w:r>
      <w:r w:rsidRPr="0020348B">
        <w:rPr>
          <w:bCs/>
        </w:rPr>
        <w:t xml:space="preserve">not </w:t>
      </w:r>
      <w:r>
        <w:t>publish the full decision document sent to the provider</w:t>
      </w:r>
      <w:r w:rsidR="008D082C">
        <w:t>;</w:t>
      </w:r>
      <w:r>
        <w:t xml:space="preserve"> instead</w:t>
      </w:r>
      <w:r w:rsidR="008D082C">
        <w:t>,</w:t>
      </w:r>
      <w:r>
        <w:t xml:space="preserve"> a paragraph summarising the decision is published. For example, for a decision to re-accredit a service for a further period</w:t>
      </w:r>
      <w:r w:rsidR="008D082C">
        <w:t>,</w:t>
      </w:r>
      <w:r>
        <w:t xml:space="preserve"> the below text is published:</w:t>
      </w:r>
    </w:p>
    <w:p w14:paraId="1DB21C2A" w14:textId="77777777" w:rsidR="00FC0D35" w:rsidRDefault="00FC0D35" w:rsidP="00FC0D35">
      <w:pPr>
        <w:shd w:val="clear" w:color="auto" w:fill="D9D9D9" w:themeFill="background1" w:themeFillShade="D9"/>
        <w:rPr>
          <w:b/>
          <w:i/>
        </w:rPr>
      </w:pPr>
      <w:r>
        <w:rPr>
          <w:b/>
          <w:i/>
        </w:rPr>
        <w:t>Accreditation decision</w:t>
      </w:r>
    </w:p>
    <w:p w14:paraId="54EF3E37" w14:textId="77777777" w:rsidR="00FC0D35" w:rsidRDefault="00FC0D35" w:rsidP="00FC0D35">
      <w:pPr>
        <w:shd w:val="clear" w:color="auto" w:fill="D9D9D9" w:themeFill="background1" w:themeFillShade="D9"/>
        <w:rPr>
          <w:i/>
          <w:lang w:val="en"/>
        </w:rPr>
      </w:pPr>
      <w:r>
        <w:rPr>
          <w:i/>
        </w:rPr>
        <w:t>Following a site audit conducted on [Activity Start Date] to [Activity End Date],</w:t>
      </w:r>
      <w:r>
        <w:rPr>
          <w:i/>
          <w:lang w:val="en"/>
        </w:rPr>
        <w:t xml:space="preserve"> the Commission </w:t>
      </w:r>
      <w:proofErr w:type="gramStart"/>
      <w:r>
        <w:rPr>
          <w:i/>
          <w:lang w:val="en"/>
        </w:rPr>
        <w:t>made a decision</w:t>
      </w:r>
      <w:proofErr w:type="gramEnd"/>
      <w:r>
        <w:rPr>
          <w:i/>
          <w:lang w:val="en"/>
        </w:rPr>
        <w:t xml:space="preserve"> on </w:t>
      </w:r>
      <w:r>
        <w:rPr>
          <w:i/>
        </w:rPr>
        <w:t xml:space="preserve">[Decision Date] </w:t>
      </w:r>
      <w:r>
        <w:rPr>
          <w:i/>
          <w:lang w:val="en"/>
        </w:rPr>
        <w:t xml:space="preserve">to re-accredit this </w:t>
      </w:r>
      <w:r>
        <w:rPr>
          <w:i/>
        </w:rPr>
        <w:t>service</w:t>
      </w:r>
      <w:r>
        <w:rPr>
          <w:i/>
          <w:lang w:val="en"/>
        </w:rPr>
        <w:t>. </w:t>
      </w:r>
    </w:p>
    <w:p w14:paraId="79329E57" w14:textId="77777777" w:rsidR="00FC0D35" w:rsidRDefault="00FC0D35" w:rsidP="00FC0D35">
      <w:pPr>
        <w:shd w:val="clear" w:color="auto" w:fill="D9D9D9" w:themeFill="background1" w:themeFillShade="D9"/>
        <w:rPr>
          <w:i/>
          <w:lang w:val="en"/>
        </w:rPr>
      </w:pPr>
      <w:r>
        <w:rPr>
          <w:i/>
          <w:lang w:val="en"/>
        </w:rPr>
        <w:t xml:space="preserve">The period of accreditation of the service will expire on </w:t>
      </w:r>
      <w:r>
        <w:rPr>
          <w:i/>
        </w:rPr>
        <w:t>[Accreditation End Date].</w:t>
      </w:r>
      <w:r>
        <w:t xml:space="preserve"> </w:t>
      </w:r>
    </w:p>
    <w:p w14:paraId="51F26CF7" w14:textId="47CC677B" w:rsidR="00FC0D35" w:rsidRDefault="00FC0D35" w:rsidP="00701F89">
      <w:pPr>
        <w:pStyle w:val="Heading2"/>
        <w:numPr>
          <w:ilvl w:val="0"/>
          <w:numId w:val="34"/>
        </w:numPr>
        <w:ind w:left="567" w:hanging="567"/>
      </w:pPr>
      <w:r>
        <w:t xml:space="preserve">What other information about the performance of the service is published with the Compliance Rating? </w:t>
      </w:r>
    </w:p>
    <w:p w14:paraId="5C4B2A34" w14:textId="12F821E1" w:rsidR="00FC0D35" w:rsidRDefault="00FC0D35" w:rsidP="00FC0D35">
      <w:r>
        <w:t xml:space="preserve">A comparable summary of the residential service's </w:t>
      </w:r>
      <w:r w:rsidR="007528D3">
        <w:t xml:space="preserve">compliance status </w:t>
      </w:r>
      <w:r>
        <w:t xml:space="preserve">against the Quality Standards by the Commission </w:t>
      </w:r>
      <w:r w:rsidR="007528D3">
        <w:t xml:space="preserve">is </w:t>
      </w:r>
      <w:r>
        <w:t>also published on the</w:t>
      </w:r>
      <w:r w:rsidR="00431765">
        <w:t xml:space="preserve"> </w:t>
      </w:r>
      <w:hyperlink r:id="rId39" w:history="1">
        <w:r w:rsidR="00431765">
          <w:rPr>
            <w:rStyle w:val="Hyperlink"/>
          </w:rPr>
          <w:t>My Aged Care website</w:t>
        </w:r>
      </w:hyperlink>
      <w:r w:rsidR="00431765">
        <w:rPr>
          <w:rStyle w:val="FootnoteReference"/>
        </w:rPr>
        <w:footnoteReference w:id="20"/>
      </w:r>
      <w:r>
        <w:t xml:space="preserve">. </w:t>
      </w:r>
    </w:p>
    <w:p w14:paraId="4DAA3E3C" w14:textId="77777777" w:rsidR="00FC0D35" w:rsidRDefault="00FC0D35" w:rsidP="00701F89">
      <w:pPr>
        <w:pStyle w:val="Heading2"/>
        <w:numPr>
          <w:ilvl w:val="0"/>
          <w:numId w:val="34"/>
        </w:numPr>
        <w:ind w:left="567" w:hanging="567"/>
      </w:pPr>
      <w:r>
        <w:t>How long does performance information remain published?</w:t>
      </w:r>
    </w:p>
    <w:p w14:paraId="17225878" w14:textId="0611AD63" w:rsidR="00FC0D35" w:rsidRDefault="00FC0D35" w:rsidP="00FC0D35">
      <w:pPr>
        <w:pStyle w:val="Heading3"/>
      </w:pPr>
      <w:r>
        <w:t xml:space="preserve">Performance reports </w:t>
      </w:r>
    </w:p>
    <w:p w14:paraId="1BA8B0D0" w14:textId="6F356FA0" w:rsidR="00FC0D35" w:rsidRDefault="00FC0D35" w:rsidP="00FC0D35">
      <w:r>
        <w:t xml:space="preserve">Once a performance report about a service is published on the Commission website it will remain published. The reports will not be archived or deleted after a certain period. </w:t>
      </w:r>
    </w:p>
    <w:p w14:paraId="3193DE66" w14:textId="77E2A910" w:rsidR="00FC0D35" w:rsidRDefault="00FC0D35" w:rsidP="00FC0D35">
      <w:r>
        <w:t>This is also the case for services that have closed. The Commission will update the service’s dedicated performance information page to advise</w:t>
      </w:r>
      <w:r w:rsidR="008D082C">
        <w:t xml:space="preserve"> that</w:t>
      </w:r>
      <w:r>
        <w:t xml:space="preserve"> the service has </w:t>
      </w:r>
      <w:proofErr w:type="gramStart"/>
      <w:r>
        <w:t>closed</w:t>
      </w:r>
      <w:proofErr w:type="gramEnd"/>
      <w:r>
        <w:t xml:space="preserve"> </w:t>
      </w:r>
      <w:r w:rsidR="008D082C">
        <w:t xml:space="preserve">and </w:t>
      </w:r>
      <w:r>
        <w:t>the reports will remain available.</w:t>
      </w:r>
    </w:p>
    <w:p w14:paraId="10C7C9CC" w14:textId="77777777" w:rsidR="00FC0D35" w:rsidRDefault="00FC0D35" w:rsidP="00FC0D35">
      <w:pPr>
        <w:pStyle w:val="Heading3"/>
      </w:pPr>
      <w:r>
        <w:t>Decisions relating to accreditation</w:t>
      </w:r>
    </w:p>
    <w:p w14:paraId="5B95494F" w14:textId="4D7CD1E8" w:rsidR="00FC0D35" w:rsidRDefault="00FC0D35" w:rsidP="00FC0D35">
      <w:r>
        <w:t>Once decisions relating to the accreditation and re-accreditation of a service including reconsideration decisions and AAT decisions are published on the Commission website,</w:t>
      </w:r>
      <w:r w:rsidR="008D082C">
        <w:t xml:space="preserve"> they</w:t>
      </w:r>
      <w:r>
        <w:t xml:space="preserve"> will remain published. The decisions will not be archived or deleted after a certain period. </w:t>
      </w:r>
    </w:p>
    <w:p w14:paraId="092A505E" w14:textId="488D9E4D" w:rsidR="00FC0D35" w:rsidRDefault="00FC0D35" w:rsidP="00FC0D35">
      <w:r>
        <w:t xml:space="preserve">This is also the case for services that have closed. The Commission will update the service’s dedicated performance information page to advise the service has closed </w:t>
      </w:r>
      <w:r w:rsidR="008D082C">
        <w:t>and</w:t>
      </w:r>
      <w:r>
        <w:t xml:space="preserve"> all historical decisions made in relation to the service will remain available.</w:t>
      </w:r>
    </w:p>
    <w:p w14:paraId="3759D282" w14:textId="77777777" w:rsidR="00FC0D35" w:rsidRDefault="00FC0D35" w:rsidP="00FC0D35">
      <w:pPr>
        <w:pStyle w:val="Heading3"/>
      </w:pPr>
      <w:r>
        <w:lastRenderedPageBreak/>
        <w:t>Non-compliance register</w:t>
      </w:r>
    </w:p>
    <w:p w14:paraId="0BED8D16" w14:textId="484EE1B0" w:rsidR="00FC0D35" w:rsidRDefault="00FC0D35" w:rsidP="00FC0D35">
      <w:r>
        <w:t xml:space="preserve">Information about a provider’s non-compliance in relation to a service </w:t>
      </w:r>
      <w:r w:rsidR="00AE4F2C">
        <w:t>is</w:t>
      </w:r>
      <w:r>
        <w:t xml:space="preserve"> published in the Non-compliance register</w:t>
      </w:r>
      <w:r w:rsidR="002F37F8">
        <w:t xml:space="preserve">; </w:t>
      </w:r>
      <w:r w:rsidR="00AE4F2C">
        <w:t xml:space="preserve">after a month </w:t>
      </w:r>
      <w:r>
        <w:t xml:space="preserve">the information will </w:t>
      </w:r>
      <w:r w:rsidR="002F37F8">
        <w:t xml:space="preserve">then </w:t>
      </w:r>
      <w:r>
        <w:t>be moved to an archives page on the Commission website. The archives page can be access</w:t>
      </w:r>
      <w:r w:rsidR="002D40F4">
        <w:t>ed</w:t>
      </w:r>
      <w:r>
        <w:t xml:space="preserve"> via the </w:t>
      </w:r>
      <w:hyperlink r:id="rId40" w:history="1">
        <w:r w:rsidRPr="005B4768">
          <w:rPr>
            <w:rStyle w:val="Hyperlink"/>
          </w:rPr>
          <w:t>Non-compliance register page</w:t>
        </w:r>
      </w:hyperlink>
      <w:r w:rsidRPr="005B4768">
        <w:rPr>
          <w:rStyle w:val="FootnoteReference"/>
        </w:rPr>
        <w:footnoteReference w:id="21"/>
      </w:r>
      <w:r>
        <w:t>.</w:t>
      </w:r>
    </w:p>
    <w:p w14:paraId="4E17B104" w14:textId="13B38D79" w:rsidR="00FC0D35" w:rsidRDefault="00FC0D35" w:rsidP="00701F89">
      <w:pPr>
        <w:pStyle w:val="Heading2"/>
        <w:numPr>
          <w:ilvl w:val="0"/>
          <w:numId w:val="34"/>
        </w:numPr>
        <w:ind w:left="567" w:hanging="567"/>
      </w:pPr>
      <w:r>
        <w:t>Will there be an enduring record of a Compliance Rating?</w:t>
      </w:r>
    </w:p>
    <w:p w14:paraId="7DEEC456" w14:textId="19B9E22B" w:rsidR="00FC0D35" w:rsidRDefault="00FC0D35" w:rsidP="00FC0D35">
      <w:pPr>
        <w:outlineLvl w:val="3"/>
        <w:rPr>
          <w:rFonts w:asciiTheme="minorHAnsi" w:hAnsiTheme="minorHAnsi" w:cstheme="minorBidi"/>
          <w:sz w:val="22"/>
        </w:rPr>
      </w:pPr>
      <w:r>
        <w:t xml:space="preserve">The My Aged Care </w:t>
      </w:r>
      <w:r w:rsidR="00EB03C3">
        <w:t xml:space="preserve">website </w:t>
      </w:r>
      <w:r w:rsidR="001531D8">
        <w:t>displays</w:t>
      </w:r>
      <w:r w:rsidR="00871657">
        <w:t xml:space="preserve"> the </w:t>
      </w:r>
      <w:r>
        <w:t>compliance history</w:t>
      </w:r>
      <w:r w:rsidR="00871657">
        <w:t xml:space="preserve"> of services indefinitely</w:t>
      </w:r>
      <w:r w:rsidR="008A6732">
        <w:t>, and</w:t>
      </w:r>
      <w:r w:rsidR="00871657">
        <w:t xml:space="preserve"> a </w:t>
      </w:r>
      <w:r w:rsidR="00AB5F73">
        <w:t>3-year</w:t>
      </w:r>
      <w:r w:rsidR="00871657">
        <w:t xml:space="preserve"> history of the </w:t>
      </w:r>
      <w:r w:rsidR="008A6732">
        <w:t xml:space="preserve">actual </w:t>
      </w:r>
      <w:r w:rsidR="00871657">
        <w:t>Compliance Rating</w:t>
      </w:r>
      <w:r w:rsidR="008A6732">
        <w:t>s for the service will also be displayed</w:t>
      </w:r>
      <w:r w:rsidR="00871657">
        <w:t>.</w:t>
      </w:r>
      <w:r>
        <w:t> </w:t>
      </w:r>
    </w:p>
    <w:p w14:paraId="2C103CDC" w14:textId="77777777" w:rsidR="00FC0D35" w:rsidRDefault="00FC0D35" w:rsidP="00FC0D35"/>
    <w:p w14:paraId="05FB8005" w14:textId="77777777" w:rsidR="00FC0D35" w:rsidRDefault="00FC0D35" w:rsidP="00FC0D35">
      <w:pPr>
        <w:pStyle w:val="Heading1"/>
      </w:pPr>
      <w:r>
        <w:t>Need to know more?</w:t>
      </w:r>
    </w:p>
    <w:p w14:paraId="1C6AE6DB" w14:textId="00AFEB1B" w:rsidR="00FC0D35" w:rsidRDefault="00FC0D35" w:rsidP="00FC0D35">
      <w:pPr>
        <w:rPr>
          <w:rFonts w:cs="Times New Roman"/>
          <w:b/>
        </w:rPr>
      </w:pPr>
      <w:r>
        <w:rPr>
          <w:b/>
        </w:rPr>
        <w:t xml:space="preserve">If you have any questions </w:t>
      </w:r>
      <w:r w:rsidR="002407DF">
        <w:rPr>
          <w:b/>
        </w:rPr>
        <w:t>or feedback on this Bulletin</w:t>
      </w:r>
      <w:r w:rsidR="00DE6B55">
        <w:rPr>
          <w:b/>
        </w:rPr>
        <w:t>,</w:t>
      </w:r>
      <w:r w:rsidR="002407DF">
        <w:rPr>
          <w:b/>
        </w:rPr>
        <w:t xml:space="preserve"> </w:t>
      </w:r>
      <w:r w:rsidR="003214F7">
        <w:rPr>
          <w:b/>
        </w:rPr>
        <w:t>send an</w:t>
      </w:r>
      <w:r>
        <w:rPr>
          <w:b/>
        </w:rPr>
        <w:t xml:space="preserve"> email </w:t>
      </w:r>
      <w:r w:rsidR="003214F7">
        <w:rPr>
          <w:b/>
        </w:rPr>
        <w:t>t</w:t>
      </w:r>
      <w:r>
        <w:rPr>
          <w:b/>
        </w:rPr>
        <w:t xml:space="preserve">o: </w:t>
      </w:r>
      <w:hyperlink r:id="rId41" w:history="1">
        <w:r w:rsidR="00E509E6" w:rsidRPr="0077152C">
          <w:rPr>
            <w:rStyle w:val="Hyperlink"/>
            <w:b/>
            <w:bCs/>
            <w:color w:val="0563C1"/>
          </w:rPr>
          <w:t>info@agedcarequality.gov.au</w:t>
        </w:r>
      </w:hyperlink>
      <w:r w:rsidR="00E509E6" w:rsidRPr="00476657">
        <w:rPr>
          <w:rStyle w:val="Hyperlink"/>
          <w:b/>
          <w:bCs/>
          <w:color w:val="auto"/>
          <w:u w:val="none"/>
        </w:rPr>
        <w:t>.</w:t>
      </w:r>
    </w:p>
    <w:p w14:paraId="4C272B63" w14:textId="438E8898" w:rsidR="00FC0D35" w:rsidRDefault="00FC0D35" w:rsidP="00FC0D35">
      <w:pPr>
        <w:rPr>
          <w:b/>
        </w:rPr>
      </w:pPr>
      <w:r>
        <w:rPr>
          <w:rFonts w:cs="Times New Roman"/>
          <w:b/>
        </w:rPr>
        <w:t xml:space="preserve">Stay up to date with Regulatory Bulletin releases by </w:t>
      </w:r>
      <w:hyperlink r:id="rId42" w:history="1">
        <w:r>
          <w:rPr>
            <w:rStyle w:val="Hyperlink"/>
            <w:rFonts w:cs="Times New Roman"/>
            <w:b/>
          </w:rPr>
          <w:t>subscribing to the Commission’s newsletter</w:t>
        </w:r>
      </w:hyperlink>
      <w:r w:rsidR="005E236A">
        <w:rPr>
          <w:rStyle w:val="FootnoteReference"/>
          <w:rFonts w:cs="Times New Roman"/>
          <w:b/>
          <w:color w:val="0563C1" w:themeColor="hyperlink"/>
          <w:u w:val="single"/>
        </w:rPr>
        <w:footnoteReference w:id="22"/>
      </w:r>
      <w:r>
        <w:rPr>
          <w:rFonts w:cs="Times New Roman"/>
          <w:b/>
        </w:rPr>
        <w:t>.</w:t>
      </w:r>
    </w:p>
    <w:p w14:paraId="21C3D685" w14:textId="782FB9D5" w:rsidR="00CC0226" w:rsidRPr="007024C7" w:rsidRDefault="00CC0226" w:rsidP="007024C7">
      <w:pPr>
        <w:rPr>
          <w:b/>
        </w:rPr>
      </w:pPr>
    </w:p>
    <w:sectPr w:rsidR="00CC0226" w:rsidRPr="007024C7" w:rsidSect="006F1923">
      <w:headerReference w:type="default" r:id="rId43"/>
      <w:footerReference w:type="default" r:id="rId44"/>
      <w:pgSz w:w="11906" w:h="16838"/>
      <w:pgMar w:top="170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7F098" w14:textId="77777777" w:rsidR="00205FA3" w:rsidRDefault="00205FA3" w:rsidP="006F1923">
      <w:pPr>
        <w:spacing w:before="0" w:after="0"/>
      </w:pPr>
      <w:r>
        <w:separator/>
      </w:r>
    </w:p>
  </w:endnote>
  <w:endnote w:type="continuationSeparator" w:id="0">
    <w:p w14:paraId="22D25525" w14:textId="77777777" w:rsidR="00205FA3" w:rsidRDefault="00205FA3" w:rsidP="006F1923">
      <w:pPr>
        <w:spacing w:before="0" w:after="0"/>
      </w:pPr>
      <w:r>
        <w:continuationSeparator/>
      </w:r>
    </w:p>
  </w:endnote>
  <w:endnote w:type="continuationNotice" w:id="1">
    <w:p w14:paraId="318B44CD" w14:textId="77777777" w:rsidR="00205FA3" w:rsidRDefault="00205FA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Fira Sans">
    <w:charset w:val="00"/>
    <w:family w:val="swiss"/>
    <w:pitch w:val="variable"/>
    <w:sig w:usb0="600002FF" w:usb1="00000001" w:usb2="00000000" w:usb3="00000000" w:csb0="0000019F" w:csb1="00000000"/>
  </w:font>
  <w:font w:name="Yu Mincho">
    <w:charset w:val="80"/>
    <w:family w:val="roman"/>
    <w:pitch w:val="variable"/>
    <w:sig w:usb0="800002E7" w:usb1="2AC7FCFF" w:usb2="00000012" w:usb3="00000000" w:csb0="0002009F" w:csb1="00000000"/>
  </w:font>
  <w:font w:name="Fira Sans Light">
    <w:altName w:val="Calibri"/>
    <w:charset w:val="00"/>
    <w:family w:val="swiss"/>
    <w:pitch w:val="variable"/>
    <w:sig w:usb0="600002FF"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85377" w14:textId="41789316" w:rsidR="00D828CF" w:rsidRPr="00A64068" w:rsidRDefault="00D828CF" w:rsidP="00E47B06">
    <w:pPr>
      <w:pStyle w:val="Footer"/>
      <w:tabs>
        <w:tab w:val="clear" w:pos="4513"/>
        <w:tab w:val="clear" w:pos="9026"/>
        <w:tab w:val="right" w:pos="9923"/>
      </w:tabs>
      <w:rPr>
        <w:rFonts w:eastAsia="Calibri"/>
        <w:sz w:val="16"/>
        <w:szCs w:val="16"/>
      </w:rPr>
    </w:pPr>
    <w:r w:rsidRPr="00A64068">
      <w:rPr>
        <w:rFonts w:eastAsia="Calibri"/>
        <w:color w:val="2B579A"/>
        <w:sz w:val="16"/>
        <w:szCs w:val="16"/>
        <w:shd w:val="clear" w:color="auto" w:fill="E6E6E6"/>
      </w:rPr>
      <w:fldChar w:fldCharType="begin"/>
    </w:r>
    <w:r w:rsidRPr="00A64068">
      <w:rPr>
        <w:rFonts w:eastAsia="Calibri"/>
        <w:sz w:val="16"/>
        <w:szCs w:val="16"/>
      </w:rPr>
      <w:instrText xml:space="preserve"> REF title  \* MERGEFORMAT </w:instrText>
    </w:r>
    <w:r w:rsidRPr="00A64068">
      <w:rPr>
        <w:rFonts w:eastAsia="Calibri"/>
        <w:color w:val="2B579A"/>
        <w:sz w:val="16"/>
        <w:szCs w:val="16"/>
        <w:shd w:val="clear" w:color="auto" w:fill="E6E6E6"/>
      </w:rPr>
      <w:fldChar w:fldCharType="separate"/>
    </w:r>
    <w:r w:rsidRPr="00A64068">
      <w:rPr>
        <w:sz w:val="16"/>
        <w:szCs w:val="16"/>
      </w:rPr>
      <w:t>Publication of provider performance information</w:t>
    </w:r>
    <w:r w:rsidRPr="00A64068">
      <w:rPr>
        <w:rFonts w:eastAsia="Calibri"/>
        <w:color w:val="2B579A"/>
        <w:sz w:val="16"/>
        <w:szCs w:val="16"/>
        <w:shd w:val="clear" w:color="auto" w:fill="E6E6E6"/>
      </w:rPr>
      <w:fldChar w:fldCharType="end"/>
    </w:r>
    <w:r w:rsidRPr="00A64068">
      <w:rPr>
        <w:rFonts w:eastAsia="Calibri"/>
        <w:sz w:val="16"/>
        <w:szCs w:val="16"/>
      </w:rPr>
      <w:tab/>
    </w:r>
    <w:r w:rsidRPr="00A64068">
      <w:rPr>
        <w:rFonts w:eastAsia="Calibri"/>
        <w:color w:val="2B579A"/>
        <w:sz w:val="16"/>
        <w:szCs w:val="16"/>
        <w:shd w:val="clear" w:color="auto" w:fill="E6E6E6"/>
      </w:rPr>
      <w:fldChar w:fldCharType="begin"/>
    </w:r>
    <w:r w:rsidRPr="00A64068">
      <w:rPr>
        <w:rFonts w:eastAsia="Calibri"/>
        <w:sz w:val="16"/>
        <w:szCs w:val="16"/>
      </w:rPr>
      <w:instrText xml:space="preserve"> REF doc_number  \* MERGEFORMAT </w:instrText>
    </w:r>
    <w:r w:rsidRPr="00A64068">
      <w:rPr>
        <w:rFonts w:eastAsia="Calibri"/>
        <w:color w:val="2B579A"/>
        <w:sz w:val="16"/>
        <w:szCs w:val="16"/>
        <w:shd w:val="clear" w:color="auto" w:fill="E6E6E6"/>
      </w:rPr>
      <w:fldChar w:fldCharType="separate"/>
    </w:r>
    <w:r w:rsidRPr="00A64068">
      <w:rPr>
        <w:sz w:val="16"/>
        <w:szCs w:val="16"/>
      </w:rPr>
      <w:t>FRM-ACC-0</w:t>
    </w:r>
    <w:r w:rsidRPr="00281793">
      <w:rPr>
        <w:sz w:val="16"/>
        <w:szCs w:val="16"/>
      </w:rPr>
      <w:t>623</w:t>
    </w:r>
    <w:r w:rsidRPr="00A64068">
      <w:rPr>
        <w:rFonts w:eastAsia="Calibri"/>
        <w:color w:val="2B579A"/>
        <w:sz w:val="16"/>
        <w:szCs w:val="16"/>
        <w:shd w:val="clear" w:color="auto" w:fill="E6E6E6"/>
      </w:rPr>
      <w:fldChar w:fldCharType="end"/>
    </w:r>
    <w:r w:rsidRPr="00A64068">
      <w:rPr>
        <w:rFonts w:eastAsia="Calibri"/>
        <w:sz w:val="16"/>
        <w:szCs w:val="16"/>
      </w:rPr>
      <w:t xml:space="preserve"> v</w:t>
    </w:r>
    <w:r>
      <w:rPr>
        <w:rFonts w:eastAsia="Calibri"/>
        <w:sz w:val="16"/>
        <w:szCs w:val="16"/>
      </w:rPr>
      <w:t>1.2</w:t>
    </w:r>
  </w:p>
  <w:p w14:paraId="6EA6CA01" w14:textId="1A3E8725" w:rsidR="00D828CF" w:rsidRPr="00E47B06" w:rsidRDefault="00E44331" w:rsidP="00E47B06">
    <w:pPr>
      <w:pStyle w:val="Footer"/>
      <w:tabs>
        <w:tab w:val="clear" w:pos="4513"/>
        <w:tab w:val="clear" w:pos="9026"/>
        <w:tab w:val="right" w:pos="9923"/>
      </w:tabs>
      <w:rPr>
        <w:sz w:val="16"/>
        <w:szCs w:val="16"/>
      </w:rPr>
    </w:pPr>
    <w:r>
      <w:rPr>
        <w:rFonts w:eastAsia="Calibri" w:cs="Times New Roman"/>
        <w:sz w:val="16"/>
        <w:szCs w:val="16"/>
      </w:rPr>
      <w:t>RB 2023 -18</w:t>
    </w:r>
    <w:r w:rsidR="00D828CF" w:rsidRPr="00C74995">
      <w:rPr>
        <w:rFonts w:eastAsia="Calibri" w:cs="Times New Roman"/>
        <w:sz w:val="16"/>
        <w:szCs w:val="16"/>
      </w:rPr>
      <w:tab/>
      <w:t xml:space="preserve">Page </w:t>
    </w:r>
    <w:r w:rsidR="00D828CF" w:rsidRPr="00C74995">
      <w:rPr>
        <w:rFonts w:eastAsia="Calibri" w:cs="Times New Roman"/>
        <w:color w:val="2B579A"/>
        <w:sz w:val="16"/>
        <w:szCs w:val="16"/>
        <w:shd w:val="clear" w:color="auto" w:fill="E6E6E6"/>
      </w:rPr>
      <w:fldChar w:fldCharType="begin"/>
    </w:r>
    <w:r w:rsidR="00D828CF" w:rsidRPr="00C74995">
      <w:rPr>
        <w:rFonts w:eastAsia="Calibri" w:cs="Times New Roman"/>
        <w:sz w:val="16"/>
        <w:szCs w:val="16"/>
      </w:rPr>
      <w:instrText xml:space="preserve"> PAGE  \* Arabic  \* MERGEFORMAT </w:instrText>
    </w:r>
    <w:r w:rsidR="00D828CF" w:rsidRPr="00C74995">
      <w:rPr>
        <w:rFonts w:eastAsia="Calibri" w:cs="Times New Roman"/>
        <w:color w:val="2B579A"/>
        <w:sz w:val="16"/>
        <w:szCs w:val="16"/>
        <w:shd w:val="clear" w:color="auto" w:fill="E6E6E6"/>
      </w:rPr>
      <w:fldChar w:fldCharType="separate"/>
    </w:r>
    <w:r w:rsidR="00D828CF">
      <w:rPr>
        <w:rFonts w:eastAsia="Calibri" w:cs="Times New Roman"/>
        <w:noProof/>
        <w:sz w:val="16"/>
        <w:szCs w:val="16"/>
      </w:rPr>
      <w:t>14</w:t>
    </w:r>
    <w:r w:rsidR="00D828CF" w:rsidRPr="00C74995">
      <w:rPr>
        <w:rFonts w:eastAsia="Calibri" w:cs="Times New Roman"/>
        <w:color w:val="2B579A"/>
        <w:sz w:val="16"/>
        <w:szCs w:val="16"/>
        <w:shd w:val="clear" w:color="auto" w:fill="E6E6E6"/>
      </w:rPr>
      <w:fldChar w:fldCharType="end"/>
    </w:r>
    <w:r w:rsidR="00D828CF" w:rsidRPr="00C74995">
      <w:rPr>
        <w:rFonts w:eastAsia="Calibri" w:cs="Times New Roman"/>
        <w:sz w:val="16"/>
        <w:szCs w:val="16"/>
      </w:rPr>
      <w:t xml:space="preserve"> of </w:t>
    </w:r>
    <w:r w:rsidR="00D828CF" w:rsidRPr="00C74995">
      <w:rPr>
        <w:rFonts w:eastAsia="Calibri" w:cs="Times New Roman"/>
        <w:color w:val="2B579A"/>
        <w:sz w:val="16"/>
        <w:szCs w:val="16"/>
        <w:shd w:val="clear" w:color="auto" w:fill="E6E6E6"/>
      </w:rPr>
      <w:fldChar w:fldCharType="begin"/>
    </w:r>
    <w:r w:rsidR="00D828CF" w:rsidRPr="00C74995">
      <w:rPr>
        <w:rFonts w:eastAsia="Calibri" w:cs="Times New Roman"/>
        <w:sz w:val="16"/>
        <w:szCs w:val="16"/>
      </w:rPr>
      <w:instrText xml:space="preserve"> NUMPAGES  \* Arabic  \* MERGEFORMAT </w:instrText>
    </w:r>
    <w:r w:rsidR="00D828CF" w:rsidRPr="00C74995">
      <w:rPr>
        <w:rFonts w:eastAsia="Calibri" w:cs="Times New Roman"/>
        <w:color w:val="2B579A"/>
        <w:sz w:val="16"/>
        <w:szCs w:val="16"/>
        <w:shd w:val="clear" w:color="auto" w:fill="E6E6E6"/>
      </w:rPr>
      <w:fldChar w:fldCharType="separate"/>
    </w:r>
    <w:r w:rsidR="00D828CF">
      <w:rPr>
        <w:rFonts w:eastAsia="Calibri" w:cs="Times New Roman"/>
        <w:noProof/>
        <w:sz w:val="16"/>
        <w:szCs w:val="16"/>
      </w:rPr>
      <w:t>14</w:t>
    </w:r>
    <w:r w:rsidR="00D828CF" w:rsidRPr="00C74995">
      <w:rPr>
        <w:rFonts w:eastAsia="Calibri" w:cs="Times New Roman"/>
        <w:noProof/>
        <w:color w:val="2B579A"/>
        <w:sz w:val="16"/>
        <w:szCs w:val="16"/>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E5EF6" w14:textId="77777777" w:rsidR="00205FA3" w:rsidRDefault="00205FA3" w:rsidP="006F1923">
      <w:pPr>
        <w:spacing w:before="0" w:after="0"/>
      </w:pPr>
      <w:r>
        <w:separator/>
      </w:r>
    </w:p>
  </w:footnote>
  <w:footnote w:type="continuationSeparator" w:id="0">
    <w:p w14:paraId="174DFD72" w14:textId="77777777" w:rsidR="00205FA3" w:rsidRDefault="00205FA3" w:rsidP="006F1923">
      <w:pPr>
        <w:spacing w:before="0" w:after="0"/>
      </w:pPr>
      <w:r>
        <w:continuationSeparator/>
      </w:r>
    </w:p>
  </w:footnote>
  <w:footnote w:type="continuationNotice" w:id="1">
    <w:p w14:paraId="03760C59" w14:textId="77777777" w:rsidR="00205FA3" w:rsidRDefault="00205FA3">
      <w:pPr>
        <w:spacing w:before="0" w:after="0"/>
      </w:pPr>
    </w:p>
  </w:footnote>
  <w:footnote w:id="2">
    <w:p w14:paraId="15A76725" w14:textId="5414F01C" w:rsidR="00AF2427" w:rsidRDefault="00AF2427">
      <w:pPr>
        <w:pStyle w:val="FootnoteText"/>
      </w:pPr>
      <w:r>
        <w:rPr>
          <w:rStyle w:val="FootnoteReference"/>
        </w:rPr>
        <w:footnoteRef/>
      </w:r>
      <w:r>
        <w:t xml:space="preserve"> </w:t>
      </w:r>
      <w:r w:rsidR="002043DF" w:rsidRPr="002043DF">
        <w:t>https://www.legislation.gov.au/Series/C2018A00149</w:t>
      </w:r>
    </w:p>
  </w:footnote>
  <w:footnote w:id="3">
    <w:p w14:paraId="67FE12D1" w14:textId="7BB0B4EA" w:rsidR="00AF2427" w:rsidRDefault="00AF2427">
      <w:pPr>
        <w:pStyle w:val="FootnoteText"/>
      </w:pPr>
      <w:r>
        <w:rPr>
          <w:rStyle w:val="FootnoteReference"/>
        </w:rPr>
        <w:footnoteRef/>
      </w:r>
      <w:r>
        <w:t xml:space="preserve"> </w:t>
      </w:r>
      <w:r w:rsidR="00307EB2" w:rsidRPr="00307EB2">
        <w:t>https://www.legislation.gov.au/Series/F2018L01837</w:t>
      </w:r>
    </w:p>
  </w:footnote>
  <w:footnote w:id="4">
    <w:p w14:paraId="32D65ABD" w14:textId="0F19F410" w:rsidR="004B5474" w:rsidRDefault="00AF2427">
      <w:pPr>
        <w:pStyle w:val="FootnoteText"/>
      </w:pPr>
      <w:r>
        <w:rPr>
          <w:rStyle w:val="FootnoteReference"/>
        </w:rPr>
        <w:footnoteRef/>
      </w:r>
      <w:r>
        <w:t xml:space="preserve"> </w:t>
      </w:r>
      <w:r w:rsidR="00C8738F" w:rsidRPr="00C8738F">
        <w:t>https://www.legislation.gov.au/Series/C2004A05206</w:t>
      </w:r>
    </w:p>
  </w:footnote>
  <w:footnote w:id="5">
    <w:p w14:paraId="59AB9268" w14:textId="28E2DF5A" w:rsidR="00D828CF" w:rsidRDefault="00D828CF" w:rsidP="00FC0D35">
      <w:pPr>
        <w:pStyle w:val="FootnoteText"/>
      </w:pPr>
      <w:r>
        <w:rPr>
          <w:rStyle w:val="FootnoteReference"/>
        </w:rPr>
        <w:footnoteRef/>
      </w:r>
      <w:r>
        <w:t xml:space="preserve"> </w:t>
      </w:r>
      <w:hyperlink r:id="rId1" w:history="1">
        <w:r>
          <w:rPr>
            <w:rStyle w:val="Hyperlink"/>
          </w:rPr>
          <w:t>https://www.agedcarequality.gov.au/resources/aged-care-quality-and-safety-commission-glossary</w:t>
        </w:r>
      </w:hyperlink>
    </w:p>
  </w:footnote>
  <w:footnote w:id="6">
    <w:p w14:paraId="787C53CA" w14:textId="77777777" w:rsidR="004B5474" w:rsidRDefault="00A36D96">
      <w:pPr>
        <w:pStyle w:val="FootnoteText"/>
      </w:pPr>
      <w:r>
        <w:rPr>
          <w:rStyle w:val="FootnoteReference"/>
        </w:rPr>
        <w:footnoteRef/>
      </w:r>
      <w:r>
        <w:t xml:space="preserve"> </w:t>
      </w:r>
      <w:hyperlink r:id="rId2" w:history="1">
        <w:r w:rsidR="004B5474" w:rsidRPr="0053735F">
          <w:rPr>
            <w:rStyle w:val="Hyperlink"/>
          </w:rPr>
          <w:t>https://www.agedcarequality.gov.au/</w:t>
        </w:r>
      </w:hyperlink>
    </w:p>
  </w:footnote>
  <w:footnote w:id="7">
    <w:p w14:paraId="355C8F7B" w14:textId="7FB09726" w:rsidR="00D828CF" w:rsidRDefault="00D828CF">
      <w:pPr>
        <w:pStyle w:val="FootnoteText"/>
      </w:pPr>
      <w:r>
        <w:rPr>
          <w:rStyle w:val="FootnoteReference"/>
        </w:rPr>
        <w:footnoteRef/>
      </w:r>
      <w:r>
        <w:t xml:space="preserve"> </w:t>
      </w:r>
      <w:hyperlink r:id="rId3" w:history="1">
        <w:r w:rsidRPr="00792D32">
          <w:rPr>
            <w:rStyle w:val="Hyperlink"/>
          </w:rPr>
          <w:t>https://www.myagedcare.gov.au</w:t>
        </w:r>
      </w:hyperlink>
    </w:p>
  </w:footnote>
  <w:footnote w:id="8">
    <w:p w14:paraId="3F331891" w14:textId="66D59CE6" w:rsidR="00D828CF" w:rsidRDefault="00D828CF">
      <w:pPr>
        <w:pStyle w:val="FootnoteText"/>
      </w:pPr>
      <w:r>
        <w:rPr>
          <w:rStyle w:val="FootnoteReference"/>
        </w:rPr>
        <w:footnoteRef/>
      </w:r>
      <w:r>
        <w:t xml:space="preserve"> </w:t>
      </w:r>
      <w:hyperlink r:id="rId4" w:history="1">
        <w:r w:rsidRPr="00920FAF">
          <w:rPr>
            <w:rStyle w:val="Hyperlink"/>
          </w:rPr>
          <w:t>https://www.agedcarequality.gov.au/</w:t>
        </w:r>
      </w:hyperlink>
      <w:r>
        <w:t xml:space="preserve"> </w:t>
      </w:r>
    </w:p>
  </w:footnote>
  <w:footnote w:id="9">
    <w:p w14:paraId="744B1205" w14:textId="5C7703DF" w:rsidR="00D828CF" w:rsidRDefault="00D828CF">
      <w:pPr>
        <w:pStyle w:val="FootnoteText"/>
      </w:pPr>
      <w:r>
        <w:rPr>
          <w:rStyle w:val="FootnoteReference"/>
        </w:rPr>
        <w:footnoteRef/>
      </w:r>
      <w:r>
        <w:t xml:space="preserve"> </w:t>
      </w:r>
      <w:hyperlink r:id="rId5" w:history="1">
        <w:r w:rsidRPr="009B0CC7">
          <w:rPr>
            <w:rStyle w:val="Hyperlink"/>
          </w:rPr>
          <w:t>https://www.agedcarequality.gov.au/reports</w:t>
        </w:r>
      </w:hyperlink>
    </w:p>
  </w:footnote>
  <w:footnote w:id="10">
    <w:p w14:paraId="216707EC" w14:textId="009ECCD9" w:rsidR="00D828CF" w:rsidRDefault="00D828CF" w:rsidP="00451145">
      <w:pPr>
        <w:pStyle w:val="FootnoteText"/>
      </w:pPr>
      <w:r>
        <w:rPr>
          <w:rStyle w:val="FootnoteReference"/>
        </w:rPr>
        <w:footnoteRef/>
      </w:r>
      <w:r>
        <w:t xml:space="preserve"> </w:t>
      </w:r>
      <w:hyperlink r:id="rId6" w:history="1">
        <w:r w:rsidRPr="009B0CC7">
          <w:rPr>
            <w:rStyle w:val="Hyperlink"/>
          </w:rPr>
          <w:t>https://www.agedcarequality.gov.au/reports</w:t>
        </w:r>
      </w:hyperlink>
    </w:p>
  </w:footnote>
  <w:footnote w:id="11">
    <w:p w14:paraId="1BB01ABD" w14:textId="21637C28" w:rsidR="00D828CF" w:rsidRDefault="00D828CF" w:rsidP="00C55AA8">
      <w:pPr>
        <w:pStyle w:val="FootnoteText"/>
      </w:pPr>
      <w:r>
        <w:rPr>
          <w:rStyle w:val="FootnoteReference"/>
        </w:rPr>
        <w:footnoteRef/>
      </w:r>
      <w:r>
        <w:t xml:space="preserve"> </w:t>
      </w:r>
      <w:hyperlink r:id="rId7" w:history="1">
        <w:r w:rsidRPr="009B0CC7">
          <w:rPr>
            <w:rStyle w:val="Hyperlink"/>
          </w:rPr>
          <w:t>https://www.agedcarequality.gov.au/reports</w:t>
        </w:r>
      </w:hyperlink>
    </w:p>
  </w:footnote>
  <w:footnote w:id="12">
    <w:p w14:paraId="2C202653" w14:textId="77777777" w:rsidR="00D828CF" w:rsidRDefault="00D828CF" w:rsidP="00FC0D35">
      <w:pPr>
        <w:pStyle w:val="FootnoteText"/>
      </w:pPr>
      <w:r>
        <w:rPr>
          <w:rStyle w:val="FootnoteReference"/>
        </w:rPr>
        <w:footnoteRef/>
      </w:r>
      <w:r>
        <w:t xml:space="preserve"> </w:t>
      </w:r>
      <w:hyperlink r:id="rId8" w:history="1">
        <w:r>
          <w:rPr>
            <w:rStyle w:val="Hyperlink"/>
          </w:rPr>
          <w:t>https://www.agedcarequality.gov.au/resources/regulatory-bulletin-2020-3.0</w:t>
        </w:r>
      </w:hyperlink>
    </w:p>
  </w:footnote>
  <w:footnote w:id="13">
    <w:p w14:paraId="725183B2" w14:textId="1EA45527" w:rsidR="00D828CF" w:rsidRDefault="00D828CF" w:rsidP="004972B7">
      <w:pPr>
        <w:pStyle w:val="FootnoteText"/>
      </w:pPr>
      <w:r>
        <w:rPr>
          <w:rStyle w:val="FootnoteReference"/>
        </w:rPr>
        <w:footnoteRef/>
      </w:r>
      <w:r>
        <w:t xml:space="preserve"> </w:t>
      </w:r>
      <w:hyperlink r:id="rId9" w:history="1">
        <w:r w:rsidRPr="009B0CC7">
          <w:rPr>
            <w:rStyle w:val="Hyperlink"/>
          </w:rPr>
          <w:t>https://www.agedcarequality.gov.au/reports</w:t>
        </w:r>
      </w:hyperlink>
    </w:p>
  </w:footnote>
  <w:footnote w:id="14">
    <w:p w14:paraId="56BCD33A" w14:textId="1AA09C99" w:rsidR="00D828CF" w:rsidRDefault="00D828CF" w:rsidP="00F02938">
      <w:pPr>
        <w:pStyle w:val="FootnoteText"/>
      </w:pPr>
      <w:r>
        <w:rPr>
          <w:rStyle w:val="FootnoteReference"/>
        </w:rPr>
        <w:footnoteRef/>
      </w:r>
      <w:r>
        <w:t xml:space="preserve"> </w:t>
      </w:r>
      <w:hyperlink r:id="rId10" w:history="1">
        <w:r>
          <w:rPr>
            <w:rStyle w:val="Hyperlink"/>
          </w:rPr>
          <w:t>https://www.agedcarequality.gov.au/sector-performance</w:t>
        </w:r>
      </w:hyperlink>
    </w:p>
  </w:footnote>
  <w:footnote w:id="15">
    <w:p w14:paraId="560AAA01" w14:textId="18A46CC9" w:rsidR="00E45DBF" w:rsidRDefault="00E45DBF">
      <w:pPr>
        <w:pStyle w:val="FootnoteText"/>
      </w:pPr>
      <w:r>
        <w:rPr>
          <w:rStyle w:val="FootnoteReference"/>
        </w:rPr>
        <w:footnoteRef/>
      </w:r>
      <w:r>
        <w:t xml:space="preserve"> </w:t>
      </w:r>
      <w:hyperlink r:id="rId11" w:history="1">
        <w:r w:rsidRPr="00B121FA">
          <w:rPr>
            <w:rStyle w:val="Hyperlink"/>
          </w:rPr>
          <w:t>https://www.agedcarequality.gov.au/aged-care-performance/non-compliance-register</w:t>
        </w:r>
      </w:hyperlink>
    </w:p>
    <w:p w14:paraId="40529F34" w14:textId="77777777" w:rsidR="00E45DBF" w:rsidRDefault="00E45DBF">
      <w:pPr>
        <w:pStyle w:val="FootnoteText"/>
      </w:pPr>
    </w:p>
  </w:footnote>
  <w:footnote w:id="16">
    <w:p w14:paraId="56933AB3" w14:textId="34B83A48" w:rsidR="00D828CF" w:rsidRDefault="00D828CF" w:rsidP="00D75220">
      <w:pPr>
        <w:pStyle w:val="FootnoteText"/>
      </w:pPr>
      <w:r>
        <w:rPr>
          <w:rStyle w:val="FootnoteReference"/>
        </w:rPr>
        <w:footnoteRef/>
      </w:r>
      <w:r>
        <w:t xml:space="preserve"> </w:t>
      </w:r>
      <w:hyperlink r:id="rId12" w:history="1">
        <w:r w:rsidRPr="0022068E">
          <w:rPr>
            <w:rStyle w:val="Hyperlink"/>
          </w:rPr>
          <w:t>https://www.myagedcare.gov.au/</w:t>
        </w:r>
      </w:hyperlink>
      <w:r>
        <w:t xml:space="preserve"> </w:t>
      </w:r>
    </w:p>
  </w:footnote>
  <w:footnote w:id="17">
    <w:p w14:paraId="50C8D270" w14:textId="51E76270" w:rsidR="00D828CF" w:rsidRDefault="00D828CF" w:rsidP="00177757">
      <w:pPr>
        <w:pStyle w:val="FootnoteText"/>
      </w:pPr>
      <w:r>
        <w:rPr>
          <w:rStyle w:val="FootnoteReference"/>
        </w:rPr>
        <w:footnoteRef/>
      </w:r>
      <w:r>
        <w:t xml:space="preserve"> </w:t>
      </w:r>
      <w:hyperlink r:id="rId13" w:history="1">
        <w:r>
          <w:rPr>
            <w:rStyle w:val="Hyperlink"/>
          </w:rPr>
          <w:t>https://www.agedcarequality.gov.au/aged-care-performance/directions-issued</w:t>
        </w:r>
      </w:hyperlink>
    </w:p>
  </w:footnote>
  <w:footnote w:id="18">
    <w:p w14:paraId="251DA5D0" w14:textId="2A7B292D" w:rsidR="00D828CF" w:rsidRDefault="00D828CF" w:rsidP="00701F89">
      <w:pPr>
        <w:pStyle w:val="FootnoteText"/>
      </w:pPr>
      <w:r>
        <w:rPr>
          <w:rStyle w:val="FootnoteReference"/>
        </w:rPr>
        <w:footnoteRef/>
      </w:r>
      <w:r>
        <w:t xml:space="preserve"> </w:t>
      </w:r>
      <w:hyperlink r:id="rId14" w:history="1">
        <w:r>
          <w:rPr>
            <w:rStyle w:val="Hyperlink"/>
          </w:rPr>
          <w:t>https://www.agedcarequality.gov.au/aged-care-performance</w:t>
        </w:r>
      </w:hyperlink>
    </w:p>
  </w:footnote>
  <w:footnote w:id="19">
    <w:p w14:paraId="7D6EDFC5" w14:textId="0B03C3CC" w:rsidR="00D828CF" w:rsidRDefault="00D828CF" w:rsidP="00701F89">
      <w:pPr>
        <w:pStyle w:val="FootnoteText"/>
      </w:pPr>
      <w:r>
        <w:rPr>
          <w:rStyle w:val="FootnoteReference"/>
        </w:rPr>
        <w:footnoteRef/>
      </w:r>
      <w:r>
        <w:t xml:space="preserve"> </w:t>
      </w:r>
      <w:hyperlink r:id="rId15" w:history="1">
        <w:r>
          <w:rPr>
            <w:rStyle w:val="Hyperlink"/>
          </w:rPr>
          <w:t>https://www.myagedcare.gov.au/</w:t>
        </w:r>
      </w:hyperlink>
    </w:p>
  </w:footnote>
  <w:footnote w:id="20">
    <w:p w14:paraId="22BEA05D" w14:textId="73F14C29" w:rsidR="00D828CF" w:rsidRDefault="00D828CF" w:rsidP="00431765">
      <w:pPr>
        <w:pStyle w:val="FootnoteText"/>
      </w:pPr>
      <w:r>
        <w:rPr>
          <w:rStyle w:val="FootnoteReference"/>
        </w:rPr>
        <w:footnoteRef/>
      </w:r>
      <w:r>
        <w:t xml:space="preserve"> </w:t>
      </w:r>
      <w:hyperlink r:id="rId16" w:history="1">
        <w:r>
          <w:rPr>
            <w:rStyle w:val="Hyperlink"/>
          </w:rPr>
          <w:t>https://www.myagedcare.gov.au/</w:t>
        </w:r>
      </w:hyperlink>
    </w:p>
  </w:footnote>
  <w:footnote w:id="21">
    <w:p w14:paraId="5714A4C2" w14:textId="1D71EE3E" w:rsidR="00D828CF" w:rsidRPr="005B4768" w:rsidRDefault="00D828CF" w:rsidP="00FC0D35">
      <w:pPr>
        <w:pStyle w:val="FootnoteText"/>
        <w:rPr>
          <w:highlight w:val="yellow"/>
        </w:rPr>
      </w:pPr>
      <w:r w:rsidRPr="005B4768">
        <w:rPr>
          <w:rStyle w:val="FootnoteReference"/>
        </w:rPr>
        <w:footnoteRef/>
      </w:r>
      <w:r w:rsidRPr="005B4768">
        <w:t xml:space="preserve"> </w:t>
      </w:r>
      <w:r w:rsidRPr="00FD6BFD">
        <w:rPr>
          <w:rStyle w:val="Hyperlink"/>
        </w:rPr>
        <w:t>https://www.agedcarequality.gov.au/aged-care-performance/non-compliance</w:t>
      </w:r>
    </w:p>
  </w:footnote>
  <w:footnote w:id="22">
    <w:p w14:paraId="4E1AF893" w14:textId="34A1465E" w:rsidR="00D828CF" w:rsidRDefault="00D828CF">
      <w:pPr>
        <w:pStyle w:val="FootnoteText"/>
      </w:pPr>
      <w:r>
        <w:rPr>
          <w:rStyle w:val="FootnoteReference"/>
        </w:rPr>
        <w:footnoteRef/>
      </w:r>
      <w:r>
        <w:t xml:space="preserve"> </w:t>
      </w:r>
      <w:r w:rsidRPr="00FD6BFD">
        <w:t>https://www.agedcarequality.gov.au/subscribe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CFAA" w14:textId="77777777" w:rsidR="00D828CF" w:rsidRDefault="00D828CF">
    <w:pPr>
      <w:pStyle w:val="Header"/>
    </w:pPr>
    <w:r>
      <w:rPr>
        <w:noProof/>
        <w:color w:val="2B579A"/>
        <w:sz w:val="20"/>
        <w:shd w:val="clear" w:color="auto" w:fill="E6E6E6"/>
        <w:lang w:eastAsia="en-AU"/>
      </w:rPr>
      <w:drawing>
        <wp:anchor distT="0" distB="0" distL="114300" distR="114300" simplePos="0" relativeHeight="251658240" behindDoc="1" locked="0" layoutInCell="1" allowOverlap="1" wp14:anchorId="0C87E92E" wp14:editId="550948E0">
          <wp:simplePos x="0" y="0"/>
          <wp:positionH relativeFrom="page">
            <wp:align>left</wp:align>
          </wp:positionH>
          <wp:positionV relativeFrom="paragraph">
            <wp:posOffset>-448310</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5C21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F8D9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479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45CB8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44EF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5E8C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EED2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720E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3EE4C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96C6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B7A1B"/>
    <w:multiLevelType w:val="hybridMultilevel"/>
    <w:tmpl w:val="6C16F1A8"/>
    <w:lvl w:ilvl="0" w:tplc="632A9CE4">
      <w:start w:val="1"/>
      <w:numFmt w:val="bullet"/>
      <w:lvlText w:val=""/>
      <w:lvlJc w:val="left"/>
      <w:pPr>
        <w:ind w:left="360" w:hanging="360"/>
      </w:pPr>
      <w:rPr>
        <w:rFonts w:ascii="Symbol" w:hAnsi="Symbol" w:hint="default"/>
        <w:sz w:val="24"/>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054B2ED8"/>
    <w:multiLevelType w:val="hybridMultilevel"/>
    <w:tmpl w:val="80A2322C"/>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12" w15:restartNumberingAfterBreak="0">
    <w:nsid w:val="077B2BFB"/>
    <w:multiLevelType w:val="hybridMultilevel"/>
    <w:tmpl w:val="44EEC7C6"/>
    <w:lvl w:ilvl="0" w:tplc="6468826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A686E2E"/>
    <w:multiLevelType w:val="hybridMultilevel"/>
    <w:tmpl w:val="3CC831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BA20508"/>
    <w:multiLevelType w:val="hybridMultilevel"/>
    <w:tmpl w:val="5474728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0C03085B"/>
    <w:multiLevelType w:val="hybridMultilevel"/>
    <w:tmpl w:val="5CBE44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124476FB"/>
    <w:multiLevelType w:val="hybridMultilevel"/>
    <w:tmpl w:val="BFA0D54C"/>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3C51F5B"/>
    <w:multiLevelType w:val="hybridMultilevel"/>
    <w:tmpl w:val="244A8ED8"/>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18" w15:restartNumberingAfterBreak="0">
    <w:nsid w:val="17067D20"/>
    <w:multiLevelType w:val="hybridMultilevel"/>
    <w:tmpl w:val="1E7E33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70B41E3"/>
    <w:multiLevelType w:val="hybridMultilevel"/>
    <w:tmpl w:val="B7F27036"/>
    <w:lvl w:ilvl="0" w:tplc="51FA5A56">
      <w:numFmt w:val="bullet"/>
      <w:lvlText w:val=""/>
      <w:lvlJc w:val="left"/>
      <w:pPr>
        <w:ind w:left="787" w:hanging="360"/>
      </w:pPr>
      <w:rPr>
        <w:rFonts w:ascii="Symbol" w:eastAsiaTheme="minorHAnsi" w:hAnsi="Symbol" w:cs="Aria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20" w15:restartNumberingAfterBreak="0">
    <w:nsid w:val="1B345393"/>
    <w:multiLevelType w:val="hybridMultilevel"/>
    <w:tmpl w:val="E3C8FEFC"/>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21" w15:restartNumberingAfterBreak="0">
    <w:nsid w:val="1C621328"/>
    <w:multiLevelType w:val="hybridMultilevel"/>
    <w:tmpl w:val="A85AEF64"/>
    <w:lvl w:ilvl="0" w:tplc="DE0C02A4">
      <w:start w:val="1"/>
      <w:numFmt w:val="bullet"/>
      <w:pStyle w:val="ListBullet"/>
      <w:lvlText w:val=""/>
      <w:lvlJc w:val="left"/>
      <w:pPr>
        <w:ind w:left="720" w:hanging="360"/>
      </w:pPr>
      <w:rPr>
        <w:rFonts w:ascii="Symbol" w:hAnsi="Symbol" w:hint="default"/>
      </w:rPr>
    </w:lvl>
    <w:lvl w:ilvl="1" w:tplc="9230A502">
      <w:start w:val="1"/>
      <w:numFmt w:val="bullet"/>
      <w:pStyle w:val="ListBullet2"/>
      <w:lvlText w:val="o"/>
      <w:lvlJc w:val="left"/>
      <w:pPr>
        <w:ind w:left="1440" w:hanging="360"/>
      </w:pPr>
      <w:rPr>
        <w:rFonts w:ascii="Courier New" w:hAnsi="Courier New" w:cs="Courier New" w:hint="default"/>
      </w:rPr>
    </w:lvl>
    <w:lvl w:ilvl="2" w:tplc="0582AC0A">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ED33A25"/>
    <w:multiLevelType w:val="hybridMultilevel"/>
    <w:tmpl w:val="DD98C5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23E36C3E"/>
    <w:multiLevelType w:val="hybridMultilevel"/>
    <w:tmpl w:val="E68047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45E7096"/>
    <w:multiLevelType w:val="hybridMultilevel"/>
    <w:tmpl w:val="DF6A8BA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5A844DB"/>
    <w:multiLevelType w:val="hybridMultilevel"/>
    <w:tmpl w:val="BBFEB8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BCD0F74"/>
    <w:multiLevelType w:val="hybridMultilevel"/>
    <w:tmpl w:val="A41A1A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2DEA14BD"/>
    <w:multiLevelType w:val="hybridMultilevel"/>
    <w:tmpl w:val="85B4C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35873E4"/>
    <w:multiLevelType w:val="hybridMultilevel"/>
    <w:tmpl w:val="7A686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D053565"/>
    <w:multiLevelType w:val="hybridMultilevel"/>
    <w:tmpl w:val="50DC6B7C"/>
    <w:lvl w:ilvl="0" w:tplc="51FA5A5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37656E1"/>
    <w:multiLevelType w:val="hybridMultilevel"/>
    <w:tmpl w:val="C96CB5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46C35787"/>
    <w:multiLevelType w:val="hybridMultilevel"/>
    <w:tmpl w:val="1FCAF1EE"/>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47B64C4B"/>
    <w:multiLevelType w:val="hybridMultilevel"/>
    <w:tmpl w:val="36082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89B3391"/>
    <w:multiLevelType w:val="hybridMultilevel"/>
    <w:tmpl w:val="82BA8302"/>
    <w:lvl w:ilvl="0" w:tplc="0C090001">
      <w:start w:val="1"/>
      <w:numFmt w:val="bullet"/>
      <w:lvlText w:val=""/>
      <w:lvlJc w:val="left"/>
      <w:pPr>
        <w:tabs>
          <w:tab w:val="num" w:pos="198"/>
        </w:tabs>
        <w:ind w:left="709" w:hanging="346"/>
      </w:pPr>
      <w:rPr>
        <w:rFonts w:ascii="Symbol" w:hAnsi="Symbol" w:hint="default"/>
        <w:color w:val="auto"/>
        <w:sz w:val="24"/>
      </w:rPr>
    </w:lvl>
    <w:lvl w:ilvl="1" w:tplc="0C090003">
      <w:start w:val="1"/>
      <w:numFmt w:val="bullet"/>
      <w:lvlText w:val="o"/>
      <w:lvlJc w:val="left"/>
      <w:pPr>
        <w:tabs>
          <w:tab w:val="num" w:pos="992"/>
        </w:tabs>
        <w:ind w:left="992" w:hanging="283"/>
      </w:pPr>
      <w:rPr>
        <w:rFonts w:ascii="Courier New" w:hAnsi="Courier New" w:cs="Courier New" w:hint="default"/>
        <w:color w:val="auto"/>
      </w:rPr>
    </w:lvl>
    <w:lvl w:ilvl="2" w:tplc="E36EB3D6">
      <w:start w:val="1"/>
      <w:numFmt w:val="bullet"/>
      <w:lvlText w:val="◦"/>
      <w:lvlJc w:val="left"/>
      <w:pPr>
        <w:tabs>
          <w:tab w:val="num" w:pos="2126"/>
        </w:tabs>
        <w:ind w:left="2126" w:hanging="708"/>
      </w:pPr>
      <w:rPr>
        <w:rFonts w:ascii="Times New Roman" w:hAnsi="Times New Roman" w:hint="default"/>
        <w:color w:val="auto"/>
      </w:rPr>
    </w:lvl>
    <w:lvl w:ilvl="3" w:tplc="C0924660">
      <w:start w:val="1"/>
      <w:numFmt w:val="decimal"/>
      <w:suff w:val="nothing"/>
      <w:lvlText w:val=""/>
      <w:lvlJc w:val="left"/>
      <w:pPr>
        <w:ind w:left="0" w:firstLine="0"/>
      </w:pPr>
    </w:lvl>
    <w:lvl w:ilvl="4" w:tplc="30EC1C9C">
      <w:start w:val="1"/>
      <w:numFmt w:val="decimal"/>
      <w:suff w:val="nothing"/>
      <w:lvlText w:val=""/>
      <w:lvlJc w:val="left"/>
      <w:pPr>
        <w:ind w:left="0" w:firstLine="0"/>
      </w:pPr>
    </w:lvl>
    <w:lvl w:ilvl="5" w:tplc="F7727396">
      <w:start w:val="1"/>
      <w:numFmt w:val="decimal"/>
      <w:suff w:val="nothing"/>
      <w:lvlText w:val=""/>
      <w:lvlJc w:val="left"/>
      <w:pPr>
        <w:ind w:left="0" w:firstLine="0"/>
      </w:pPr>
    </w:lvl>
    <w:lvl w:ilvl="6" w:tplc="B1082ED8">
      <w:start w:val="1"/>
      <w:numFmt w:val="decimal"/>
      <w:suff w:val="nothing"/>
      <w:lvlText w:val=""/>
      <w:lvlJc w:val="left"/>
      <w:pPr>
        <w:ind w:left="0" w:firstLine="0"/>
      </w:pPr>
    </w:lvl>
    <w:lvl w:ilvl="7" w:tplc="677EB240">
      <w:start w:val="1"/>
      <w:numFmt w:val="decimal"/>
      <w:suff w:val="nothing"/>
      <w:lvlText w:val=""/>
      <w:lvlJc w:val="left"/>
      <w:pPr>
        <w:ind w:left="0" w:firstLine="0"/>
      </w:pPr>
    </w:lvl>
    <w:lvl w:ilvl="8" w:tplc="F6E0A6A0">
      <w:start w:val="1"/>
      <w:numFmt w:val="decimal"/>
      <w:suff w:val="nothing"/>
      <w:lvlText w:val=""/>
      <w:lvlJc w:val="left"/>
      <w:pPr>
        <w:ind w:left="0" w:firstLine="0"/>
      </w:pPr>
    </w:lvl>
  </w:abstractNum>
  <w:abstractNum w:abstractNumId="34" w15:restartNumberingAfterBreak="0">
    <w:nsid w:val="512965FE"/>
    <w:multiLevelType w:val="multilevel"/>
    <w:tmpl w:val="FE1A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7924DA"/>
    <w:multiLevelType w:val="hybridMultilevel"/>
    <w:tmpl w:val="FFC82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3506FD6"/>
    <w:multiLevelType w:val="multilevel"/>
    <w:tmpl w:val="82A6A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8C79F7"/>
    <w:multiLevelType w:val="hybridMultilevel"/>
    <w:tmpl w:val="A5F07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F6C7B92"/>
    <w:multiLevelType w:val="hybridMultilevel"/>
    <w:tmpl w:val="54E68F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0E169CF"/>
    <w:multiLevelType w:val="hybridMultilevel"/>
    <w:tmpl w:val="042A1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34A584B"/>
    <w:multiLevelType w:val="hybridMultilevel"/>
    <w:tmpl w:val="0F3029C4"/>
    <w:lvl w:ilvl="0" w:tplc="831A1E22">
      <w:start w:val="1"/>
      <w:numFmt w:val="bullet"/>
      <w:pStyle w:val="StyleBullet3"/>
      <w:lvlText w:val="◦"/>
      <w:lvlJc w:val="left"/>
      <w:pPr>
        <w:tabs>
          <w:tab w:val="num" w:pos="544"/>
        </w:tabs>
        <w:ind w:left="1055" w:hanging="346"/>
      </w:pPr>
      <w:rPr>
        <w:rFonts w:ascii="Times New Roman" w:hAnsi="Times New Roman" w:cs="Times New Roman" w:hint="default"/>
        <w:color w:val="auto"/>
        <w:sz w:val="24"/>
      </w:rPr>
    </w:lvl>
    <w:lvl w:ilvl="1" w:tplc="0C090003">
      <w:start w:val="1"/>
      <w:numFmt w:val="bullet"/>
      <w:lvlText w:val="o"/>
      <w:lvlJc w:val="left"/>
      <w:pPr>
        <w:tabs>
          <w:tab w:val="num" w:pos="1338"/>
        </w:tabs>
        <w:ind w:left="1338" w:hanging="283"/>
      </w:pPr>
      <w:rPr>
        <w:rFonts w:ascii="Courier New" w:hAnsi="Courier New" w:cs="Courier New" w:hint="default"/>
        <w:color w:val="auto"/>
      </w:rPr>
    </w:lvl>
    <w:lvl w:ilvl="2" w:tplc="E36EB3D6">
      <w:start w:val="1"/>
      <w:numFmt w:val="bullet"/>
      <w:lvlText w:val="◦"/>
      <w:lvlJc w:val="left"/>
      <w:pPr>
        <w:tabs>
          <w:tab w:val="num" w:pos="2472"/>
        </w:tabs>
        <w:ind w:left="2472" w:hanging="708"/>
      </w:pPr>
      <w:rPr>
        <w:rFonts w:ascii="Times New Roman" w:hAnsi="Times New Roman" w:hint="default"/>
        <w:color w:val="auto"/>
      </w:rPr>
    </w:lvl>
    <w:lvl w:ilvl="3" w:tplc="C0924660">
      <w:start w:val="1"/>
      <w:numFmt w:val="decimal"/>
      <w:suff w:val="nothing"/>
      <w:lvlText w:val=""/>
      <w:lvlJc w:val="left"/>
      <w:pPr>
        <w:ind w:left="346" w:firstLine="0"/>
      </w:pPr>
    </w:lvl>
    <w:lvl w:ilvl="4" w:tplc="30EC1C9C">
      <w:start w:val="1"/>
      <w:numFmt w:val="decimal"/>
      <w:suff w:val="nothing"/>
      <w:lvlText w:val=""/>
      <w:lvlJc w:val="left"/>
      <w:pPr>
        <w:ind w:left="346" w:firstLine="0"/>
      </w:pPr>
    </w:lvl>
    <w:lvl w:ilvl="5" w:tplc="F7727396">
      <w:start w:val="1"/>
      <w:numFmt w:val="decimal"/>
      <w:suff w:val="nothing"/>
      <w:lvlText w:val=""/>
      <w:lvlJc w:val="left"/>
      <w:pPr>
        <w:ind w:left="346" w:firstLine="0"/>
      </w:pPr>
    </w:lvl>
    <w:lvl w:ilvl="6" w:tplc="B1082ED8">
      <w:start w:val="1"/>
      <w:numFmt w:val="decimal"/>
      <w:suff w:val="nothing"/>
      <w:lvlText w:val=""/>
      <w:lvlJc w:val="left"/>
      <w:pPr>
        <w:ind w:left="346" w:firstLine="0"/>
      </w:pPr>
    </w:lvl>
    <w:lvl w:ilvl="7" w:tplc="677EB240">
      <w:start w:val="1"/>
      <w:numFmt w:val="decimal"/>
      <w:suff w:val="nothing"/>
      <w:lvlText w:val=""/>
      <w:lvlJc w:val="left"/>
      <w:pPr>
        <w:ind w:left="346" w:firstLine="0"/>
      </w:pPr>
    </w:lvl>
    <w:lvl w:ilvl="8" w:tplc="F6E0A6A0">
      <w:start w:val="1"/>
      <w:numFmt w:val="decimal"/>
      <w:suff w:val="nothing"/>
      <w:lvlText w:val=""/>
      <w:lvlJc w:val="left"/>
      <w:pPr>
        <w:ind w:left="346" w:firstLine="0"/>
      </w:pPr>
    </w:lvl>
  </w:abstractNum>
  <w:abstractNum w:abstractNumId="41" w15:restartNumberingAfterBreak="0">
    <w:nsid w:val="6EF322E4"/>
    <w:multiLevelType w:val="hybridMultilevel"/>
    <w:tmpl w:val="1DB40954"/>
    <w:lvl w:ilvl="0" w:tplc="51FA5A5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02346CE"/>
    <w:multiLevelType w:val="multilevel"/>
    <w:tmpl w:val="305CC886"/>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9D2485B"/>
    <w:multiLevelType w:val="hybridMultilevel"/>
    <w:tmpl w:val="3C1AF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A9D23DC"/>
    <w:multiLevelType w:val="hybridMultilevel"/>
    <w:tmpl w:val="42D0AD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45429672">
    <w:abstractNumId w:val="9"/>
  </w:num>
  <w:num w:numId="2" w16cid:durableId="1286738459">
    <w:abstractNumId w:val="7"/>
  </w:num>
  <w:num w:numId="3" w16cid:durableId="937103102">
    <w:abstractNumId w:val="6"/>
  </w:num>
  <w:num w:numId="4" w16cid:durableId="1840660275">
    <w:abstractNumId w:val="5"/>
  </w:num>
  <w:num w:numId="5" w16cid:durableId="1796950648">
    <w:abstractNumId w:val="4"/>
  </w:num>
  <w:num w:numId="6" w16cid:durableId="1507133921">
    <w:abstractNumId w:val="8"/>
  </w:num>
  <w:num w:numId="7" w16cid:durableId="1780563913">
    <w:abstractNumId w:val="3"/>
  </w:num>
  <w:num w:numId="8" w16cid:durableId="2028210838">
    <w:abstractNumId w:val="2"/>
  </w:num>
  <w:num w:numId="9" w16cid:durableId="687490951">
    <w:abstractNumId w:val="1"/>
  </w:num>
  <w:num w:numId="10" w16cid:durableId="1122500800">
    <w:abstractNumId w:val="0"/>
  </w:num>
  <w:num w:numId="11" w16cid:durableId="26101644">
    <w:abstractNumId w:val="21"/>
  </w:num>
  <w:num w:numId="12" w16cid:durableId="921449565">
    <w:abstractNumId w:val="24"/>
  </w:num>
  <w:num w:numId="13" w16cid:durableId="1617903036">
    <w:abstractNumId w:val="42"/>
  </w:num>
  <w:num w:numId="14" w16cid:durableId="73548153">
    <w:abstractNumId w:val="25"/>
  </w:num>
  <w:num w:numId="15" w16cid:durableId="1905263669">
    <w:abstractNumId w:val="22"/>
  </w:num>
  <w:num w:numId="16" w16cid:durableId="348340346">
    <w:abstractNumId w:val="43"/>
  </w:num>
  <w:num w:numId="17" w16cid:durableId="916590673">
    <w:abstractNumId w:val="39"/>
  </w:num>
  <w:num w:numId="18" w16cid:durableId="212742698">
    <w:abstractNumId w:val="30"/>
  </w:num>
  <w:num w:numId="19" w16cid:durableId="1044672168">
    <w:abstractNumId w:val="10"/>
  </w:num>
  <w:num w:numId="20" w16cid:durableId="1397171409">
    <w:abstractNumId w:val="18"/>
  </w:num>
  <w:num w:numId="21" w16cid:durableId="1384451753">
    <w:abstractNumId w:val="36"/>
  </w:num>
  <w:num w:numId="22" w16cid:durableId="1440639726">
    <w:abstractNumId w:val="13"/>
  </w:num>
  <w:num w:numId="23" w16cid:durableId="1406033633">
    <w:abstractNumId w:val="32"/>
  </w:num>
  <w:num w:numId="24" w16cid:durableId="1448701674">
    <w:abstractNumId w:val="16"/>
  </w:num>
  <w:num w:numId="25" w16cid:durableId="2045715368">
    <w:abstractNumId w:val="41"/>
  </w:num>
  <w:num w:numId="26" w16cid:durableId="1592079185">
    <w:abstractNumId w:val="15"/>
  </w:num>
  <w:num w:numId="27" w16cid:durableId="2054383902">
    <w:abstractNumId w:val="26"/>
  </w:num>
  <w:num w:numId="28" w16cid:durableId="1983460306">
    <w:abstractNumId w:val="19"/>
  </w:num>
  <w:num w:numId="29" w16cid:durableId="954559063">
    <w:abstractNumId w:val="29"/>
  </w:num>
  <w:num w:numId="30" w16cid:durableId="7596376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62202603">
    <w:abstractNumId w:val="30"/>
  </w:num>
  <w:num w:numId="32" w16cid:durableId="1960138549">
    <w:abstractNumId w:val="16"/>
  </w:num>
  <w:num w:numId="33" w16cid:durableId="25563470">
    <w:abstractNumId w:val="19"/>
  </w:num>
  <w:num w:numId="34" w16cid:durableId="866525489">
    <w:abstractNumId w:val="44"/>
  </w:num>
  <w:num w:numId="35" w16cid:durableId="10071742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18382695">
    <w:abstractNumId w:val="12"/>
  </w:num>
  <w:num w:numId="37" w16cid:durableId="1495805061">
    <w:abstractNumId w:val="21"/>
  </w:num>
  <w:num w:numId="38" w16cid:durableId="738284950">
    <w:abstractNumId w:val="21"/>
  </w:num>
  <w:num w:numId="39" w16cid:durableId="707216765">
    <w:abstractNumId w:val="21"/>
  </w:num>
  <w:num w:numId="40" w16cid:durableId="1282541852">
    <w:abstractNumId w:val="31"/>
  </w:num>
  <w:num w:numId="41" w16cid:durableId="983969652">
    <w:abstractNumId w:val="11"/>
  </w:num>
  <w:num w:numId="42" w16cid:durableId="1389570687">
    <w:abstractNumId w:val="27"/>
  </w:num>
  <w:num w:numId="43" w16cid:durableId="161166669">
    <w:abstractNumId w:val="33"/>
  </w:num>
  <w:num w:numId="44" w16cid:durableId="409279321">
    <w:abstractNumId w:val="34"/>
  </w:num>
  <w:num w:numId="45" w16cid:durableId="790823217">
    <w:abstractNumId w:val="35"/>
  </w:num>
  <w:num w:numId="46" w16cid:durableId="7415606">
    <w:abstractNumId w:val="14"/>
  </w:num>
  <w:num w:numId="47" w16cid:durableId="980159405">
    <w:abstractNumId w:val="20"/>
  </w:num>
  <w:num w:numId="48" w16cid:durableId="1597052965">
    <w:abstractNumId w:val="37"/>
  </w:num>
  <w:num w:numId="49" w16cid:durableId="937635868">
    <w:abstractNumId w:val="17"/>
  </w:num>
  <w:num w:numId="50" w16cid:durableId="471751003">
    <w:abstractNumId w:val="28"/>
  </w:num>
  <w:num w:numId="51" w16cid:durableId="64302361">
    <w:abstractNumId w:val="40"/>
  </w:num>
  <w:num w:numId="52" w16cid:durableId="654920119">
    <w:abstractNumId w:val="38"/>
  </w:num>
  <w:num w:numId="53" w16cid:durableId="1987200350">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625"/>
    <w:rsid w:val="00000498"/>
    <w:rsid w:val="00001618"/>
    <w:rsid w:val="00002B8B"/>
    <w:rsid w:val="00002F72"/>
    <w:rsid w:val="000030EC"/>
    <w:rsid w:val="00003D5D"/>
    <w:rsid w:val="00005B83"/>
    <w:rsid w:val="0000670C"/>
    <w:rsid w:val="00006A04"/>
    <w:rsid w:val="00010CF7"/>
    <w:rsid w:val="00010DB2"/>
    <w:rsid w:val="00013125"/>
    <w:rsid w:val="000137AE"/>
    <w:rsid w:val="000149E5"/>
    <w:rsid w:val="0001504C"/>
    <w:rsid w:val="00015318"/>
    <w:rsid w:val="000157E1"/>
    <w:rsid w:val="00015CEF"/>
    <w:rsid w:val="000169BE"/>
    <w:rsid w:val="00016AE6"/>
    <w:rsid w:val="0001728F"/>
    <w:rsid w:val="00020798"/>
    <w:rsid w:val="00021364"/>
    <w:rsid w:val="00021639"/>
    <w:rsid w:val="00022927"/>
    <w:rsid w:val="00022C3E"/>
    <w:rsid w:val="00022EDD"/>
    <w:rsid w:val="00023286"/>
    <w:rsid w:val="000237A5"/>
    <w:rsid w:val="00024397"/>
    <w:rsid w:val="0002515A"/>
    <w:rsid w:val="000251EA"/>
    <w:rsid w:val="00026CF6"/>
    <w:rsid w:val="0002715C"/>
    <w:rsid w:val="00030726"/>
    <w:rsid w:val="00032021"/>
    <w:rsid w:val="00032A36"/>
    <w:rsid w:val="00032D8C"/>
    <w:rsid w:val="00032E5E"/>
    <w:rsid w:val="0003450D"/>
    <w:rsid w:val="00034B09"/>
    <w:rsid w:val="0003522E"/>
    <w:rsid w:val="00037C31"/>
    <w:rsid w:val="000402D6"/>
    <w:rsid w:val="000408A9"/>
    <w:rsid w:val="0004178C"/>
    <w:rsid w:val="000422AA"/>
    <w:rsid w:val="00043625"/>
    <w:rsid w:val="00044175"/>
    <w:rsid w:val="0004490D"/>
    <w:rsid w:val="000459DC"/>
    <w:rsid w:val="00045BE3"/>
    <w:rsid w:val="00045D55"/>
    <w:rsid w:val="00047739"/>
    <w:rsid w:val="0005026B"/>
    <w:rsid w:val="000505CE"/>
    <w:rsid w:val="00050935"/>
    <w:rsid w:val="00050961"/>
    <w:rsid w:val="00051433"/>
    <w:rsid w:val="00051C78"/>
    <w:rsid w:val="00051EF7"/>
    <w:rsid w:val="00051F4B"/>
    <w:rsid w:val="00053866"/>
    <w:rsid w:val="00053B13"/>
    <w:rsid w:val="00053D33"/>
    <w:rsid w:val="0005421A"/>
    <w:rsid w:val="00055155"/>
    <w:rsid w:val="00055C62"/>
    <w:rsid w:val="00055FD5"/>
    <w:rsid w:val="000562A2"/>
    <w:rsid w:val="00056BC2"/>
    <w:rsid w:val="00056FCA"/>
    <w:rsid w:val="000606F4"/>
    <w:rsid w:val="000607EF"/>
    <w:rsid w:val="00061C21"/>
    <w:rsid w:val="000621CE"/>
    <w:rsid w:val="00063836"/>
    <w:rsid w:val="00063BB3"/>
    <w:rsid w:val="00064551"/>
    <w:rsid w:val="00064F6F"/>
    <w:rsid w:val="000650D3"/>
    <w:rsid w:val="00065754"/>
    <w:rsid w:val="000659B9"/>
    <w:rsid w:val="00066100"/>
    <w:rsid w:val="00066430"/>
    <w:rsid w:val="00066BCF"/>
    <w:rsid w:val="000702A2"/>
    <w:rsid w:val="000707B1"/>
    <w:rsid w:val="00071535"/>
    <w:rsid w:val="00073E73"/>
    <w:rsid w:val="00074867"/>
    <w:rsid w:val="000755D3"/>
    <w:rsid w:val="00075B43"/>
    <w:rsid w:val="0007603F"/>
    <w:rsid w:val="00076547"/>
    <w:rsid w:val="000769F0"/>
    <w:rsid w:val="00076C88"/>
    <w:rsid w:val="00076EB8"/>
    <w:rsid w:val="00076FA2"/>
    <w:rsid w:val="000775EC"/>
    <w:rsid w:val="00077C9C"/>
    <w:rsid w:val="00077DDE"/>
    <w:rsid w:val="00077E36"/>
    <w:rsid w:val="0008014A"/>
    <w:rsid w:val="0008081C"/>
    <w:rsid w:val="00080920"/>
    <w:rsid w:val="000809F2"/>
    <w:rsid w:val="00081504"/>
    <w:rsid w:val="0008183F"/>
    <w:rsid w:val="00081FAD"/>
    <w:rsid w:val="000825F5"/>
    <w:rsid w:val="000827BE"/>
    <w:rsid w:val="0008298C"/>
    <w:rsid w:val="00083303"/>
    <w:rsid w:val="000833D8"/>
    <w:rsid w:val="00083E24"/>
    <w:rsid w:val="00083E94"/>
    <w:rsid w:val="000845F1"/>
    <w:rsid w:val="000846AB"/>
    <w:rsid w:val="00084AF7"/>
    <w:rsid w:val="00084E42"/>
    <w:rsid w:val="0008527E"/>
    <w:rsid w:val="0008547F"/>
    <w:rsid w:val="00085555"/>
    <w:rsid w:val="00085EA5"/>
    <w:rsid w:val="0008616D"/>
    <w:rsid w:val="0008777E"/>
    <w:rsid w:val="0009020D"/>
    <w:rsid w:val="0009245C"/>
    <w:rsid w:val="00092A70"/>
    <w:rsid w:val="0009319F"/>
    <w:rsid w:val="00093FC2"/>
    <w:rsid w:val="00094769"/>
    <w:rsid w:val="00094865"/>
    <w:rsid w:val="000958D9"/>
    <w:rsid w:val="00096610"/>
    <w:rsid w:val="00096CB0"/>
    <w:rsid w:val="00096E6D"/>
    <w:rsid w:val="0009737A"/>
    <w:rsid w:val="000A045F"/>
    <w:rsid w:val="000A1CC1"/>
    <w:rsid w:val="000A1EC5"/>
    <w:rsid w:val="000A2445"/>
    <w:rsid w:val="000A2A53"/>
    <w:rsid w:val="000A3305"/>
    <w:rsid w:val="000A47EC"/>
    <w:rsid w:val="000A4946"/>
    <w:rsid w:val="000A52AB"/>
    <w:rsid w:val="000A56DC"/>
    <w:rsid w:val="000A6956"/>
    <w:rsid w:val="000A697E"/>
    <w:rsid w:val="000B0000"/>
    <w:rsid w:val="000B04DA"/>
    <w:rsid w:val="000B0694"/>
    <w:rsid w:val="000B1564"/>
    <w:rsid w:val="000B1C92"/>
    <w:rsid w:val="000B1F95"/>
    <w:rsid w:val="000B30F0"/>
    <w:rsid w:val="000B40E0"/>
    <w:rsid w:val="000B5BCA"/>
    <w:rsid w:val="000B6C66"/>
    <w:rsid w:val="000B71CE"/>
    <w:rsid w:val="000C0304"/>
    <w:rsid w:val="000C0BFA"/>
    <w:rsid w:val="000C0CA4"/>
    <w:rsid w:val="000C107E"/>
    <w:rsid w:val="000C1543"/>
    <w:rsid w:val="000C1755"/>
    <w:rsid w:val="000C1DC3"/>
    <w:rsid w:val="000C4589"/>
    <w:rsid w:val="000C5253"/>
    <w:rsid w:val="000C5347"/>
    <w:rsid w:val="000C6A29"/>
    <w:rsid w:val="000C73AA"/>
    <w:rsid w:val="000C76E3"/>
    <w:rsid w:val="000C7A3E"/>
    <w:rsid w:val="000D0690"/>
    <w:rsid w:val="000D0697"/>
    <w:rsid w:val="000D0B1F"/>
    <w:rsid w:val="000D0C1D"/>
    <w:rsid w:val="000D1D02"/>
    <w:rsid w:val="000D3249"/>
    <w:rsid w:val="000D33C7"/>
    <w:rsid w:val="000D36AE"/>
    <w:rsid w:val="000D425E"/>
    <w:rsid w:val="000D4A43"/>
    <w:rsid w:val="000D516E"/>
    <w:rsid w:val="000D59C7"/>
    <w:rsid w:val="000D5A83"/>
    <w:rsid w:val="000D62AA"/>
    <w:rsid w:val="000D635B"/>
    <w:rsid w:val="000D639A"/>
    <w:rsid w:val="000D6AF5"/>
    <w:rsid w:val="000D6D2A"/>
    <w:rsid w:val="000D70AD"/>
    <w:rsid w:val="000D70C4"/>
    <w:rsid w:val="000E092C"/>
    <w:rsid w:val="000E097C"/>
    <w:rsid w:val="000E0DAB"/>
    <w:rsid w:val="000E0EC6"/>
    <w:rsid w:val="000E31D6"/>
    <w:rsid w:val="000E3ED7"/>
    <w:rsid w:val="000E42C2"/>
    <w:rsid w:val="000E4AA6"/>
    <w:rsid w:val="000E56EA"/>
    <w:rsid w:val="000E656F"/>
    <w:rsid w:val="000E6A2E"/>
    <w:rsid w:val="000E6F64"/>
    <w:rsid w:val="000E7985"/>
    <w:rsid w:val="000F06F3"/>
    <w:rsid w:val="000F1E82"/>
    <w:rsid w:val="000F2DF9"/>
    <w:rsid w:val="000F3FF2"/>
    <w:rsid w:val="000F519C"/>
    <w:rsid w:val="000F55AA"/>
    <w:rsid w:val="000F59E1"/>
    <w:rsid w:val="000F5F2C"/>
    <w:rsid w:val="000F6B1B"/>
    <w:rsid w:val="001010C0"/>
    <w:rsid w:val="001010E1"/>
    <w:rsid w:val="0010115E"/>
    <w:rsid w:val="00101D6A"/>
    <w:rsid w:val="00101DA9"/>
    <w:rsid w:val="00102083"/>
    <w:rsid w:val="001022EC"/>
    <w:rsid w:val="00102AEB"/>
    <w:rsid w:val="00103C95"/>
    <w:rsid w:val="001042D1"/>
    <w:rsid w:val="00104B50"/>
    <w:rsid w:val="00107FEC"/>
    <w:rsid w:val="00111446"/>
    <w:rsid w:val="00111B4D"/>
    <w:rsid w:val="00112225"/>
    <w:rsid w:val="001133B7"/>
    <w:rsid w:val="001134C7"/>
    <w:rsid w:val="00115648"/>
    <w:rsid w:val="00115D75"/>
    <w:rsid w:val="00116418"/>
    <w:rsid w:val="001167CD"/>
    <w:rsid w:val="001169B3"/>
    <w:rsid w:val="00117B7E"/>
    <w:rsid w:val="00120B47"/>
    <w:rsid w:val="00121220"/>
    <w:rsid w:val="001214BE"/>
    <w:rsid w:val="001223AC"/>
    <w:rsid w:val="00122A8B"/>
    <w:rsid w:val="001230C2"/>
    <w:rsid w:val="001236C1"/>
    <w:rsid w:val="00124FC9"/>
    <w:rsid w:val="001258BB"/>
    <w:rsid w:val="00126BAA"/>
    <w:rsid w:val="00130309"/>
    <w:rsid w:val="001303A9"/>
    <w:rsid w:val="001309CD"/>
    <w:rsid w:val="00130E9B"/>
    <w:rsid w:val="001330BA"/>
    <w:rsid w:val="00134E64"/>
    <w:rsid w:val="0013604D"/>
    <w:rsid w:val="00136C0B"/>
    <w:rsid w:val="001379B1"/>
    <w:rsid w:val="00137EEE"/>
    <w:rsid w:val="00141357"/>
    <w:rsid w:val="00141941"/>
    <w:rsid w:val="00141942"/>
    <w:rsid w:val="00141A31"/>
    <w:rsid w:val="00142B19"/>
    <w:rsid w:val="00142C04"/>
    <w:rsid w:val="00143A1E"/>
    <w:rsid w:val="00143B6B"/>
    <w:rsid w:val="00144AD8"/>
    <w:rsid w:val="00144F5E"/>
    <w:rsid w:val="0014516A"/>
    <w:rsid w:val="00145368"/>
    <w:rsid w:val="001460C2"/>
    <w:rsid w:val="00146A7F"/>
    <w:rsid w:val="00147394"/>
    <w:rsid w:val="00147514"/>
    <w:rsid w:val="00147934"/>
    <w:rsid w:val="00147942"/>
    <w:rsid w:val="0015004C"/>
    <w:rsid w:val="0015044E"/>
    <w:rsid w:val="001505BB"/>
    <w:rsid w:val="00150E24"/>
    <w:rsid w:val="00151641"/>
    <w:rsid w:val="0015206C"/>
    <w:rsid w:val="001524B5"/>
    <w:rsid w:val="00152610"/>
    <w:rsid w:val="001531D8"/>
    <w:rsid w:val="00156856"/>
    <w:rsid w:val="00156B34"/>
    <w:rsid w:val="00157140"/>
    <w:rsid w:val="00157F46"/>
    <w:rsid w:val="001615EC"/>
    <w:rsid w:val="00163F65"/>
    <w:rsid w:val="001647A7"/>
    <w:rsid w:val="00164D59"/>
    <w:rsid w:val="00165BE4"/>
    <w:rsid w:val="001666F5"/>
    <w:rsid w:val="00166DFF"/>
    <w:rsid w:val="001673D1"/>
    <w:rsid w:val="0016754A"/>
    <w:rsid w:val="001675B3"/>
    <w:rsid w:val="001676A1"/>
    <w:rsid w:val="0016793A"/>
    <w:rsid w:val="00170392"/>
    <w:rsid w:val="00170A18"/>
    <w:rsid w:val="001727FF"/>
    <w:rsid w:val="00174502"/>
    <w:rsid w:val="00174B08"/>
    <w:rsid w:val="001758DA"/>
    <w:rsid w:val="00175A4A"/>
    <w:rsid w:val="001761D1"/>
    <w:rsid w:val="0017689C"/>
    <w:rsid w:val="00177757"/>
    <w:rsid w:val="001813B8"/>
    <w:rsid w:val="00182254"/>
    <w:rsid w:val="00182437"/>
    <w:rsid w:val="00182AB7"/>
    <w:rsid w:val="00182ABE"/>
    <w:rsid w:val="001841AC"/>
    <w:rsid w:val="001845B9"/>
    <w:rsid w:val="00185000"/>
    <w:rsid w:val="00185BAB"/>
    <w:rsid w:val="0018605A"/>
    <w:rsid w:val="0018737D"/>
    <w:rsid w:val="00187788"/>
    <w:rsid w:val="00190968"/>
    <w:rsid w:val="00191021"/>
    <w:rsid w:val="0019156E"/>
    <w:rsid w:val="00192031"/>
    <w:rsid w:val="00192CCB"/>
    <w:rsid w:val="0019338D"/>
    <w:rsid w:val="001938FA"/>
    <w:rsid w:val="001940EC"/>
    <w:rsid w:val="00194425"/>
    <w:rsid w:val="00194B2D"/>
    <w:rsid w:val="00194E45"/>
    <w:rsid w:val="00195129"/>
    <w:rsid w:val="001951D1"/>
    <w:rsid w:val="00195FBF"/>
    <w:rsid w:val="00196EB4"/>
    <w:rsid w:val="001978E5"/>
    <w:rsid w:val="00197B86"/>
    <w:rsid w:val="001A02A2"/>
    <w:rsid w:val="001A066F"/>
    <w:rsid w:val="001A104B"/>
    <w:rsid w:val="001A104C"/>
    <w:rsid w:val="001A1D95"/>
    <w:rsid w:val="001A1FE3"/>
    <w:rsid w:val="001A28FB"/>
    <w:rsid w:val="001A29BF"/>
    <w:rsid w:val="001A32B6"/>
    <w:rsid w:val="001A401A"/>
    <w:rsid w:val="001A50B9"/>
    <w:rsid w:val="001A53DB"/>
    <w:rsid w:val="001A6B25"/>
    <w:rsid w:val="001A7F6B"/>
    <w:rsid w:val="001B05C9"/>
    <w:rsid w:val="001B12A0"/>
    <w:rsid w:val="001B1954"/>
    <w:rsid w:val="001B1C1B"/>
    <w:rsid w:val="001B1D8E"/>
    <w:rsid w:val="001B2754"/>
    <w:rsid w:val="001B3B8E"/>
    <w:rsid w:val="001B3CE9"/>
    <w:rsid w:val="001B45BA"/>
    <w:rsid w:val="001B4962"/>
    <w:rsid w:val="001B4A94"/>
    <w:rsid w:val="001B59A9"/>
    <w:rsid w:val="001B67F6"/>
    <w:rsid w:val="001B6F1B"/>
    <w:rsid w:val="001C02C4"/>
    <w:rsid w:val="001C1E10"/>
    <w:rsid w:val="001C2891"/>
    <w:rsid w:val="001C296A"/>
    <w:rsid w:val="001C2F3B"/>
    <w:rsid w:val="001C3502"/>
    <w:rsid w:val="001C3828"/>
    <w:rsid w:val="001C38AD"/>
    <w:rsid w:val="001C5FF4"/>
    <w:rsid w:val="001C6318"/>
    <w:rsid w:val="001C64C3"/>
    <w:rsid w:val="001C6F1C"/>
    <w:rsid w:val="001C7351"/>
    <w:rsid w:val="001D0AF5"/>
    <w:rsid w:val="001D2297"/>
    <w:rsid w:val="001D2520"/>
    <w:rsid w:val="001D255F"/>
    <w:rsid w:val="001D2926"/>
    <w:rsid w:val="001D4018"/>
    <w:rsid w:val="001D484F"/>
    <w:rsid w:val="001D4BF0"/>
    <w:rsid w:val="001D582C"/>
    <w:rsid w:val="001D69CE"/>
    <w:rsid w:val="001E069F"/>
    <w:rsid w:val="001E0A5A"/>
    <w:rsid w:val="001E0B40"/>
    <w:rsid w:val="001E0CB1"/>
    <w:rsid w:val="001E1475"/>
    <w:rsid w:val="001E1794"/>
    <w:rsid w:val="001E2228"/>
    <w:rsid w:val="001E2512"/>
    <w:rsid w:val="001E2B02"/>
    <w:rsid w:val="001E2B1D"/>
    <w:rsid w:val="001E3A34"/>
    <w:rsid w:val="001E3E7D"/>
    <w:rsid w:val="001E4A11"/>
    <w:rsid w:val="001E5272"/>
    <w:rsid w:val="001E545E"/>
    <w:rsid w:val="001E57B8"/>
    <w:rsid w:val="001E6162"/>
    <w:rsid w:val="001E6C57"/>
    <w:rsid w:val="001F173A"/>
    <w:rsid w:val="001F261B"/>
    <w:rsid w:val="001F2AD0"/>
    <w:rsid w:val="001F2F56"/>
    <w:rsid w:val="001F3C45"/>
    <w:rsid w:val="001F4021"/>
    <w:rsid w:val="001F510C"/>
    <w:rsid w:val="001F6322"/>
    <w:rsid w:val="001F72CE"/>
    <w:rsid w:val="0020003B"/>
    <w:rsid w:val="00201279"/>
    <w:rsid w:val="0020172A"/>
    <w:rsid w:val="002029E6"/>
    <w:rsid w:val="00202B38"/>
    <w:rsid w:val="0020348B"/>
    <w:rsid w:val="00203EA1"/>
    <w:rsid w:val="002043DF"/>
    <w:rsid w:val="00204873"/>
    <w:rsid w:val="002054DE"/>
    <w:rsid w:val="002057F7"/>
    <w:rsid w:val="00205825"/>
    <w:rsid w:val="00205FA3"/>
    <w:rsid w:val="00206394"/>
    <w:rsid w:val="0020755D"/>
    <w:rsid w:val="00207ED1"/>
    <w:rsid w:val="0021103B"/>
    <w:rsid w:val="002114E1"/>
    <w:rsid w:val="0021201F"/>
    <w:rsid w:val="00212319"/>
    <w:rsid w:val="00212B4F"/>
    <w:rsid w:val="00213DCF"/>
    <w:rsid w:val="00214BFF"/>
    <w:rsid w:val="00215420"/>
    <w:rsid w:val="00215499"/>
    <w:rsid w:val="0021584F"/>
    <w:rsid w:val="002158B1"/>
    <w:rsid w:val="00215D22"/>
    <w:rsid w:val="00220129"/>
    <w:rsid w:val="00221108"/>
    <w:rsid w:val="00221B27"/>
    <w:rsid w:val="002221D5"/>
    <w:rsid w:val="00222BFC"/>
    <w:rsid w:val="00222F5A"/>
    <w:rsid w:val="002234AC"/>
    <w:rsid w:val="00223ADC"/>
    <w:rsid w:val="00226801"/>
    <w:rsid w:val="00226B20"/>
    <w:rsid w:val="002270CE"/>
    <w:rsid w:val="002272E0"/>
    <w:rsid w:val="0022768B"/>
    <w:rsid w:val="002306B0"/>
    <w:rsid w:val="00231381"/>
    <w:rsid w:val="002317C0"/>
    <w:rsid w:val="002317DE"/>
    <w:rsid w:val="00231A7E"/>
    <w:rsid w:val="00231E24"/>
    <w:rsid w:val="00231F65"/>
    <w:rsid w:val="00231F7B"/>
    <w:rsid w:val="00232CD4"/>
    <w:rsid w:val="00233808"/>
    <w:rsid w:val="002338DE"/>
    <w:rsid w:val="00234C36"/>
    <w:rsid w:val="0023525C"/>
    <w:rsid w:val="0023559B"/>
    <w:rsid w:val="00235770"/>
    <w:rsid w:val="002362A2"/>
    <w:rsid w:val="00236506"/>
    <w:rsid w:val="0023746B"/>
    <w:rsid w:val="00240167"/>
    <w:rsid w:val="002401D6"/>
    <w:rsid w:val="002407DF"/>
    <w:rsid w:val="00240B32"/>
    <w:rsid w:val="00240B8D"/>
    <w:rsid w:val="00241424"/>
    <w:rsid w:val="00241C97"/>
    <w:rsid w:val="00241E04"/>
    <w:rsid w:val="002433A1"/>
    <w:rsid w:val="00244AA1"/>
    <w:rsid w:val="00244BE0"/>
    <w:rsid w:val="002456A7"/>
    <w:rsid w:val="0024571B"/>
    <w:rsid w:val="00246115"/>
    <w:rsid w:val="00246173"/>
    <w:rsid w:val="002466AA"/>
    <w:rsid w:val="00246F9A"/>
    <w:rsid w:val="00247323"/>
    <w:rsid w:val="0024774C"/>
    <w:rsid w:val="00247F4F"/>
    <w:rsid w:val="00250B93"/>
    <w:rsid w:val="00251328"/>
    <w:rsid w:val="002519D2"/>
    <w:rsid w:val="00251B9A"/>
    <w:rsid w:val="00251FDD"/>
    <w:rsid w:val="0025255D"/>
    <w:rsid w:val="002527D9"/>
    <w:rsid w:val="002532E2"/>
    <w:rsid w:val="00254866"/>
    <w:rsid w:val="0025512C"/>
    <w:rsid w:val="002564C0"/>
    <w:rsid w:val="002572CD"/>
    <w:rsid w:val="00257339"/>
    <w:rsid w:val="00260131"/>
    <w:rsid w:val="002628A2"/>
    <w:rsid w:val="002630FD"/>
    <w:rsid w:val="00263362"/>
    <w:rsid w:val="0026469D"/>
    <w:rsid w:val="00264AC0"/>
    <w:rsid w:val="00264CDE"/>
    <w:rsid w:val="00265A26"/>
    <w:rsid w:val="00266034"/>
    <w:rsid w:val="00267232"/>
    <w:rsid w:val="002708B1"/>
    <w:rsid w:val="00270CCF"/>
    <w:rsid w:val="0027146F"/>
    <w:rsid w:val="002714D6"/>
    <w:rsid w:val="00271936"/>
    <w:rsid w:val="00272A08"/>
    <w:rsid w:val="00273ABC"/>
    <w:rsid w:val="0027446A"/>
    <w:rsid w:val="00276528"/>
    <w:rsid w:val="002776DF"/>
    <w:rsid w:val="00277B1B"/>
    <w:rsid w:val="0028294E"/>
    <w:rsid w:val="00282ACB"/>
    <w:rsid w:val="0028532A"/>
    <w:rsid w:val="002859CB"/>
    <w:rsid w:val="00285A75"/>
    <w:rsid w:val="00285C37"/>
    <w:rsid w:val="00285C82"/>
    <w:rsid w:val="00285EDD"/>
    <w:rsid w:val="00286BF7"/>
    <w:rsid w:val="00287822"/>
    <w:rsid w:val="00291366"/>
    <w:rsid w:val="002920A0"/>
    <w:rsid w:val="0029258C"/>
    <w:rsid w:val="0029334D"/>
    <w:rsid w:val="0029360E"/>
    <w:rsid w:val="00293835"/>
    <w:rsid w:val="00294027"/>
    <w:rsid w:val="00295A01"/>
    <w:rsid w:val="00295D54"/>
    <w:rsid w:val="002A038D"/>
    <w:rsid w:val="002A0644"/>
    <w:rsid w:val="002A142A"/>
    <w:rsid w:val="002A26D2"/>
    <w:rsid w:val="002A4116"/>
    <w:rsid w:val="002A6434"/>
    <w:rsid w:val="002A722A"/>
    <w:rsid w:val="002A77FA"/>
    <w:rsid w:val="002A7D61"/>
    <w:rsid w:val="002B045C"/>
    <w:rsid w:val="002B07C0"/>
    <w:rsid w:val="002B3810"/>
    <w:rsid w:val="002B3831"/>
    <w:rsid w:val="002B3BE1"/>
    <w:rsid w:val="002B3C9E"/>
    <w:rsid w:val="002B4212"/>
    <w:rsid w:val="002B7049"/>
    <w:rsid w:val="002C0394"/>
    <w:rsid w:val="002C07A1"/>
    <w:rsid w:val="002C09F3"/>
    <w:rsid w:val="002C14D3"/>
    <w:rsid w:val="002C1943"/>
    <w:rsid w:val="002C1CD7"/>
    <w:rsid w:val="002C239F"/>
    <w:rsid w:val="002C23C0"/>
    <w:rsid w:val="002C2563"/>
    <w:rsid w:val="002C3838"/>
    <w:rsid w:val="002C3C52"/>
    <w:rsid w:val="002C5711"/>
    <w:rsid w:val="002C67B0"/>
    <w:rsid w:val="002C71D8"/>
    <w:rsid w:val="002C7450"/>
    <w:rsid w:val="002C7686"/>
    <w:rsid w:val="002C7D4D"/>
    <w:rsid w:val="002D08A1"/>
    <w:rsid w:val="002D0D8E"/>
    <w:rsid w:val="002D103A"/>
    <w:rsid w:val="002D1086"/>
    <w:rsid w:val="002D14E4"/>
    <w:rsid w:val="002D18D9"/>
    <w:rsid w:val="002D1CB5"/>
    <w:rsid w:val="002D1E5F"/>
    <w:rsid w:val="002D2062"/>
    <w:rsid w:val="002D3862"/>
    <w:rsid w:val="002D3C7B"/>
    <w:rsid w:val="002D40F4"/>
    <w:rsid w:val="002D429B"/>
    <w:rsid w:val="002D42D8"/>
    <w:rsid w:val="002D480C"/>
    <w:rsid w:val="002D553D"/>
    <w:rsid w:val="002D58AB"/>
    <w:rsid w:val="002D5D57"/>
    <w:rsid w:val="002D5ED7"/>
    <w:rsid w:val="002D6635"/>
    <w:rsid w:val="002E0696"/>
    <w:rsid w:val="002E0708"/>
    <w:rsid w:val="002E108C"/>
    <w:rsid w:val="002E1C43"/>
    <w:rsid w:val="002E22FD"/>
    <w:rsid w:val="002E2720"/>
    <w:rsid w:val="002E2FAA"/>
    <w:rsid w:val="002E4CB8"/>
    <w:rsid w:val="002E52C0"/>
    <w:rsid w:val="002E642F"/>
    <w:rsid w:val="002E6446"/>
    <w:rsid w:val="002E66A0"/>
    <w:rsid w:val="002E7B48"/>
    <w:rsid w:val="002F027D"/>
    <w:rsid w:val="002F057B"/>
    <w:rsid w:val="002F0F9A"/>
    <w:rsid w:val="002F15F0"/>
    <w:rsid w:val="002F29FE"/>
    <w:rsid w:val="002F37F8"/>
    <w:rsid w:val="002F45A0"/>
    <w:rsid w:val="002F5016"/>
    <w:rsid w:val="002F524E"/>
    <w:rsid w:val="002F6669"/>
    <w:rsid w:val="002F69ED"/>
    <w:rsid w:val="002F6FFB"/>
    <w:rsid w:val="002F7FA2"/>
    <w:rsid w:val="00300421"/>
    <w:rsid w:val="0030229A"/>
    <w:rsid w:val="00302352"/>
    <w:rsid w:val="00302F49"/>
    <w:rsid w:val="00303B0D"/>
    <w:rsid w:val="003048E8"/>
    <w:rsid w:val="003053FA"/>
    <w:rsid w:val="003058C6"/>
    <w:rsid w:val="00305CF6"/>
    <w:rsid w:val="00305D98"/>
    <w:rsid w:val="003060D9"/>
    <w:rsid w:val="0030745B"/>
    <w:rsid w:val="00307EB2"/>
    <w:rsid w:val="00310144"/>
    <w:rsid w:val="003107F7"/>
    <w:rsid w:val="00311743"/>
    <w:rsid w:val="00311DE4"/>
    <w:rsid w:val="003126EF"/>
    <w:rsid w:val="00312C76"/>
    <w:rsid w:val="00313075"/>
    <w:rsid w:val="0031323D"/>
    <w:rsid w:val="00313A22"/>
    <w:rsid w:val="00314115"/>
    <w:rsid w:val="003146B0"/>
    <w:rsid w:val="00315E60"/>
    <w:rsid w:val="00315FAD"/>
    <w:rsid w:val="00316B20"/>
    <w:rsid w:val="00316B30"/>
    <w:rsid w:val="00316E54"/>
    <w:rsid w:val="00317B80"/>
    <w:rsid w:val="00317C4C"/>
    <w:rsid w:val="0032077B"/>
    <w:rsid w:val="00320B83"/>
    <w:rsid w:val="003214F7"/>
    <w:rsid w:val="003220CF"/>
    <w:rsid w:val="00322275"/>
    <w:rsid w:val="0032285C"/>
    <w:rsid w:val="00323498"/>
    <w:rsid w:val="00324852"/>
    <w:rsid w:val="00324B99"/>
    <w:rsid w:val="003256F8"/>
    <w:rsid w:val="00325998"/>
    <w:rsid w:val="00325C72"/>
    <w:rsid w:val="00330655"/>
    <w:rsid w:val="00330704"/>
    <w:rsid w:val="00331C79"/>
    <w:rsid w:val="0033231C"/>
    <w:rsid w:val="0033252D"/>
    <w:rsid w:val="003327BC"/>
    <w:rsid w:val="00332F24"/>
    <w:rsid w:val="00333128"/>
    <w:rsid w:val="00333463"/>
    <w:rsid w:val="00333851"/>
    <w:rsid w:val="00333877"/>
    <w:rsid w:val="00333E61"/>
    <w:rsid w:val="00334555"/>
    <w:rsid w:val="00334E8C"/>
    <w:rsid w:val="00335182"/>
    <w:rsid w:val="003353E6"/>
    <w:rsid w:val="00335798"/>
    <w:rsid w:val="0033653A"/>
    <w:rsid w:val="00337E04"/>
    <w:rsid w:val="00341EEA"/>
    <w:rsid w:val="00343299"/>
    <w:rsid w:val="003438FC"/>
    <w:rsid w:val="00343973"/>
    <w:rsid w:val="00345014"/>
    <w:rsid w:val="00345932"/>
    <w:rsid w:val="00346069"/>
    <w:rsid w:val="0034630F"/>
    <w:rsid w:val="00346822"/>
    <w:rsid w:val="0034755F"/>
    <w:rsid w:val="0035039D"/>
    <w:rsid w:val="003507B9"/>
    <w:rsid w:val="00351780"/>
    <w:rsid w:val="0035265A"/>
    <w:rsid w:val="00352D85"/>
    <w:rsid w:val="0035304C"/>
    <w:rsid w:val="0035420B"/>
    <w:rsid w:val="00354B94"/>
    <w:rsid w:val="003556D0"/>
    <w:rsid w:val="0035595E"/>
    <w:rsid w:val="003560FA"/>
    <w:rsid w:val="00357B73"/>
    <w:rsid w:val="003606F6"/>
    <w:rsid w:val="00360AC3"/>
    <w:rsid w:val="00360C06"/>
    <w:rsid w:val="00361753"/>
    <w:rsid w:val="00361759"/>
    <w:rsid w:val="003619B5"/>
    <w:rsid w:val="00361BC5"/>
    <w:rsid w:val="00361CA2"/>
    <w:rsid w:val="00361CDF"/>
    <w:rsid w:val="00361D92"/>
    <w:rsid w:val="00362051"/>
    <w:rsid w:val="003633AC"/>
    <w:rsid w:val="003633AF"/>
    <w:rsid w:val="00363684"/>
    <w:rsid w:val="0036619D"/>
    <w:rsid w:val="00366935"/>
    <w:rsid w:val="00366FA9"/>
    <w:rsid w:val="0036744D"/>
    <w:rsid w:val="003674D7"/>
    <w:rsid w:val="0037100A"/>
    <w:rsid w:val="00371429"/>
    <w:rsid w:val="00371469"/>
    <w:rsid w:val="003716AC"/>
    <w:rsid w:val="00371ECA"/>
    <w:rsid w:val="003744D5"/>
    <w:rsid w:val="00375B7E"/>
    <w:rsid w:val="00376E81"/>
    <w:rsid w:val="00377DA9"/>
    <w:rsid w:val="0038000F"/>
    <w:rsid w:val="00380C07"/>
    <w:rsid w:val="00380EFD"/>
    <w:rsid w:val="00381727"/>
    <w:rsid w:val="00381B71"/>
    <w:rsid w:val="00382228"/>
    <w:rsid w:val="00382BB2"/>
    <w:rsid w:val="003835B9"/>
    <w:rsid w:val="00385407"/>
    <w:rsid w:val="00385C46"/>
    <w:rsid w:val="00385EEF"/>
    <w:rsid w:val="00387E9B"/>
    <w:rsid w:val="003901F5"/>
    <w:rsid w:val="00391A79"/>
    <w:rsid w:val="003925B2"/>
    <w:rsid w:val="0039272C"/>
    <w:rsid w:val="00392860"/>
    <w:rsid w:val="0039509B"/>
    <w:rsid w:val="0039576F"/>
    <w:rsid w:val="0039631C"/>
    <w:rsid w:val="00396F2E"/>
    <w:rsid w:val="003974D0"/>
    <w:rsid w:val="003A0C9B"/>
    <w:rsid w:val="003A423D"/>
    <w:rsid w:val="003A4D62"/>
    <w:rsid w:val="003A575A"/>
    <w:rsid w:val="003A59EE"/>
    <w:rsid w:val="003A6C3D"/>
    <w:rsid w:val="003A712F"/>
    <w:rsid w:val="003B2F5F"/>
    <w:rsid w:val="003B3161"/>
    <w:rsid w:val="003B31CD"/>
    <w:rsid w:val="003B33D5"/>
    <w:rsid w:val="003B3B4D"/>
    <w:rsid w:val="003B535F"/>
    <w:rsid w:val="003B549C"/>
    <w:rsid w:val="003B5630"/>
    <w:rsid w:val="003B62A4"/>
    <w:rsid w:val="003B6448"/>
    <w:rsid w:val="003B64DB"/>
    <w:rsid w:val="003B73DA"/>
    <w:rsid w:val="003B7C89"/>
    <w:rsid w:val="003C04DE"/>
    <w:rsid w:val="003C0829"/>
    <w:rsid w:val="003C0986"/>
    <w:rsid w:val="003C0FCB"/>
    <w:rsid w:val="003C2150"/>
    <w:rsid w:val="003C251D"/>
    <w:rsid w:val="003C2AC3"/>
    <w:rsid w:val="003C2EEB"/>
    <w:rsid w:val="003C2FE3"/>
    <w:rsid w:val="003C37E6"/>
    <w:rsid w:val="003C42DA"/>
    <w:rsid w:val="003C49ED"/>
    <w:rsid w:val="003C5549"/>
    <w:rsid w:val="003C59EC"/>
    <w:rsid w:val="003C5F2F"/>
    <w:rsid w:val="003C615E"/>
    <w:rsid w:val="003C6521"/>
    <w:rsid w:val="003C7FC0"/>
    <w:rsid w:val="003D0C90"/>
    <w:rsid w:val="003D1CA4"/>
    <w:rsid w:val="003D269E"/>
    <w:rsid w:val="003D32CF"/>
    <w:rsid w:val="003D389D"/>
    <w:rsid w:val="003D3D5A"/>
    <w:rsid w:val="003D48AA"/>
    <w:rsid w:val="003D697B"/>
    <w:rsid w:val="003E044C"/>
    <w:rsid w:val="003E0697"/>
    <w:rsid w:val="003E12C6"/>
    <w:rsid w:val="003E1CC7"/>
    <w:rsid w:val="003E23D9"/>
    <w:rsid w:val="003E2F04"/>
    <w:rsid w:val="003E40C5"/>
    <w:rsid w:val="003E42D6"/>
    <w:rsid w:val="003E53FC"/>
    <w:rsid w:val="003E5533"/>
    <w:rsid w:val="003E5AA0"/>
    <w:rsid w:val="003E69F5"/>
    <w:rsid w:val="003E6A65"/>
    <w:rsid w:val="003E6D2A"/>
    <w:rsid w:val="003E71FD"/>
    <w:rsid w:val="003E7529"/>
    <w:rsid w:val="003E7AEB"/>
    <w:rsid w:val="003F12C0"/>
    <w:rsid w:val="003F161E"/>
    <w:rsid w:val="003F1F84"/>
    <w:rsid w:val="003F22C4"/>
    <w:rsid w:val="003F2B98"/>
    <w:rsid w:val="003F335D"/>
    <w:rsid w:val="003F344D"/>
    <w:rsid w:val="003F3E62"/>
    <w:rsid w:val="003F4E61"/>
    <w:rsid w:val="003F5CA9"/>
    <w:rsid w:val="003F5FAE"/>
    <w:rsid w:val="003F68E1"/>
    <w:rsid w:val="003F6C1F"/>
    <w:rsid w:val="003F6F12"/>
    <w:rsid w:val="003F7B13"/>
    <w:rsid w:val="003F7B4C"/>
    <w:rsid w:val="00400CF4"/>
    <w:rsid w:val="00401BF0"/>
    <w:rsid w:val="00401FA0"/>
    <w:rsid w:val="00402DB9"/>
    <w:rsid w:val="004032B0"/>
    <w:rsid w:val="00403450"/>
    <w:rsid w:val="00405647"/>
    <w:rsid w:val="00410309"/>
    <w:rsid w:val="0041032B"/>
    <w:rsid w:val="00411316"/>
    <w:rsid w:val="00411DD0"/>
    <w:rsid w:val="004124D4"/>
    <w:rsid w:val="00412BE6"/>
    <w:rsid w:val="0041311D"/>
    <w:rsid w:val="0041498E"/>
    <w:rsid w:val="00415352"/>
    <w:rsid w:val="00415C68"/>
    <w:rsid w:val="00416356"/>
    <w:rsid w:val="0041650F"/>
    <w:rsid w:val="00416649"/>
    <w:rsid w:val="00416888"/>
    <w:rsid w:val="00416B17"/>
    <w:rsid w:val="00417672"/>
    <w:rsid w:val="004204AB"/>
    <w:rsid w:val="00420D63"/>
    <w:rsid w:val="004214DB"/>
    <w:rsid w:val="00421BDE"/>
    <w:rsid w:val="00422A60"/>
    <w:rsid w:val="00423824"/>
    <w:rsid w:val="00424056"/>
    <w:rsid w:val="00424E40"/>
    <w:rsid w:val="004251E8"/>
    <w:rsid w:val="00425914"/>
    <w:rsid w:val="00425D93"/>
    <w:rsid w:val="00426319"/>
    <w:rsid w:val="00427701"/>
    <w:rsid w:val="004306D3"/>
    <w:rsid w:val="00430A9E"/>
    <w:rsid w:val="00430EFA"/>
    <w:rsid w:val="00431765"/>
    <w:rsid w:val="00432118"/>
    <w:rsid w:val="004328DC"/>
    <w:rsid w:val="004335F9"/>
    <w:rsid w:val="00435C52"/>
    <w:rsid w:val="004362D0"/>
    <w:rsid w:val="00436453"/>
    <w:rsid w:val="00436A88"/>
    <w:rsid w:val="00437035"/>
    <w:rsid w:val="0043738A"/>
    <w:rsid w:val="004406B9"/>
    <w:rsid w:val="00440AC7"/>
    <w:rsid w:val="004411F1"/>
    <w:rsid w:val="00442417"/>
    <w:rsid w:val="004427CC"/>
    <w:rsid w:val="004428B3"/>
    <w:rsid w:val="004436C9"/>
    <w:rsid w:val="00444700"/>
    <w:rsid w:val="00444927"/>
    <w:rsid w:val="00444A34"/>
    <w:rsid w:val="00445FEE"/>
    <w:rsid w:val="0044618B"/>
    <w:rsid w:val="0044622B"/>
    <w:rsid w:val="0044708B"/>
    <w:rsid w:val="004502A6"/>
    <w:rsid w:val="00451145"/>
    <w:rsid w:val="00451341"/>
    <w:rsid w:val="00451991"/>
    <w:rsid w:val="004536D2"/>
    <w:rsid w:val="00453C5E"/>
    <w:rsid w:val="00453F6B"/>
    <w:rsid w:val="00454615"/>
    <w:rsid w:val="00454A52"/>
    <w:rsid w:val="00454EAD"/>
    <w:rsid w:val="00455985"/>
    <w:rsid w:val="0045608D"/>
    <w:rsid w:val="0045656D"/>
    <w:rsid w:val="00457715"/>
    <w:rsid w:val="00457D7F"/>
    <w:rsid w:val="004601D1"/>
    <w:rsid w:val="00460C2E"/>
    <w:rsid w:val="0046110B"/>
    <w:rsid w:val="004615B9"/>
    <w:rsid w:val="00462157"/>
    <w:rsid w:val="00463113"/>
    <w:rsid w:val="004634B8"/>
    <w:rsid w:val="00463900"/>
    <w:rsid w:val="00464C62"/>
    <w:rsid w:val="00465908"/>
    <w:rsid w:val="004664FA"/>
    <w:rsid w:val="00466E61"/>
    <w:rsid w:val="00467351"/>
    <w:rsid w:val="00467A56"/>
    <w:rsid w:val="00467B5B"/>
    <w:rsid w:val="004701DB"/>
    <w:rsid w:val="00470BEE"/>
    <w:rsid w:val="00470F78"/>
    <w:rsid w:val="00471984"/>
    <w:rsid w:val="00472289"/>
    <w:rsid w:val="00474775"/>
    <w:rsid w:val="0047493A"/>
    <w:rsid w:val="00474BC9"/>
    <w:rsid w:val="00475B53"/>
    <w:rsid w:val="00476319"/>
    <w:rsid w:val="00476657"/>
    <w:rsid w:val="004769E0"/>
    <w:rsid w:val="00480271"/>
    <w:rsid w:val="0048061D"/>
    <w:rsid w:val="00481797"/>
    <w:rsid w:val="00481B4B"/>
    <w:rsid w:val="004822F8"/>
    <w:rsid w:val="00482AB9"/>
    <w:rsid w:val="00482C7C"/>
    <w:rsid w:val="004831AE"/>
    <w:rsid w:val="004833E1"/>
    <w:rsid w:val="004834D1"/>
    <w:rsid w:val="00484339"/>
    <w:rsid w:val="00484D42"/>
    <w:rsid w:val="004858E8"/>
    <w:rsid w:val="00486385"/>
    <w:rsid w:val="00487C3A"/>
    <w:rsid w:val="00490C4C"/>
    <w:rsid w:val="00490DCD"/>
    <w:rsid w:val="00491444"/>
    <w:rsid w:val="004925BE"/>
    <w:rsid w:val="00492D31"/>
    <w:rsid w:val="0049341C"/>
    <w:rsid w:val="00493BAC"/>
    <w:rsid w:val="00494826"/>
    <w:rsid w:val="00495731"/>
    <w:rsid w:val="00495E9B"/>
    <w:rsid w:val="0049729C"/>
    <w:rsid w:val="004972B7"/>
    <w:rsid w:val="004975FD"/>
    <w:rsid w:val="004A2126"/>
    <w:rsid w:val="004A2AB2"/>
    <w:rsid w:val="004A31B9"/>
    <w:rsid w:val="004A3B86"/>
    <w:rsid w:val="004A4801"/>
    <w:rsid w:val="004A5498"/>
    <w:rsid w:val="004A5525"/>
    <w:rsid w:val="004A639C"/>
    <w:rsid w:val="004A6631"/>
    <w:rsid w:val="004A72E4"/>
    <w:rsid w:val="004A7897"/>
    <w:rsid w:val="004A7FC2"/>
    <w:rsid w:val="004B07DB"/>
    <w:rsid w:val="004B0875"/>
    <w:rsid w:val="004B0CF7"/>
    <w:rsid w:val="004B1FB5"/>
    <w:rsid w:val="004B2149"/>
    <w:rsid w:val="004B34CB"/>
    <w:rsid w:val="004B36A6"/>
    <w:rsid w:val="004B3DC1"/>
    <w:rsid w:val="004B3EE7"/>
    <w:rsid w:val="004B448F"/>
    <w:rsid w:val="004B5471"/>
    <w:rsid w:val="004B5474"/>
    <w:rsid w:val="004B5C0C"/>
    <w:rsid w:val="004B5D75"/>
    <w:rsid w:val="004B60CB"/>
    <w:rsid w:val="004B6115"/>
    <w:rsid w:val="004B6591"/>
    <w:rsid w:val="004B7ACA"/>
    <w:rsid w:val="004B7E47"/>
    <w:rsid w:val="004C03A9"/>
    <w:rsid w:val="004C1BBE"/>
    <w:rsid w:val="004C24D0"/>
    <w:rsid w:val="004C26A3"/>
    <w:rsid w:val="004C3052"/>
    <w:rsid w:val="004C36A3"/>
    <w:rsid w:val="004C4F9B"/>
    <w:rsid w:val="004C7A40"/>
    <w:rsid w:val="004C7C9A"/>
    <w:rsid w:val="004C7F47"/>
    <w:rsid w:val="004D0483"/>
    <w:rsid w:val="004D1295"/>
    <w:rsid w:val="004D15DD"/>
    <w:rsid w:val="004D186C"/>
    <w:rsid w:val="004D1D0E"/>
    <w:rsid w:val="004D281D"/>
    <w:rsid w:val="004D2D8A"/>
    <w:rsid w:val="004D3EC6"/>
    <w:rsid w:val="004D4303"/>
    <w:rsid w:val="004D4E2B"/>
    <w:rsid w:val="004D4F5C"/>
    <w:rsid w:val="004D511A"/>
    <w:rsid w:val="004D5AB7"/>
    <w:rsid w:val="004D6088"/>
    <w:rsid w:val="004D67CF"/>
    <w:rsid w:val="004E0CAD"/>
    <w:rsid w:val="004E1591"/>
    <w:rsid w:val="004E1FA0"/>
    <w:rsid w:val="004E2A86"/>
    <w:rsid w:val="004E3461"/>
    <w:rsid w:val="004E34E2"/>
    <w:rsid w:val="004E377D"/>
    <w:rsid w:val="004E41CF"/>
    <w:rsid w:val="004E4A74"/>
    <w:rsid w:val="004E569A"/>
    <w:rsid w:val="004E5894"/>
    <w:rsid w:val="004E5A2F"/>
    <w:rsid w:val="004E6CBA"/>
    <w:rsid w:val="004E74EE"/>
    <w:rsid w:val="004E76B8"/>
    <w:rsid w:val="004E7A7A"/>
    <w:rsid w:val="004F018E"/>
    <w:rsid w:val="004F0400"/>
    <w:rsid w:val="004F040F"/>
    <w:rsid w:val="004F0749"/>
    <w:rsid w:val="004F07D0"/>
    <w:rsid w:val="004F1AD0"/>
    <w:rsid w:val="004F238D"/>
    <w:rsid w:val="004F3D1F"/>
    <w:rsid w:val="004F4C62"/>
    <w:rsid w:val="004F5A86"/>
    <w:rsid w:val="004F687F"/>
    <w:rsid w:val="004F7C0A"/>
    <w:rsid w:val="00500227"/>
    <w:rsid w:val="00500897"/>
    <w:rsid w:val="00500DBB"/>
    <w:rsid w:val="00501D6D"/>
    <w:rsid w:val="00502BD0"/>
    <w:rsid w:val="00502F02"/>
    <w:rsid w:val="00503A91"/>
    <w:rsid w:val="00503DCC"/>
    <w:rsid w:val="00504284"/>
    <w:rsid w:val="00504D84"/>
    <w:rsid w:val="00504F75"/>
    <w:rsid w:val="00505B4F"/>
    <w:rsid w:val="005079B8"/>
    <w:rsid w:val="00507C48"/>
    <w:rsid w:val="00507C49"/>
    <w:rsid w:val="00507EDA"/>
    <w:rsid w:val="005103D5"/>
    <w:rsid w:val="0051042B"/>
    <w:rsid w:val="005104D4"/>
    <w:rsid w:val="005111D1"/>
    <w:rsid w:val="00511623"/>
    <w:rsid w:val="00512C3F"/>
    <w:rsid w:val="00512D08"/>
    <w:rsid w:val="0051394C"/>
    <w:rsid w:val="005142A2"/>
    <w:rsid w:val="005143BC"/>
    <w:rsid w:val="00514DE4"/>
    <w:rsid w:val="00515298"/>
    <w:rsid w:val="005157FA"/>
    <w:rsid w:val="00520131"/>
    <w:rsid w:val="00522224"/>
    <w:rsid w:val="005229B6"/>
    <w:rsid w:val="00522E63"/>
    <w:rsid w:val="005248A7"/>
    <w:rsid w:val="00525D16"/>
    <w:rsid w:val="00526B10"/>
    <w:rsid w:val="005274B5"/>
    <w:rsid w:val="00527959"/>
    <w:rsid w:val="00527D15"/>
    <w:rsid w:val="00530FE4"/>
    <w:rsid w:val="005311F6"/>
    <w:rsid w:val="00531613"/>
    <w:rsid w:val="00534F89"/>
    <w:rsid w:val="0053523C"/>
    <w:rsid w:val="0053540F"/>
    <w:rsid w:val="005359C1"/>
    <w:rsid w:val="00536704"/>
    <w:rsid w:val="0053678D"/>
    <w:rsid w:val="00537C70"/>
    <w:rsid w:val="005409FC"/>
    <w:rsid w:val="00540BAB"/>
    <w:rsid w:val="005414CE"/>
    <w:rsid w:val="005419E6"/>
    <w:rsid w:val="00542751"/>
    <w:rsid w:val="00542A50"/>
    <w:rsid w:val="0054306E"/>
    <w:rsid w:val="005434BD"/>
    <w:rsid w:val="0054380E"/>
    <w:rsid w:val="00544B7D"/>
    <w:rsid w:val="005450F9"/>
    <w:rsid w:val="00545700"/>
    <w:rsid w:val="00545B9B"/>
    <w:rsid w:val="00545D3B"/>
    <w:rsid w:val="005465F1"/>
    <w:rsid w:val="00546A79"/>
    <w:rsid w:val="00547683"/>
    <w:rsid w:val="00550435"/>
    <w:rsid w:val="0055288D"/>
    <w:rsid w:val="005538B2"/>
    <w:rsid w:val="00554156"/>
    <w:rsid w:val="00555979"/>
    <w:rsid w:val="00555BC6"/>
    <w:rsid w:val="00561154"/>
    <w:rsid w:val="005625FE"/>
    <w:rsid w:val="00562721"/>
    <w:rsid w:val="00563278"/>
    <w:rsid w:val="00564655"/>
    <w:rsid w:val="00564F85"/>
    <w:rsid w:val="005663A7"/>
    <w:rsid w:val="00566D1C"/>
    <w:rsid w:val="005675CD"/>
    <w:rsid w:val="00570CF9"/>
    <w:rsid w:val="00570DAB"/>
    <w:rsid w:val="005710DA"/>
    <w:rsid w:val="00571FC5"/>
    <w:rsid w:val="005723BE"/>
    <w:rsid w:val="00572602"/>
    <w:rsid w:val="00572D7B"/>
    <w:rsid w:val="005749BA"/>
    <w:rsid w:val="005749EB"/>
    <w:rsid w:val="005755A1"/>
    <w:rsid w:val="00575DFD"/>
    <w:rsid w:val="005768F9"/>
    <w:rsid w:val="0057754B"/>
    <w:rsid w:val="0058070B"/>
    <w:rsid w:val="00580BCB"/>
    <w:rsid w:val="005821C9"/>
    <w:rsid w:val="00582455"/>
    <w:rsid w:val="00582CC1"/>
    <w:rsid w:val="0058340D"/>
    <w:rsid w:val="00584A56"/>
    <w:rsid w:val="00584BBB"/>
    <w:rsid w:val="00585419"/>
    <w:rsid w:val="0058548A"/>
    <w:rsid w:val="00585540"/>
    <w:rsid w:val="00585FD8"/>
    <w:rsid w:val="005870A6"/>
    <w:rsid w:val="00587A60"/>
    <w:rsid w:val="0059028D"/>
    <w:rsid w:val="0059038B"/>
    <w:rsid w:val="00590EC4"/>
    <w:rsid w:val="0059121C"/>
    <w:rsid w:val="0059215C"/>
    <w:rsid w:val="005928F4"/>
    <w:rsid w:val="0059304C"/>
    <w:rsid w:val="00593984"/>
    <w:rsid w:val="0059445D"/>
    <w:rsid w:val="00595115"/>
    <w:rsid w:val="0059559C"/>
    <w:rsid w:val="0059594A"/>
    <w:rsid w:val="0059613B"/>
    <w:rsid w:val="00596BBC"/>
    <w:rsid w:val="0059702C"/>
    <w:rsid w:val="0059791E"/>
    <w:rsid w:val="005A02B9"/>
    <w:rsid w:val="005A04D5"/>
    <w:rsid w:val="005A0E9C"/>
    <w:rsid w:val="005A1074"/>
    <w:rsid w:val="005A1750"/>
    <w:rsid w:val="005A1A06"/>
    <w:rsid w:val="005A2E94"/>
    <w:rsid w:val="005A3971"/>
    <w:rsid w:val="005A3CEF"/>
    <w:rsid w:val="005A45A3"/>
    <w:rsid w:val="005A497D"/>
    <w:rsid w:val="005A4E29"/>
    <w:rsid w:val="005A5156"/>
    <w:rsid w:val="005A519D"/>
    <w:rsid w:val="005A67BE"/>
    <w:rsid w:val="005B02EB"/>
    <w:rsid w:val="005B0A81"/>
    <w:rsid w:val="005B27BD"/>
    <w:rsid w:val="005B2E17"/>
    <w:rsid w:val="005B2FAC"/>
    <w:rsid w:val="005B3586"/>
    <w:rsid w:val="005B3B28"/>
    <w:rsid w:val="005B447C"/>
    <w:rsid w:val="005B4768"/>
    <w:rsid w:val="005B4A26"/>
    <w:rsid w:val="005B6237"/>
    <w:rsid w:val="005B6B3E"/>
    <w:rsid w:val="005B7490"/>
    <w:rsid w:val="005C110E"/>
    <w:rsid w:val="005C1509"/>
    <w:rsid w:val="005C1A7B"/>
    <w:rsid w:val="005C1BF2"/>
    <w:rsid w:val="005C2AEE"/>
    <w:rsid w:val="005C2FE6"/>
    <w:rsid w:val="005C35AB"/>
    <w:rsid w:val="005C3EB9"/>
    <w:rsid w:val="005C41B9"/>
    <w:rsid w:val="005C44C0"/>
    <w:rsid w:val="005C56AD"/>
    <w:rsid w:val="005C590C"/>
    <w:rsid w:val="005C7408"/>
    <w:rsid w:val="005C7A4E"/>
    <w:rsid w:val="005D00C3"/>
    <w:rsid w:val="005D0E22"/>
    <w:rsid w:val="005D3680"/>
    <w:rsid w:val="005D62B0"/>
    <w:rsid w:val="005D6937"/>
    <w:rsid w:val="005D75C1"/>
    <w:rsid w:val="005E126C"/>
    <w:rsid w:val="005E150A"/>
    <w:rsid w:val="005E236A"/>
    <w:rsid w:val="005E2F5C"/>
    <w:rsid w:val="005E2FBE"/>
    <w:rsid w:val="005E4A1F"/>
    <w:rsid w:val="005E52BF"/>
    <w:rsid w:val="005E5456"/>
    <w:rsid w:val="005E69B1"/>
    <w:rsid w:val="005F1044"/>
    <w:rsid w:val="005F2105"/>
    <w:rsid w:val="005F277B"/>
    <w:rsid w:val="005F2F70"/>
    <w:rsid w:val="005F3016"/>
    <w:rsid w:val="005F3282"/>
    <w:rsid w:val="005F34F4"/>
    <w:rsid w:val="005F3DE0"/>
    <w:rsid w:val="005F54DD"/>
    <w:rsid w:val="005F5EA9"/>
    <w:rsid w:val="005F7939"/>
    <w:rsid w:val="00600C98"/>
    <w:rsid w:val="00602D2D"/>
    <w:rsid w:val="00604C38"/>
    <w:rsid w:val="00604DB7"/>
    <w:rsid w:val="00605371"/>
    <w:rsid w:val="00606E32"/>
    <w:rsid w:val="006073F8"/>
    <w:rsid w:val="00610EAC"/>
    <w:rsid w:val="00612EBA"/>
    <w:rsid w:val="00613F32"/>
    <w:rsid w:val="00616B16"/>
    <w:rsid w:val="00617B84"/>
    <w:rsid w:val="00617E22"/>
    <w:rsid w:val="00620817"/>
    <w:rsid w:val="006208E0"/>
    <w:rsid w:val="00621C7C"/>
    <w:rsid w:val="00621D37"/>
    <w:rsid w:val="00621FB4"/>
    <w:rsid w:val="00623643"/>
    <w:rsid w:val="00624D59"/>
    <w:rsid w:val="006258FF"/>
    <w:rsid w:val="00626CDC"/>
    <w:rsid w:val="00626CFF"/>
    <w:rsid w:val="00626E91"/>
    <w:rsid w:val="00630B91"/>
    <w:rsid w:val="0063282C"/>
    <w:rsid w:val="006331D5"/>
    <w:rsid w:val="00633590"/>
    <w:rsid w:val="00633728"/>
    <w:rsid w:val="006339BD"/>
    <w:rsid w:val="00633B2E"/>
    <w:rsid w:val="0063438C"/>
    <w:rsid w:val="00634D2C"/>
    <w:rsid w:val="006355FF"/>
    <w:rsid w:val="00635C5C"/>
    <w:rsid w:val="00636011"/>
    <w:rsid w:val="00636329"/>
    <w:rsid w:val="00636458"/>
    <w:rsid w:val="006365E0"/>
    <w:rsid w:val="00636EB7"/>
    <w:rsid w:val="0063712C"/>
    <w:rsid w:val="006406D1"/>
    <w:rsid w:val="00640C42"/>
    <w:rsid w:val="0064101A"/>
    <w:rsid w:val="00641435"/>
    <w:rsid w:val="0064155B"/>
    <w:rsid w:val="00641AA0"/>
    <w:rsid w:val="006423A7"/>
    <w:rsid w:val="00642621"/>
    <w:rsid w:val="0064271E"/>
    <w:rsid w:val="00643332"/>
    <w:rsid w:val="00643749"/>
    <w:rsid w:val="00643C0C"/>
    <w:rsid w:val="00643EC1"/>
    <w:rsid w:val="00643F19"/>
    <w:rsid w:val="00644D77"/>
    <w:rsid w:val="00644DD6"/>
    <w:rsid w:val="006454EA"/>
    <w:rsid w:val="00645B47"/>
    <w:rsid w:val="00646561"/>
    <w:rsid w:val="00647B36"/>
    <w:rsid w:val="00647D00"/>
    <w:rsid w:val="00651B97"/>
    <w:rsid w:val="00651CFA"/>
    <w:rsid w:val="00652FF5"/>
    <w:rsid w:val="006532C6"/>
    <w:rsid w:val="00653844"/>
    <w:rsid w:val="00653CD0"/>
    <w:rsid w:val="00654855"/>
    <w:rsid w:val="0065538C"/>
    <w:rsid w:val="00655810"/>
    <w:rsid w:val="006559DB"/>
    <w:rsid w:val="00656813"/>
    <w:rsid w:val="00657749"/>
    <w:rsid w:val="006602D6"/>
    <w:rsid w:val="00660F72"/>
    <w:rsid w:val="00661DCB"/>
    <w:rsid w:val="006620A7"/>
    <w:rsid w:val="006627F9"/>
    <w:rsid w:val="00662F73"/>
    <w:rsid w:val="00663315"/>
    <w:rsid w:val="00663865"/>
    <w:rsid w:val="00663FCB"/>
    <w:rsid w:val="006656C9"/>
    <w:rsid w:val="00665BA8"/>
    <w:rsid w:val="00665C42"/>
    <w:rsid w:val="0066601F"/>
    <w:rsid w:val="00666377"/>
    <w:rsid w:val="0066676B"/>
    <w:rsid w:val="006670DA"/>
    <w:rsid w:val="00667536"/>
    <w:rsid w:val="0067041E"/>
    <w:rsid w:val="006704E5"/>
    <w:rsid w:val="00670C48"/>
    <w:rsid w:val="00670CEC"/>
    <w:rsid w:val="0067144D"/>
    <w:rsid w:val="00671951"/>
    <w:rsid w:val="00672041"/>
    <w:rsid w:val="00672089"/>
    <w:rsid w:val="006720AD"/>
    <w:rsid w:val="00673091"/>
    <w:rsid w:val="00673DF2"/>
    <w:rsid w:val="00673E7A"/>
    <w:rsid w:val="00674673"/>
    <w:rsid w:val="00676A5B"/>
    <w:rsid w:val="00677098"/>
    <w:rsid w:val="006776B7"/>
    <w:rsid w:val="00677F93"/>
    <w:rsid w:val="006800D8"/>
    <w:rsid w:val="00681535"/>
    <w:rsid w:val="006815BE"/>
    <w:rsid w:val="00681B32"/>
    <w:rsid w:val="00681CC1"/>
    <w:rsid w:val="00682440"/>
    <w:rsid w:val="00682796"/>
    <w:rsid w:val="00682865"/>
    <w:rsid w:val="00682894"/>
    <w:rsid w:val="00683172"/>
    <w:rsid w:val="00683D44"/>
    <w:rsid w:val="006858EE"/>
    <w:rsid w:val="006863C6"/>
    <w:rsid w:val="006865E5"/>
    <w:rsid w:val="006876BC"/>
    <w:rsid w:val="006879DB"/>
    <w:rsid w:val="00687E46"/>
    <w:rsid w:val="00687FAD"/>
    <w:rsid w:val="00690297"/>
    <w:rsid w:val="006905DC"/>
    <w:rsid w:val="00690A28"/>
    <w:rsid w:val="00690F0D"/>
    <w:rsid w:val="00691CD2"/>
    <w:rsid w:val="00692930"/>
    <w:rsid w:val="0069295F"/>
    <w:rsid w:val="0069329D"/>
    <w:rsid w:val="0069370D"/>
    <w:rsid w:val="006941B4"/>
    <w:rsid w:val="0069421E"/>
    <w:rsid w:val="006948D2"/>
    <w:rsid w:val="00694D01"/>
    <w:rsid w:val="00694FD0"/>
    <w:rsid w:val="00694FDB"/>
    <w:rsid w:val="0069516A"/>
    <w:rsid w:val="00695BD6"/>
    <w:rsid w:val="00695D18"/>
    <w:rsid w:val="00695D3F"/>
    <w:rsid w:val="00695F6F"/>
    <w:rsid w:val="0069625A"/>
    <w:rsid w:val="00696D22"/>
    <w:rsid w:val="00697659"/>
    <w:rsid w:val="006A0325"/>
    <w:rsid w:val="006A0A2D"/>
    <w:rsid w:val="006A18EE"/>
    <w:rsid w:val="006A1B03"/>
    <w:rsid w:val="006A2765"/>
    <w:rsid w:val="006A2D40"/>
    <w:rsid w:val="006A3137"/>
    <w:rsid w:val="006A3CD8"/>
    <w:rsid w:val="006A4159"/>
    <w:rsid w:val="006A71A0"/>
    <w:rsid w:val="006A7C8E"/>
    <w:rsid w:val="006A7E0D"/>
    <w:rsid w:val="006B0B63"/>
    <w:rsid w:val="006B18A0"/>
    <w:rsid w:val="006B28CF"/>
    <w:rsid w:val="006B2C82"/>
    <w:rsid w:val="006B4F8F"/>
    <w:rsid w:val="006B5249"/>
    <w:rsid w:val="006B63E4"/>
    <w:rsid w:val="006B69B8"/>
    <w:rsid w:val="006C0870"/>
    <w:rsid w:val="006C1538"/>
    <w:rsid w:val="006C2135"/>
    <w:rsid w:val="006C37A1"/>
    <w:rsid w:val="006C3A4A"/>
    <w:rsid w:val="006C4DF8"/>
    <w:rsid w:val="006C56D0"/>
    <w:rsid w:val="006C671F"/>
    <w:rsid w:val="006D02FF"/>
    <w:rsid w:val="006D0867"/>
    <w:rsid w:val="006D0BCA"/>
    <w:rsid w:val="006D20F4"/>
    <w:rsid w:val="006D2567"/>
    <w:rsid w:val="006D2731"/>
    <w:rsid w:val="006D3B71"/>
    <w:rsid w:val="006D4E7B"/>
    <w:rsid w:val="006D571B"/>
    <w:rsid w:val="006D5868"/>
    <w:rsid w:val="006D70ED"/>
    <w:rsid w:val="006D79B3"/>
    <w:rsid w:val="006E0700"/>
    <w:rsid w:val="006E1289"/>
    <w:rsid w:val="006E2D78"/>
    <w:rsid w:val="006E38EF"/>
    <w:rsid w:val="006E3A57"/>
    <w:rsid w:val="006E3E95"/>
    <w:rsid w:val="006E3F81"/>
    <w:rsid w:val="006E489B"/>
    <w:rsid w:val="006E5203"/>
    <w:rsid w:val="006E5BFF"/>
    <w:rsid w:val="006E7053"/>
    <w:rsid w:val="006E73C5"/>
    <w:rsid w:val="006E783B"/>
    <w:rsid w:val="006E789E"/>
    <w:rsid w:val="006E7C31"/>
    <w:rsid w:val="006F07F0"/>
    <w:rsid w:val="006F0C64"/>
    <w:rsid w:val="006F132A"/>
    <w:rsid w:val="006F1420"/>
    <w:rsid w:val="006F1923"/>
    <w:rsid w:val="006F2088"/>
    <w:rsid w:val="006F2DFF"/>
    <w:rsid w:val="006F30D4"/>
    <w:rsid w:val="006F33E8"/>
    <w:rsid w:val="006F3444"/>
    <w:rsid w:val="006F3ADA"/>
    <w:rsid w:val="006F3EC5"/>
    <w:rsid w:val="006F3FA1"/>
    <w:rsid w:val="006F423D"/>
    <w:rsid w:val="006F4622"/>
    <w:rsid w:val="006F5A3C"/>
    <w:rsid w:val="006F5D7B"/>
    <w:rsid w:val="006F6677"/>
    <w:rsid w:val="00700435"/>
    <w:rsid w:val="007005B1"/>
    <w:rsid w:val="00700EA5"/>
    <w:rsid w:val="00701100"/>
    <w:rsid w:val="00701DF7"/>
    <w:rsid w:val="00701F89"/>
    <w:rsid w:val="007024C7"/>
    <w:rsid w:val="00702E9C"/>
    <w:rsid w:val="007033F4"/>
    <w:rsid w:val="0070562B"/>
    <w:rsid w:val="007072AC"/>
    <w:rsid w:val="007075BC"/>
    <w:rsid w:val="00710AF5"/>
    <w:rsid w:val="007111C2"/>
    <w:rsid w:val="00711415"/>
    <w:rsid w:val="00711957"/>
    <w:rsid w:val="007122C5"/>
    <w:rsid w:val="007122D8"/>
    <w:rsid w:val="00712908"/>
    <w:rsid w:val="00712F85"/>
    <w:rsid w:val="0071388F"/>
    <w:rsid w:val="00713A75"/>
    <w:rsid w:val="00713C2B"/>
    <w:rsid w:val="00713E64"/>
    <w:rsid w:val="00714615"/>
    <w:rsid w:val="007146D2"/>
    <w:rsid w:val="00715D69"/>
    <w:rsid w:val="00715E53"/>
    <w:rsid w:val="00716B9D"/>
    <w:rsid w:val="007170C2"/>
    <w:rsid w:val="007171B7"/>
    <w:rsid w:val="0071730C"/>
    <w:rsid w:val="00717A8C"/>
    <w:rsid w:val="00717BE1"/>
    <w:rsid w:val="00721CAF"/>
    <w:rsid w:val="00721E70"/>
    <w:rsid w:val="00722E27"/>
    <w:rsid w:val="00722EE3"/>
    <w:rsid w:val="0072342C"/>
    <w:rsid w:val="007248A9"/>
    <w:rsid w:val="00725538"/>
    <w:rsid w:val="0072792D"/>
    <w:rsid w:val="00731624"/>
    <w:rsid w:val="00732903"/>
    <w:rsid w:val="00733270"/>
    <w:rsid w:val="007342A2"/>
    <w:rsid w:val="00734CC8"/>
    <w:rsid w:val="0073531A"/>
    <w:rsid w:val="007354DE"/>
    <w:rsid w:val="00735C23"/>
    <w:rsid w:val="00737943"/>
    <w:rsid w:val="00740DEB"/>
    <w:rsid w:val="007421F9"/>
    <w:rsid w:val="00743C74"/>
    <w:rsid w:val="00743FBB"/>
    <w:rsid w:val="00744742"/>
    <w:rsid w:val="00744814"/>
    <w:rsid w:val="00744FD5"/>
    <w:rsid w:val="0074506D"/>
    <w:rsid w:val="00745673"/>
    <w:rsid w:val="007458AC"/>
    <w:rsid w:val="00745D59"/>
    <w:rsid w:val="00746F04"/>
    <w:rsid w:val="00747715"/>
    <w:rsid w:val="0075146F"/>
    <w:rsid w:val="0075193E"/>
    <w:rsid w:val="00751EF2"/>
    <w:rsid w:val="007528D3"/>
    <w:rsid w:val="00753DD8"/>
    <w:rsid w:val="00753FB6"/>
    <w:rsid w:val="00754182"/>
    <w:rsid w:val="007554E9"/>
    <w:rsid w:val="007565C0"/>
    <w:rsid w:val="0075698E"/>
    <w:rsid w:val="007569ED"/>
    <w:rsid w:val="00757472"/>
    <w:rsid w:val="00757683"/>
    <w:rsid w:val="00760A93"/>
    <w:rsid w:val="00760FE4"/>
    <w:rsid w:val="00761171"/>
    <w:rsid w:val="007613DE"/>
    <w:rsid w:val="007616CF"/>
    <w:rsid w:val="0076323A"/>
    <w:rsid w:val="007632D8"/>
    <w:rsid w:val="007634AE"/>
    <w:rsid w:val="007641E2"/>
    <w:rsid w:val="0076480F"/>
    <w:rsid w:val="00764F7E"/>
    <w:rsid w:val="00765F0A"/>
    <w:rsid w:val="00766453"/>
    <w:rsid w:val="00766C40"/>
    <w:rsid w:val="00767531"/>
    <w:rsid w:val="0076788F"/>
    <w:rsid w:val="00770161"/>
    <w:rsid w:val="00771379"/>
    <w:rsid w:val="0077152C"/>
    <w:rsid w:val="0077165C"/>
    <w:rsid w:val="00772E4B"/>
    <w:rsid w:val="0077346A"/>
    <w:rsid w:val="00773DD6"/>
    <w:rsid w:val="00774679"/>
    <w:rsid w:val="0077564B"/>
    <w:rsid w:val="00775737"/>
    <w:rsid w:val="00775A46"/>
    <w:rsid w:val="00777120"/>
    <w:rsid w:val="0077732F"/>
    <w:rsid w:val="0077744C"/>
    <w:rsid w:val="00777972"/>
    <w:rsid w:val="007803C4"/>
    <w:rsid w:val="00781850"/>
    <w:rsid w:val="007824CD"/>
    <w:rsid w:val="00783972"/>
    <w:rsid w:val="0078463D"/>
    <w:rsid w:val="00784DCB"/>
    <w:rsid w:val="007853B4"/>
    <w:rsid w:val="007863E4"/>
    <w:rsid w:val="007867DF"/>
    <w:rsid w:val="007869E6"/>
    <w:rsid w:val="00786BFC"/>
    <w:rsid w:val="0078719E"/>
    <w:rsid w:val="0078798B"/>
    <w:rsid w:val="00787AE7"/>
    <w:rsid w:val="00792070"/>
    <w:rsid w:val="007920F2"/>
    <w:rsid w:val="0079228C"/>
    <w:rsid w:val="007932A5"/>
    <w:rsid w:val="007935FF"/>
    <w:rsid w:val="0079386C"/>
    <w:rsid w:val="00794024"/>
    <w:rsid w:val="00794286"/>
    <w:rsid w:val="00794546"/>
    <w:rsid w:val="007952DF"/>
    <w:rsid w:val="00795E5E"/>
    <w:rsid w:val="007963AF"/>
    <w:rsid w:val="007A17A2"/>
    <w:rsid w:val="007A17C0"/>
    <w:rsid w:val="007A1A87"/>
    <w:rsid w:val="007A1A8A"/>
    <w:rsid w:val="007A39D8"/>
    <w:rsid w:val="007A3A46"/>
    <w:rsid w:val="007A3C11"/>
    <w:rsid w:val="007A44F6"/>
    <w:rsid w:val="007A5194"/>
    <w:rsid w:val="007A5B18"/>
    <w:rsid w:val="007A5DFE"/>
    <w:rsid w:val="007A6249"/>
    <w:rsid w:val="007A6FE7"/>
    <w:rsid w:val="007A754B"/>
    <w:rsid w:val="007B1872"/>
    <w:rsid w:val="007B1A08"/>
    <w:rsid w:val="007B2275"/>
    <w:rsid w:val="007B2CAD"/>
    <w:rsid w:val="007B3907"/>
    <w:rsid w:val="007B398F"/>
    <w:rsid w:val="007B3DA3"/>
    <w:rsid w:val="007B46D3"/>
    <w:rsid w:val="007B5219"/>
    <w:rsid w:val="007B573C"/>
    <w:rsid w:val="007B5F45"/>
    <w:rsid w:val="007B715E"/>
    <w:rsid w:val="007C0BE3"/>
    <w:rsid w:val="007C0D47"/>
    <w:rsid w:val="007C3ED9"/>
    <w:rsid w:val="007C454A"/>
    <w:rsid w:val="007C4897"/>
    <w:rsid w:val="007C5C88"/>
    <w:rsid w:val="007C5C99"/>
    <w:rsid w:val="007C6744"/>
    <w:rsid w:val="007C6D84"/>
    <w:rsid w:val="007C7771"/>
    <w:rsid w:val="007C7BB5"/>
    <w:rsid w:val="007D0D71"/>
    <w:rsid w:val="007D0ECC"/>
    <w:rsid w:val="007D1092"/>
    <w:rsid w:val="007D1533"/>
    <w:rsid w:val="007D2EDB"/>
    <w:rsid w:val="007D3518"/>
    <w:rsid w:val="007D35CA"/>
    <w:rsid w:val="007D385B"/>
    <w:rsid w:val="007D396D"/>
    <w:rsid w:val="007D3C3C"/>
    <w:rsid w:val="007D5A59"/>
    <w:rsid w:val="007E0359"/>
    <w:rsid w:val="007E053A"/>
    <w:rsid w:val="007E0F29"/>
    <w:rsid w:val="007E15D7"/>
    <w:rsid w:val="007E231B"/>
    <w:rsid w:val="007E2B39"/>
    <w:rsid w:val="007E31DC"/>
    <w:rsid w:val="007E485C"/>
    <w:rsid w:val="007E545B"/>
    <w:rsid w:val="007E593F"/>
    <w:rsid w:val="007E7C08"/>
    <w:rsid w:val="007E7F05"/>
    <w:rsid w:val="007F17E5"/>
    <w:rsid w:val="007F289E"/>
    <w:rsid w:val="007F2B56"/>
    <w:rsid w:val="007F35A2"/>
    <w:rsid w:val="007F3748"/>
    <w:rsid w:val="007F4B91"/>
    <w:rsid w:val="007F5F25"/>
    <w:rsid w:val="007F60B4"/>
    <w:rsid w:val="007F6314"/>
    <w:rsid w:val="007F64A7"/>
    <w:rsid w:val="007F6F48"/>
    <w:rsid w:val="00800E8D"/>
    <w:rsid w:val="00801680"/>
    <w:rsid w:val="008021B0"/>
    <w:rsid w:val="00803784"/>
    <w:rsid w:val="00803C86"/>
    <w:rsid w:val="00805A2A"/>
    <w:rsid w:val="00805B02"/>
    <w:rsid w:val="00806155"/>
    <w:rsid w:val="008079C8"/>
    <w:rsid w:val="00810170"/>
    <w:rsid w:val="00810420"/>
    <w:rsid w:val="00810AD8"/>
    <w:rsid w:val="00811020"/>
    <w:rsid w:val="00811872"/>
    <w:rsid w:val="0081221A"/>
    <w:rsid w:val="008127AF"/>
    <w:rsid w:val="008135FB"/>
    <w:rsid w:val="00813C44"/>
    <w:rsid w:val="008141FA"/>
    <w:rsid w:val="0081723D"/>
    <w:rsid w:val="008176A7"/>
    <w:rsid w:val="008176E6"/>
    <w:rsid w:val="00817FDC"/>
    <w:rsid w:val="00820E80"/>
    <w:rsid w:val="00821355"/>
    <w:rsid w:val="00821BCF"/>
    <w:rsid w:val="00822A02"/>
    <w:rsid w:val="00822BDD"/>
    <w:rsid w:val="008239BB"/>
    <w:rsid w:val="00823D8B"/>
    <w:rsid w:val="008247BE"/>
    <w:rsid w:val="008256B3"/>
    <w:rsid w:val="0082586E"/>
    <w:rsid w:val="00827054"/>
    <w:rsid w:val="00827E6A"/>
    <w:rsid w:val="00830CD4"/>
    <w:rsid w:val="0083176C"/>
    <w:rsid w:val="00832351"/>
    <w:rsid w:val="00832429"/>
    <w:rsid w:val="00832868"/>
    <w:rsid w:val="0083361D"/>
    <w:rsid w:val="00833888"/>
    <w:rsid w:val="008338DF"/>
    <w:rsid w:val="00836A3B"/>
    <w:rsid w:val="00837681"/>
    <w:rsid w:val="00837933"/>
    <w:rsid w:val="008404D3"/>
    <w:rsid w:val="00840D87"/>
    <w:rsid w:val="00840EB1"/>
    <w:rsid w:val="008421D9"/>
    <w:rsid w:val="00843E7C"/>
    <w:rsid w:val="00843EC3"/>
    <w:rsid w:val="00844CCA"/>
    <w:rsid w:val="00845061"/>
    <w:rsid w:val="0084513A"/>
    <w:rsid w:val="00845254"/>
    <w:rsid w:val="00845DFA"/>
    <w:rsid w:val="0084649D"/>
    <w:rsid w:val="00846956"/>
    <w:rsid w:val="0084714E"/>
    <w:rsid w:val="0084719E"/>
    <w:rsid w:val="008500DE"/>
    <w:rsid w:val="00850313"/>
    <w:rsid w:val="00850CB0"/>
    <w:rsid w:val="00852F4A"/>
    <w:rsid w:val="00853B11"/>
    <w:rsid w:val="00853D3A"/>
    <w:rsid w:val="00853F92"/>
    <w:rsid w:val="00853F93"/>
    <w:rsid w:val="00854049"/>
    <w:rsid w:val="0085534C"/>
    <w:rsid w:val="00855CC1"/>
    <w:rsid w:val="00855CD0"/>
    <w:rsid w:val="00856476"/>
    <w:rsid w:val="0085659C"/>
    <w:rsid w:val="00856AA8"/>
    <w:rsid w:val="008575B1"/>
    <w:rsid w:val="008577F6"/>
    <w:rsid w:val="00857F92"/>
    <w:rsid w:val="0086042C"/>
    <w:rsid w:val="00860995"/>
    <w:rsid w:val="00860AF9"/>
    <w:rsid w:val="00860F18"/>
    <w:rsid w:val="00861965"/>
    <w:rsid w:val="00862ED8"/>
    <w:rsid w:val="008631D8"/>
    <w:rsid w:val="00864CE4"/>
    <w:rsid w:val="0086640F"/>
    <w:rsid w:val="00866853"/>
    <w:rsid w:val="00866D98"/>
    <w:rsid w:val="008672C5"/>
    <w:rsid w:val="00867830"/>
    <w:rsid w:val="00867C59"/>
    <w:rsid w:val="00867CAD"/>
    <w:rsid w:val="00870FBF"/>
    <w:rsid w:val="0087131F"/>
    <w:rsid w:val="008715B3"/>
    <w:rsid w:val="00871657"/>
    <w:rsid w:val="0087209B"/>
    <w:rsid w:val="00873227"/>
    <w:rsid w:val="0087419C"/>
    <w:rsid w:val="0087429C"/>
    <w:rsid w:val="008746FB"/>
    <w:rsid w:val="0087473C"/>
    <w:rsid w:val="00875497"/>
    <w:rsid w:val="0087576D"/>
    <w:rsid w:val="00875FA5"/>
    <w:rsid w:val="00876699"/>
    <w:rsid w:val="0088064D"/>
    <w:rsid w:val="00880B6D"/>
    <w:rsid w:val="00881231"/>
    <w:rsid w:val="0088141D"/>
    <w:rsid w:val="00881521"/>
    <w:rsid w:val="0088158E"/>
    <w:rsid w:val="00881F66"/>
    <w:rsid w:val="00882911"/>
    <w:rsid w:val="00883C52"/>
    <w:rsid w:val="008842AE"/>
    <w:rsid w:val="008855EA"/>
    <w:rsid w:val="00885EB3"/>
    <w:rsid w:val="0089030D"/>
    <w:rsid w:val="0089071C"/>
    <w:rsid w:val="00891677"/>
    <w:rsid w:val="0089193E"/>
    <w:rsid w:val="008920E3"/>
    <w:rsid w:val="00892801"/>
    <w:rsid w:val="00892BA2"/>
    <w:rsid w:val="00892E6D"/>
    <w:rsid w:val="00893277"/>
    <w:rsid w:val="00894463"/>
    <w:rsid w:val="008956F1"/>
    <w:rsid w:val="0089586F"/>
    <w:rsid w:val="008968B4"/>
    <w:rsid w:val="00896A2C"/>
    <w:rsid w:val="008973C8"/>
    <w:rsid w:val="0089782B"/>
    <w:rsid w:val="008A07D9"/>
    <w:rsid w:val="008A1F21"/>
    <w:rsid w:val="008A25A7"/>
    <w:rsid w:val="008A28E3"/>
    <w:rsid w:val="008A435F"/>
    <w:rsid w:val="008A4B54"/>
    <w:rsid w:val="008A6732"/>
    <w:rsid w:val="008B01AE"/>
    <w:rsid w:val="008B0DD4"/>
    <w:rsid w:val="008B1251"/>
    <w:rsid w:val="008B1F05"/>
    <w:rsid w:val="008B29FB"/>
    <w:rsid w:val="008B2EB1"/>
    <w:rsid w:val="008B3048"/>
    <w:rsid w:val="008B31BF"/>
    <w:rsid w:val="008B32AE"/>
    <w:rsid w:val="008B3F8F"/>
    <w:rsid w:val="008B437C"/>
    <w:rsid w:val="008B4C1F"/>
    <w:rsid w:val="008B5B58"/>
    <w:rsid w:val="008B6D13"/>
    <w:rsid w:val="008B6FAB"/>
    <w:rsid w:val="008B7201"/>
    <w:rsid w:val="008C0648"/>
    <w:rsid w:val="008C1050"/>
    <w:rsid w:val="008C1E2E"/>
    <w:rsid w:val="008C1FBF"/>
    <w:rsid w:val="008C2E71"/>
    <w:rsid w:val="008C345F"/>
    <w:rsid w:val="008C3E45"/>
    <w:rsid w:val="008C4FB6"/>
    <w:rsid w:val="008C592B"/>
    <w:rsid w:val="008C6258"/>
    <w:rsid w:val="008C743D"/>
    <w:rsid w:val="008D082C"/>
    <w:rsid w:val="008D1016"/>
    <w:rsid w:val="008D19AE"/>
    <w:rsid w:val="008D2677"/>
    <w:rsid w:val="008D3108"/>
    <w:rsid w:val="008D3977"/>
    <w:rsid w:val="008D502A"/>
    <w:rsid w:val="008D5462"/>
    <w:rsid w:val="008D633A"/>
    <w:rsid w:val="008D70FB"/>
    <w:rsid w:val="008E0DA1"/>
    <w:rsid w:val="008E1032"/>
    <w:rsid w:val="008E169A"/>
    <w:rsid w:val="008E1DA4"/>
    <w:rsid w:val="008E2541"/>
    <w:rsid w:val="008E27B6"/>
    <w:rsid w:val="008E3BA1"/>
    <w:rsid w:val="008E41F9"/>
    <w:rsid w:val="008E4305"/>
    <w:rsid w:val="008E4831"/>
    <w:rsid w:val="008E50F4"/>
    <w:rsid w:val="008E5137"/>
    <w:rsid w:val="008E6438"/>
    <w:rsid w:val="008F07CD"/>
    <w:rsid w:val="008F12F0"/>
    <w:rsid w:val="008F1984"/>
    <w:rsid w:val="008F1B18"/>
    <w:rsid w:val="008F2261"/>
    <w:rsid w:val="008F22D5"/>
    <w:rsid w:val="008F2A9F"/>
    <w:rsid w:val="008F30EB"/>
    <w:rsid w:val="008F3CB9"/>
    <w:rsid w:val="008F4E85"/>
    <w:rsid w:val="008F7336"/>
    <w:rsid w:val="008F7A7F"/>
    <w:rsid w:val="0090036F"/>
    <w:rsid w:val="009003B1"/>
    <w:rsid w:val="0090041B"/>
    <w:rsid w:val="00901208"/>
    <w:rsid w:val="0090237E"/>
    <w:rsid w:val="009027F2"/>
    <w:rsid w:val="00902A41"/>
    <w:rsid w:val="00904C62"/>
    <w:rsid w:val="00904D2B"/>
    <w:rsid w:val="00906410"/>
    <w:rsid w:val="00906431"/>
    <w:rsid w:val="00906F11"/>
    <w:rsid w:val="00911FAD"/>
    <w:rsid w:val="009122D5"/>
    <w:rsid w:val="00912C68"/>
    <w:rsid w:val="0091330A"/>
    <w:rsid w:val="00913B19"/>
    <w:rsid w:val="009151F6"/>
    <w:rsid w:val="009158C1"/>
    <w:rsid w:val="00915BBA"/>
    <w:rsid w:val="00915ED1"/>
    <w:rsid w:val="0091608C"/>
    <w:rsid w:val="0092245D"/>
    <w:rsid w:val="00922693"/>
    <w:rsid w:val="00922820"/>
    <w:rsid w:val="0092371E"/>
    <w:rsid w:val="00923BA9"/>
    <w:rsid w:val="00924234"/>
    <w:rsid w:val="00924CA5"/>
    <w:rsid w:val="00925D3A"/>
    <w:rsid w:val="00926199"/>
    <w:rsid w:val="00926348"/>
    <w:rsid w:val="00927ACE"/>
    <w:rsid w:val="00930D9B"/>
    <w:rsid w:val="0093168A"/>
    <w:rsid w:val="00931755"/>
    <w:rsid w:val="00932189"/>
    <w:rsid w:val="009336AC"/>
    <w:rsid w:val="00933BB3"/>
    <w:rsid w:val="00934F45"/>
    <w:rsid w:val="009356E4"/>
    <w:rsid w:val="00935BFB"/>
    <w:rsid w:val="00937BC8"/>
    <w:rsid w:val="0094006E"/>
    <w:rsid w:val="00940717"/>
    <w:rsid w:val="00940BAB"/>
    <w:rsid w:val="0094185F"/>
    <w:rsid w:val="0094292A"/>
    <w:rsid w:val="00943E84"/>
    <w:rsid w:val="009440E3"/>
    <w:rsid w:val="00944260"/>
    <w:rsid w:val="00944267"/>
    <w:rsid w:val="00944943"/>
    <w:rsid w:val="00945AA8"/>
    <w:rsid w:val="00946959"/>
    <w:rsid w:val="00946A6B"/>
    <w:rsid w:val="00946C9A"/>
    <w:rsid w:val="00947189"/>
    <w:rsid w:val="009475CB"/>
    <w:rsid w:val="00947B83"/>
    <w:rsid w:val="00950D70"/>
    <w:rsid w:val="00951275"/>
    <w:rsid w:val="00951DB1"/>
    <w:rsid w:val="0095213C"/>
    <w:rsid w:val="00953F7F"/>
    <w:rsid w:val="00955A82"/>
    <w:rsid w:val="00956427"/>
    <w:rsid w:val="00956D28"/>
    <w:rsid w:val="009571AE"/>
    <w:rsid w:val="0096084E"/>
    <w:rsid w:val="00960CAA"/>
    <w:rsid w:val="009614D0"/>
    <w:rsid w:val="00961770"/>
    <w:rsid w:val="00961AC4"/>
    <w:rsid w:val="00961DFE"/>
    <w:rsid w:val="00961EE1"/>
    <w:rsid w:val="00961F6C"/>
    <w:rsid w:val="00962866"/>
    <w:rsid w:val="00962F02"/>
    <w:rsid w:val="0096396C"/>
    <w:rsid w:val="00963A35"/>
    <w:rsid w:val="00963C49"/>
    <w:rsid w:val="00964037"/>
    <w:rsid w:val="0096623A"/>
    <w:rsid w:val="00966F30"/>
    <w:rsid w:val="00970275"/>
    <w:rsid w:val="00970602"/>
    <w:rsid w:val="0097117B"/>
    <w:rsid w:val="00972125"/>
    <w:rsid w:val="009736C1"/>
    <w:rsid w:val="00973C0B"/>
    <w:rsid w:val="00974177"/>
    <w:rsid w:val="00975716"/>
    <w:rsid w:val="009757BF"/>
    <w:rsid w:val="009759EB"/>
    <w:rsid w:val="00975C87"/>
    <w:rsid w:val="00976122"/>
    <w:rsid w:val="00976499"/>
    <w:rsid w:val="009768CF"/>
    <w:rsid w:val="00976A14"/>
    <w:rsid w:val="009817A1"/>
    <w:rsid w:val="00985126"/>
    <w:rsid w:val="009852F0"/>
    <w:rsid w:val="009866A6"/>
    <w:rsid w:val="0098683F"/>
    <w:rsid w:val="00986BB2"/>
    <w:rsid w:val="00986DD3"/>
    <w:rsid w:val="00987281"/>
    <w:rsid w:val="00987481"/>
    <w:rsid w:val="0099192F"/>
    <w:rsid w:val="00991D53"/>
    <w:rsid w:val="00992730"/>
    <w:rsid w:val="00993648"/>
    <w:rsid w:val="00993D0F"/>
    <w:rsid w:val="009946A0"/>
    <w:rsid w:val="00994738"/>
    <w:rsid w:val="00994984"/>
    <w:rsid w:val="00997117"/>
    <w:rsid w:val="009A01B6"/>
    <w:rsid w:val="009A14D6"/>
    <w:rsid w:val="009A18E3"/>
    <w:rsid w:val="009A1A47"/>
    <w:rsid w:val="009A20A4"/>
    <w:rsid w:val="009A22E6"/>
    <w:rsid w:val="009A282C"/>
    <w:rsid w:val="009A2CF3"/>
    <w:rsid w:val="009A2D96"/>
    <w:rsid w:val="009A36BF"/>
    <w:rsid w:val="009A4458"/>
    <w:rsid w:val="009A4AFB"/>
    <w:rsid w:val="009A7F50"/>
    <w:rsid w:val="009B148F"/>
    <w:rsid w:val="009B1CEE"/>
    <w:rsid w:val="009B1D5C"/>
    <w:rsid w:val="009B253C"/>
    <w:rsid w:val="009B2546"/>
    <w:rsid w:val="009B38A1"/>
    <w:rsid w:val="009B3E92"/>
    <w:rsid w:val="009B457C"/>
    <w:rsid w:val="009B4693"/>
    <w:rsid w:val="009B4851"/>
    <w:rsid w:val="009B637A"/>
    <w:rsid w:val="009B7149"/>
    <w:rsid w:val="009B7D98"/>
    <w:rsid w:val="009B7F3C"/>
    <w:rsid w:val="009C0615"/>
    <w:rsid w:val="009C0EB4"/>
    <w:rsid w:val="009C0FC2"/>
    <w:rsid w:val="009C2213"/>
    <w:rsid w:val="009C2234"/>
    <w:rsid w:val="009C2912"/>
    <w:rsid w:val="009C44F5"/>
    <w:rsid w:val="009C55A2"/>
    <w:rsid w:val="009C59B5"/>
    <w:rsid w:val="009C6222"/>
    <w:rsid w:val="009C6E3B"/>
    <w:rsid w:val="009C785F"/>
    <w:rsid w:val="009C7996"/>
    <w:rsid w:val="009D0EA5"/>
    <w:rsid w:val="009D1ABC"/>
    <w:rsid w:val="009D1D2A"/>
    <w:rsid w:val="009D2665"/>
    <w:rsid w:val="009D272C"/>
    <w:rsid w:val="009D2F37"/>
    <w:rsid w:val="009D402B"/>
    <w:rsid w:val="009D5B83"/>
    <w:rsid w:val="009D72DE"/>
    <w:rsid w:val="009D749D"/>
    <w:rsid w:val="009D7643"/>
    <w:rsid w:val="009D7676"/>
    <w:rsid w:val="009E00CE"/>
    <w:rsid w:val="009E0103"/>
    <w:rsid w:val="009E0D57"/>
    <w:rsid w:val="009E1A78"/>
    <w:rsid w:val="009E1F23"/>
    <w:rsid w:val="009E2015"/>
    <w:rsid w:val="009E20B2"/>
    <w:rsid w:val="009E355C"/>
    <w:rsid w:val="009E4CB9"/>
    <w:rsid w:val="009E5944"/>
    <w:rsid w:val="009E5A9A"/>
    <w:rsid w:val="009E62F7"/>
    <w:rsid w:val="009E69C5"/>
    <w:rsid w:val="009E6B24"/>
    <w:rsid w:val="009E7734"/>
    <w:rsid w:val="009E78A1"/>
    <w:rsid w:val="009E7930"/>
    <w:rsid w:val="009F2E0B"/>
    <w:rsid w:val="009F4081"/>
    <w:rsid w:val="009F44C7"/>
    <w:rsid w:val="009F4507"/>
    <w:rsid w:val="009F4526"/>
    <w:rsid w:val="009F458A"/>
    <w:rsid w:val="009F547E"/>
    <w:rsid w:val="009F5645"/>
    <w:rsid w:val="009F64EC"/>
    <w:rsid w:val="009F6628"/>
    <w:rsid w:val="009F745B"/>
    <w:rsid w:val="00A002AD"/>
    <w:rsid w:val="00A0056C"/>
    <w:rsid w:val="00A00809"/>
    <w:rsid w:val="00A02735"/>
    <w:rsid w:val="00A03D92"/>
    <w:rsid w:val="00A05022"/>
    <w:rsid w:val="00A0505A"/>
    <w:rsid w:val="00A05D64"/>
    <w:rsid w:val="00A077FA"/>
    <w:rsid w:val="00A07D5A"/>
    <w:rsid w:val="00A11474"/>
    <w:rsid w:val="00A12AAF"/>
    <w:rsid w:val="00A1319B"/>
    <w:rsid w:val="00A1385E"/>
    <w:rsid w:val="00A14BD9"/>
    <w:rsid w:val="00A153EC"/>
    <w:rsid w:val="00A155F6"/>
    <w:rsid w:val="00A15649"/>
    <w:rsid w:val="00A16A80"/>
    <w:rsid w:val="00A16CAE"/>
    <w:rsid w:val="00A16E8E"/>
    <w:rsid w:val="00A17418"/>
    <w:rsid w:val="00A176F3"/>
    <w:rsid w:val="00A17CE9"/>
    <w:rsid w:val="00A200B8"/>
    <w:rsid w:val="00A2128E"/>
    <w:rsid w:val="00A22D6C"/>
    <w:rsid w:val="00A23330"/>
    <w:rsid w:val="00A239BC"/>
    <w:rsid w:val="00A23B16"/>
    <w:rsid w:val="00A23D4B"/>
    <w:rsid w:val="00A24468"/>
    <w:rsid w:val="00A27C8B"/>
    <w:rsid w:val="00A31026"/>
    <w:rsid w:val="00A31B9F"/>
    <w:rsid w:val="00A31FED"/>
    <w:rsid w:val="00A3201F"/>
    <w:rsid w:val="00A3271C"/>
    <w:rsid w:val="00A327A7"/>
    <w:rsid w:val="00A3533D"/>
    <w:rsid w:val="00A3566E"/>
    <w:rsid w:val="00A35717"/>
    <w:rsid w:val="00A36291"/>
    <w:rsid w:val="00A36A37"/>
    <w:rsid w:val="00A36D96"/>
    <w:rsid w:val="00A36DFA"/>
    <w:rsid w:val="00A374B1"/>
    <w:rsid w:val="00A3757C"/>
    <w:rsid w:val="00A409C9"/>
    <w:rsid w:val="00A41266"/>
    <w:rsid w:val="00A41726"/>
    <w:rsid w:val="00A42941"/>
    <w:rsid w:val="00A42CE9"/>
    <w:rsid w:val="00A440E8"/>
    <w:rsid w:val="00A451E5"/>
    <w:rsid w:val="00A4529A"/>
    <w:rsid w:val="00A459D0"/>
    <w:rsid w:val="00A46657"/>
    <w:rsid w:val="00A4673C"/>
    <w:rsid w:val="00A501A4"/>
    <w:rsid w:val="00A50BDD"/>
    <w:rsid w:val="00A50F7C"/>
    <w:rsid w:val="00A51345"/>
    <w:rsid w:val="00A52B7C"/>
    <w:rsid w:val="00A534B4"/>
    <w:rsid w:val="00A5397B"/>
    <w:rsid w:val="00A54873"/>
    <w:rsid w:val="00A553BF"/>
    <w:rsid w:val="00A55FE6"/>
    <w:rsid w:val="00A567EC"/>
    <w:rsid w:val="00A56AE0"/>
    <w:rsid w:val="00A57303"/>
    <w:rsid w:val="00A60807"/>
    <w:rsid w:val="00A60B79"/>
    <w:rsid w:val="00A60DF1"/>
    <w:rsid w:val="00A6173C"/>
    <w:rsid w:val="00A61C89"/>
    <w:rsid w:val="00A6240B"/>
    <w:rsid w:val="00A635C1"/>
    <w:rsid w:val="00A63D5D"/>
    <w:rsid w:val="00A63DCF"/>
    <w:rsid w:val="00A64320"/>
    <w:rsid w:val="00A65BD0"/>
    <w:rsid w:val="00A66195"/>
    <w:rsid w:val="00A67ABB"/>
    <w:rsid w:val="00A702A4"/>
    <w:rsid w:val="00A706B1"/>
    <w:rsid w:val="00A70C59"/>
    <w:rsid w:val="00A70E17"/>
    <w:rsid w:val="00A719A9"/>
    <w:rsid w:val="00A71DB5"/>
    <w:rsid w:val="00A71EB8"/>
    <w:rsid w:val="00A72051"/>
    <w:rsid w:val="00A72319"/>
    <w:rsid w:val="00A72735"/>
    <w:rsid w:val="00A73476"/>
    <w:rsid w:val="00A73B43"/>
    <w:rsid w:val="00A73F3F"/>
    <w:rsid w:val="00A7460F"/>
    <w:rsid w:val="00A74C49"/>
    <w:rsid w:val="00A75691"/>
    <w:rsid w:val="00A769F1"/>
    <w:rsid w:val="00A77242"/>
    <w:rsid w:val="00A804DD"/>
    <w:rsid w:val="00A80BF1"/>
    <w:rsid w:val="00A80E2C"/>
    <w:rsid w:val="00A8107D"/>
    <w:rsid w:val="00A83005"/>
    <w:rsid w:val="00A84A6E"/>
    <w:rsid w:val="00A84F4F"/>
    <w:rsid w:val="00A85023"/>
    <w:rsid w:val="00A850D7"/>
    <w:rsid w:val="00A8594C"/>
    <w:rsid w:val="00A8649D"/>
    <w:rsid w:val="00A86586"/>
    <w:rsid w:val="00A870CB"/>
    <w:rsid w:val="00A8790A"/>
    <w:rsid w:val="00A90131"/>
    <w:rsid w:val="00A90352"/>
    <w:rsid w:val="00A91618"/>
    <w:rsid w:val="00A916F0"/>
    <w:rsid w:val="00A91A51"/>
    <w:rsid w:val="00A91DA4"/>
    <w:rsid w:val="00A9274D"/>
    <w:rsid w:val="00A9315F"/>
    <w:rsid w:val="00A93EF6"/>
    <w:rsid w:val="00A941D5"/>
    <w:rsid w:val="00A942B6"/>
    <w:rsid w:val="00A94871"/>
    <w:rsid w:val="00A96288"/>
    <w:rsid w:val="00A9693E"/>
    <w:rsid w:val="00A96E1F"/>
    <w:rsid w:val="00A974FD"/>
    <w:rsid w:val="00A97F0B"/>
    <w:rsid w:val="00AA23AA"/>
    <w:rsid w:val="00AA23E7"/>
    <w:rsid w:val="00AA2E9A"/>
    <w:rsid w:val="00AA350A"/>
    <w:rsid w:val="00AA37C7"/>
    <w:rsid w:val="00AA4F06"/>
    <w:rsid w:val="00AA5371"/>
    <w:rsid w:val="00AA5567"/>
    <w:rsid w:val="00AA5A1D"/>
    <w:rsid w:val="00AA60D0"/>
    <w:rsid w:val="00AA67A7"/>
    <w:rsid w:val="00AA67AD"/>
    <w:rsid w:val="00AA71CF"/>
    <w:rsid w:val="00AA7F9D"/>
    <w:rsid w:val="00AB0D23"/>
    <w:rsid w:val="00AB13A0"/>
    <w:rsid w:val="00AB2A88"/>
    <w:rsid w:val="00AB312E"/>
    <w:rsid w:val="00AB319E"/>
    <w:rsid w:val="00AB422A"/>
    <w:rsid w:val="00AB4334"/>
    <w:rsid w:val="00AB4572"/>
    <w:rsid w:val="00AB5F73"/>
    <w:rsid w:val="00AB6732"/>
    <w:rsid w:val="00AB7A24"/>
    <w:rsid w:val="00AB7E75"/>
    <w:rsid w:val="00AC0325"/>
    <w:rsid w:val="00AC0960"/>
    <w:rsid w:val="00AC0A09"/>
    <w:rsid w:val="00AC0CC3"/>
    <w:rsid w:val="00AC1363"/>
    <w:rsid w:val="00AC23C7"/>
    <w:rsid w:val="00AC3027"/>
    <w:rsid w:val="00AC3849"/>
    <w:rsid w:val="00AC43C0"/>
    <w:rsid w:val="00AC4430"/>
    <w:rsid w:val="00AC4C81"/>
    <w:rsid w:val="00AC507A"/>
    <w:rsid w:val="00AC5366"/>
    <w:rsid w:val="00AC5DCD"/>
    <w:rsid w:val="00AC6FBA"/>
    <w:rsid w:val="00AC76CB"/>
    <w:rsid w:val="00AD0EE4"/>
    <w:rsid w:val="00AD1292"/>
    <w:rsid w:val="00AD2C36"/>
    <w:rsid w:val="00AD2F33"/>
    <w:rsid w:val="00AD326A"/>
    <w:rsid w:val="00AD3272"/>
    <w:rsid w:val="00AD3833"/>
    <w:rsid w:val="00AD56E0"/>
    <w:rsid w:val="00AD5995"/>
    <w:rsid w:val="00AD6813"/>
    <w:rsid w:val="00AD68B6"/>
    <w:rsid w:val="00AD70D9"/>
    <w:rsid w:val="00AE0F06"/>
    <w:rsid w:val="00AE1548"/>
    <w:rsid w:val="00AE1D21"/>
    <w:rsid w:val="00AE2089"/>
    <w:rsid w:val="00AE2153"/>
    <w:rsid w:val="00AE26BE"/>
    <w:rsid w:val="00AE2876"/>
    <w:rsid w:val="00AE2C7D"/>
    <w:rsid w:val="00AE2F37"/>
    <w:rsid w:val="00AE3495"/>
    <w:rsid w:val="00AE441B"/>
    <w:rsid w:val="00AE4F2C"/>
    <w:rsid w:val="00AE6CFD"/>
    <w:rsid w:val="00AF1042"/>
    <w:rsid w:val="00AF137E"/>
    <w:rsid w:val="00AF189D"/>
    <w:rsid w:val="00AF19FF"/>
    <w:rsid w:val="00AF2427"/>
    <w:rsid w:val="00AF2C0C"/>
    <w:rsid w:val="00AF32E0"/>
    <w:rsid w:val="00AF3303"/>
    <w:rsid w:val="00AF3C7B"/>
    <w:rsid w:val="00AF4424"/>
    <w:rsid w:val="00AF5E42"/>
    <w:rsid w:val="00AF6389"/>
    <w:rsid w:val="00AF6C9A"/>
    <w:rsid w:val="00AF7288"/>
    <w:rsid w:val="00AF75A7"/>
    <w:rsid w:val="00AF7F8D"/>
    <w:rsid w:val="00B003C9"/>
    <w:rsid w:val="00B01359"/>
    <w:rsid w:val="00B013E2"/>
    <w:rsid w:val="00B016BB"/>
    <w:rsid w:val="00B01C16"/>
    <w:rsid w:val="00B01C73"/>
    <w:rsid w:val="00B02082"/>
    <w:rsid w:val="00B02262"/>
    <w:rsid w:val="00B026F4"/>
    <w:rsid w:val="00B04010"/>
    <w:rsid w:val="00B05221"/>
    <w:rsid w:val="00B0634B"/>
    <w:rsid w:val="00B06626"/>
    <w:rsid w:val="00B0668C"/>
    <w:rsid w:val="00B072F3"/>
    <w:rsid w:val="00B074E5"/>
    <w:rsid w:val="00B07C26"/>
    <w:rsid w:val="00B13194"/>
    <w:rsid w:val="00B14377"/>
    <w:rsid w:val="00B144F2"/>
    <w:rsid w:val="00B14B59"/>
    <w:rsid w:val="00B14C93"/>
    <w:rsid w:val="00B14E4A"/>
    <w:rsid w:val="00B15499"/>
    <w:rsid w:val="00B156DB"/>
    <w:rsid w:val="00B15A79"/>
    <w:rsid w:val="00B170F5"/>
    <w:rsid w:val="00B2247F"/>
    <w:rsid w:val="00B22F6E"/>
    <w:rsid w:val="00B237B4"/>
    <w:rsid w:val="00B2381B"/>
    <w:rsid w:val="00B25F06"/>
    <w:rsid w:val="00B263E1"/>
    <w:rsid w:val="00B27BAB"/>
    <w:rsid w:val="00B30722"/>
    <w:rsid w:val="00B321AC"/>
    <w:rsid w:val="00B326A7"/>
    <w:rsid w:val="00B327EA"/>
    <w:rsid w:val="00B32DB2"/>
    <w:rsid w:val="00B33B1B"/>
    <w:rsid w:val="00B35B0E"/>
    <w:rsid w:val="00B366D9"/>
    <w:rsid w:val="00B36FC4"/>
    <w:rsid w:val="00B37959"/>
    <w:rsid w:val="00B40930"/>
    <w:rsid w:val="00B4174F"/>
    <w:rsid w:val="00B41982"/>
    <w:rsid w:val="00B427B3"/>
    <w:rsid w:val="00B446A6"/>
    <w:rsid w:val="00B44E00"/>
    <w:rsid w:val="00B45738"/>
    <w:rsid w:val="00B47012"/>
    <w:rsid w:val="00B50114"/>
    <w:rsid w:val="00B50C86"/>
    <w:rsid w:val="00B50EF4"/>
    <w:rsid w:val="00B51A3B"/>
    <w:rsid w:val="00B51E3C"/>
    <w:rsid w:val="00B5226B"/>
    <w:rsid w:val="00B5232C"/>
    <w:rsid w:val="00B52F05"/>
    <w:rsid w:val="00B53414"/>
    <w:rsid w:val="00B542ED"/>
    <w:rsid w:val="00B55699"/>
    <w:rsid w:val="00B55BE7"/>
    <w:rsid w:val="00B564C5"/>
    <w:rsid w:val="00B56A11"/>
    <w:rsid w:val="00B56D52"/>
    <w:rsid w:val="00B56D8E"/>
    <w:rsid w:val="00B5730A"/>
    <w:rsid w:val="00B60351"/>
    <w:rsid w:val="00B606F3"/>
    <w:rsid w:val="00B60D2F"/>
    <w:rsid w:val="00B621A8"/>
    <w:rsid w:val="00B62541"/>
    <w:rsid w:val="00B62ED9"/>
    <w:rsid w:val="00B62F02"/>
    <w:rsid w:val="00B63E39"/>
    <w:rsid w:val="00B64A6A"/>
    <w:rsid w:val="00B65AAF"/>
    <w:rsid w:val="00B65E1A"/>
    <w:rsid w:val="00B66DBF"/>
    <w:rsid w:val="00B66DD3"/>
    <w:rsid w:val="00B66EA7"/>
    <w:rsid w:val="00B67B88"/>
    <w:rsid w:val="00B67C0C"/>
    <w:rsid w:val="00B67D1D"/>
    <w:rsid w:val="00B70546"/>
    <w:rsid w:val="00B70A6B"/>
    <w:rsid w:val="00B72BE9"/>
    <w:rsid w:val="00B73685"/>
    <w:rsid w:val="00B7381D"/>
    <w:rsid w:val="00B74514"/>
    <w:rsid w:val="00B74554"/>
    <w:rsid w:val="00B7477F"/>
    <w:rsid w:val="00B756AD"/>
    <w:rsid w:val="00B7637B"/>
    <w:rsid w:val="00B765EE"/>
    <w:rsid w:val="00B76DA0"/>
    <w:rsid w:val="00B77850"/>
    <w:rsid w:val="00B8029D"/>
    <w:rsid w:val="00B8085A"/>
    <w:rsid w:val="00B8098F"/>
    <w:rsid w:val="00B809AC"/>
    <w:rsid w:val="00B80AAB"/>
    <w:rsid w:val="00B80C70"/>
    <w:rsid w:val="00B80D5B"/>
    <w:rsid w:val="00B81696"/>
    <w:rsid w:val="00B81EF4"/>
    <w:rsid w:val="00B8368B"/>
    <w:rsid w:val="00B83A4B"/>
    <w:rsid w:val="00B83AF1"/>
    <w:rsid w:val="00B83DE4"/>
    <w:rsid w:val="00B84A0C"/>
    <w:rsid w:val="00B851CA"/>
    <w:rsid w:val="00B855ED"/>
    <w:rsid w:val="00B85830"/>
    <w:rsid w:val="00B85E3C"/>
    <w:rsid w:val="00B85F6E"/>
    <w:rsid w:val="00B90781"/>
    <w:rsid w:val="00B931A9"/>
    <w:rsid w:val="00B9389A"/>
    <w:rsid w:val="00B95736"/>
    <w:rsid w:val="00B963AD"/>
    <w:rsid w:val="00B96FE2"/>
    <w:rsid w:val="00B9746B"/>
    <w:rsid w:val="00BA0C6B"/>
    <w:rsid w:val="00BA0E69"/>
    <w:rsid w:val="00BA0FAA"/>
    <w:rsid w:val="00BA14E1"/>
    <w:rsid w:val="00BA16DD"/>
    <w:rsid w:val="00BA30FD"/>
    <w:rsid w:val="00BA3145"/>
    <w:rsid w:val="00BA3EF0"/>
    <w:rsid w:val="00BA4127"/>
    <w:rsid w:val="00BA436B"/>
    <w:rsid w:val="00BA4BBB"/>
    <w:rsid w:val="00BA57E1"/>
    <w:rsid w:val="00BA6012"/>
    <w:rsid w:val="00BA6537"/>
    <w:rsid w:val="00BA6B66"/>
    <w:rsid w:val="00BA6C02"/>
    <w:rsid w:val="00BB020C"/>
    <w:rsid w:val="00BB027A"/>
    <w:rsid w:val="00BB0F93"/>
    <w:rsid w:val="00BB2357"/>
    <w:rsid w:val="00BB2E4E"/>
    <w:rsid w:val="00BB679A"/>
    <w:rsid w:val="00BB7A8A"/>
    <w:rsid w:val="00BB7AC7"/>
    <w:rsid w:val="00BB7E67"/>
    <w:rsid w:val="00BC1D93"/>
    <w:rsid w:val="00BC21A4"/>
    <w:rsid w:val="00BC21D0"/>
    <w:rsid w:val="00BC2775"/>
    <w:rsid w:val="00BC2951"/>
    <w:rsid w:val="00BC3731"/>
    <w:rsid w:val="00BC4C24"/>
    <w:rsid w:val="00BC59EC"/>
    <w:rsid w:val="00BC6572"/>
    <w:rsid w:val="00BC6DA2"/>
    <w:rsid w:val="00BC6F91"/>
    <w:rsid w:val="00BC7881"/>
    <w:rsid w:val="00BC7D2D"/>
    <w:rsid w:val="00BD0453"/>
    <w:rsid w:val="00BD06BC"/>
    <w:rsid w:val="00BD1428"/>
    <w:rsid w:val="00BD14E4"/>
    <w:rsid w:val="00BD20DF"/>
    <w:rsid w:val="00BD22E1"/>
    <w:rsid w:val="00BD3063"/>
    <w:rsid w:val="00BD3210"/>
    <w:rsid w:val="00BD39BC"/>
    <w:rsid w:val="00BD3FC5"/>
    <w:rsid w:val="00BD4805"/>
    <w:rsid w:val="00BD4B4D"/>
    <w:rsid w:val="00BD6784"/>
    <w:rsid w:val="00BD7780"/>
    <w:rsid w:val="00BD77E8"/>
    <w:rsid w:val="00BD7A5C"/>
    <w:rsid w:val="00BD7F0B"/>
    <w:rsid w:val="00BE067C"/>
    <w:rsid w:val="00BE0E44"/>
    <w:rsid w:val="00BE1DF8"/>
    <w:rsid w:val="00BE2049"/>
    <w:rsid w:val="00BE2090"/>
    <w:rsid w:val="00BE38FD"/>
    <w:rsid w:val="00BE4C07"/>
    <w:rsid w:val="00BE6483"/>
    <w:rsid w:val="00BE6513"/>
    <w:rsid w:val="00BE69DF"/>
    <w:rsid w:val="00BE6AA7"/>
    <w:rsid w:val="00BE748B"/>
    <w:rsid w:val="00BE7842"/>
    <w:rsid w:val="00BE7ED6"/>
    <w:rsid w:val="00BF033B"/>
    <w:rsid w:val="00BF1ACD"/>
    <w:rsid w:val="00BF1CE8"/>
    <w:rsid w:val="00BF2296"/>
    <w:rsid w:val="00BF2587"/>
    <w:rsid w:val="00BF330F"/>
    <w:rsid w:val="00BF44E2"/>
    <w:rsid w:val="00BF4631"/>
    <w:rsid w:val="00BF4938"/>
    <w:rsid w:val="00BF5487"/>
    <w:rsid w:val="00BF551E"/>
    <w:rsid w:val="00BF5D02"/>
    <w:rsid w:val="00BF64BF"/>
    <w:rsid w:val="00BF6EE7"/>
    <w:rsid w:val="00BF73CE"/>
    <w:rsid w:val="00BF781A"/>
    <w:rsid w:val="00C00805"/>
    <w:rsid w:val="00C00F17"/>
    <w:rsid w:val="00C011E3"/>
    <w:rsid w:val="00C011EB"/>
    <w:rsid w:val="00C014D0"/>
    <w:rsid w:val="00C015E0"/>
    <w:rsid w:val="00C02B32"/>
    <w:rsid w:val="00C036E0"/>
    <w:rsid w:val="00C037D0"/>
    <w:rsid w:val="00C03E35"/>
    <w:rsid w:val="00C03F76"/>
    <w:rsid w:val="00C054B0"/>
    <w:rsid w:val="00C059A9"/>
    <w:rsid w:val="00C05EEE"/>
    <w:rsid w:val="00C0610E"/>
    <w:rsid w:val="00C06CCB"/>
    <w:rsid w:val="00C06E35"/>
    <w:rsid w:val="00C073E3"/>
    <w:rsid w:val="00C1066C"/>
    <w:rsid w:val="00C115E8"/>
    <w:rsid w:val="00C1198D"/>
    <w:rsid w:val="00C12458"/>
    <w:rsid w:val="00C1260A"/>
    <w:rsid w:val="00C154D8"/>
    <w:rsid w:val="00C15692"/>
    <w:rsid w:val="00C15A37"/>
    <w:rsid w:val="00C15A48"/>
    <w:rsid w:val="00C1690C"/>
    <w:rsid w:val="00C21B56"/>
    <w:rsid w:val="00C21E0A"/>
    <w:rsid w:val="00C22215"/>
    <w:rsid w:val="00C234E6"/>
    <w:rsid w:val="00C2425E"/>
    <w:rsid w:val="00C243B8"/>
    <w:rsid w:val="00C24743"/>
    <w:rsid w:val="00C249FC"/>
    <w:rsid w:val="00C24D84"/>
    <w:rsid w:val="00C25B20"/>
    <w:rsid w:val="00C27510"/>
    <w:rsid w:val="00C27CEE"/>
    <w:rsid w:val="00C30A2D"/>
    <w:rsid w:val="00C31215"/>
    <w:rsid w:val="00C321D8"/>
    <w:rsid w:val="00C3277D"/>
    <w:rsid w:val="00C33A83"/>
    <w:rsid w:val="00C34C8B"/>
    <w:rsid w:val="00C34F0D"/>
    <w:rsid w:val="00C358D3"/>
    <w:rsid w:val="00C37188"/>
    <w:rsid w:val="00C3733A"/>
    <w:rsid w:val="00C377FE"/>
    <w:rsid w:val="00C4038C"/>
    <w:rsid w:val="00C429C0"/>
    <w:rsid w:val="00C43A02"/>
    <w:rsid w:val="00C43FE1"/>
    <w:rsid w:val="00C4577D"/>
    <w:rsid w:val="00C45C61"/>
    <w:rsid w:val="00C46136"/>
    <w:rsid w:val="00C46F55"/>
    <w:rsid w:val="00C47953"/>
    <w:rsid w:val="00C47CE7"/>
    <w:rsid w:val="00C5030D"/>
    <w:rsid w:val="00C5031E"/>
    <w:rsid w:val="00C50DC4"/>
    <w:rsid w:val="00C5350A"/>
    <w:rsid w:val="00C53A91"/>
    <w:rsid w:val="00C541AD"/>
    <w:rsid w:val="00C54254"/>
    <w:rsid w:val="00C54711"/>
    <w:rsid w:val="00C54D38"/>
    <w:rsid w:val="00C55193"/>
    <w:rsid w:val="00C55818"/>
    <w:rsid w:val="00C55AA8"/>
    <w:rsid w:val="00C55F04"/>
    <w:rsid w:val="00C56FCC"/>
    <w:rsid w:val="00C579E3"/>
    <w:rsid w:val="00C601FE"/>
    <w:rsid w:val="00C60BF9"/>
    <w:rsid w:val="00C61B4D"/>
    <w:rsid w:val="00C61FBC"/>
    <w:rsid w:val="00C6267A"/>
    <w:rsid w:val="00C62F05"/>
    <w:rsid w:val="00C63421"/>
    <w:rsid w:val="00C63AA8"/>
    <w:rsid w:val="00C645CA"/>
    <w:rsid w:val="00C646C5"/>
    <w:rsid w:val="00C64A2C"/>
    <w:rsid w:val="00C6520C"/>
    <w:rsid w:val="00C6761C"/>
    <w:rsid w:val="00C67C01"/>
    <w:rsid w:val="00C67F80"/>
    <w:rsid w:val="00C70211"/>
    <w:rsid w:val="00C70852"/>
    <w:rsid w:val="00C71B0E"/>
    <w:rsid w:val="00C720BF"/>
    <w:rsid w:val="00C72C26"/>
    <w:rsid w:val="00C73849"/>
    <w:rsid w:val="00C73C84"/>
    <w:rsid w:val="00C753FB"/>
    <w:rsid w:val="00C76233"/>
    <w:rsid w:val="00C774F7"/>
    <w:rsid w:val="00C77B8D"/>
    <w:rsid w:val="00C805B9"/>
    <w:rsid w:val="00C80940"/>
    <w:rsid w:val="00C80E95"/>
    <w:rsid w:val="00C81339"/>
    <w:rsid w:val="00C81E80"/>
    <w:rsid w:val="00C81F26"/>
    <w:rsid w:val="00C82012"/>
    <w:rsid w:val="00C83752"/>
    <w:rsid w:val="00C8397C"/>
    <w:rsid w:val="00C83BB9"/>
    <w:rsid w:val="00C853BC"/>
    <w:rsid w:val="00C8575F"/>
    <w:rsid w:val="00C85B6E"/>
    <w:rsid w:val="00C85E0A"/>
    <w:rsid w:val="00C86099"/>
    <w:rsid w:val="00C87261"/>
    <w:rsid w:val="00C8738F"/>
    <w:rsid w:val="00C876DC"/>
    <w:rsid w:val="00C9001A"/>
    <w:rsid w:val="00C90606"/>
    <w:rsid w:val="00C90730"/>
    <w:rsid w:val="00C91875"/>
    <w:rsid w:val="00C92608"/>
    <w:rsid w:val="00C93008"/>
    <w:rsid w:val="00C9335F"/>
    <w:rsid w:val="00C9373D"/>
    <w:rsid w:val="00C93CCC"/>
    <w:rsid w:val="00C95063"/>
    <w:rsid w:val="00C95109"/>
    <w:rsid w:val="00C95AEF"/>
    <w:rsid w:val="00C96EBA"/>
    <w:rsid w:val="00C96F10"/>
    <w:rsid w:val="00CA074F"/>
    <w:rsid w:val="00CA0B7F"/>
    <w:rsid w:val="00CA0E41"/>
    <w:rsid w:val="00CA16FF"/>
    <w:rsid w:val="00CA2141"/>
    <w:rsid w:val="00CA2366"/>
    <w:rsid w:val="00CA380E"/>
    <w:rsid w:val="00CA4505"/>
    <w:rsid w:val="00CA4B0E"/>
    <w:rsid w:val="00CA56D8"/>
    <w:rsid w:val="00CA587E"/>
    <w:rsid w:val="00CA6E3A"/>
    <w:rsid w:val="00CA7466"/>
    <w:rsid w:val="00CB0E4F"/>
    <w:rsid w:val="00CB21E6"/>
    <w:rsid w:val="00CB2324"/>
    <w:rsid w:val="00CB272B"/>
    <w:rsid w:val="00CB349D"/>
    <w:rsid w:val="00CB37C1"/>
    <w:rsid w:val="00CB38D7"/>
    <w:rsid w:val="00CB4871"/>
    <w:rsid w:val="00CB51B2"/>
    <w:rsid w:val="00CB6B45"/>
    <w:rsid w:val="00CB787B"/>
    <w:rsid w:val="00CB7E0D"/>
    <w:rsid w:val="00CB7FE9"/>
    <w:rsid w:val="00CC0226"/>
    <w:rsid w:val="00CC1FAA"/>
    <w:rsid w:val="00CC2496"/>
    <w:rsid w:val="00CC27B5"/>
    <w:rsid w:val="00CC2918"/>
    <w:rsid w:val="00CC2BDD"/>
    <w:rsid w:val="00CC2F67"/>
    <w:rsid w:val="00CC3B58"/>
    <w:rsid w:val="00CC3EB1"/>
    <w:rsid w:val="00CC3F5C"/>
    <w:rsid w:val="00CC45F2"/>
    <w:rsid w:val="00CC6874"/>
    <w:rsid w:val="00CC784D"/>
    <w:rsid w:val="00CD01C4"/>
    <w:rsid w:val="00CD13C3"/>
    <w:rsid w:val="00CD17D2"/>
    <w:rsid w:val="00CD1E69"/>
    <w:rsid w:val="00CD3648"/>
    <w:rsid w:val="00CD3A99"/>
    <w:rsid w:val="00CD51D3"/>
    <w:rsid w:val="00CD629E"/>
    <w:rsid w:val="00CD6E92"/>
    <w:rsid w:val="00CD7AE5"/>
    <w:rsid w:val="00CD7B2B"/>
    <w:rsid w:val="00CE0095"/>
    <w:rsid w:val="00CE19CD"/>
    <w:rsid w:val="00CE3FA1"/>
    <w:rsid w:val="00CE4902"/>
    <w:rsid w:val="00CE512F"/>
    <w:rsid w:val="00CE5F43"/>
    <w:rsid w:val="00CE5FFC"/>
    <w:rsid w:val="00CE6030"/>
    <w:rsid w:val="00CE6925"/>
    <w:rsid w:val="00CE6A61"/>
    <w:rsid w:val="00CE6CEF"/>
    <w:rsid w:val="00CF06AB"/>
    <w:rsid w:val="00CF1B1E"/>
    <w:rsid w:val="00CF4F22"/>
    <w:rsid w:val="00CF5D34"/>
    <w:rsid w:val="00CF6F10"/>
    <w:rsid w:val="00CF7749"/>
    <w:rsid w:val="00CF7A1C"/>
    <w:rsid w:val="00CF7DAD"/>
    <w:rsid w:val="00D0146C"/>
    <w:rsid w:val="00D01802"/>
    <w:rsid w:val="00D02271"/>
    <w:rsid w:val="00D024A3"/>
    <w:rsid w:val="00D02620"/>
    <w:rsid w:val="00D02DA7"/>
    <w:rsid w:val="00D02EB9"/>
    <w:rsid w:val="00D04890"/>
    <w:rsid w:val="00D04ADC"/>
    <w:rsid w:val="00D059B0"/>
    <w:rsid w:val="00D06DF9"/>
    <w:rsid w:val="00D07E16"/>
    <w:rsid w:val="00D11240"/>
    <w:rsid w:val="00D11F7D"/>
    <w:rsid w:val="00D12443"/>
    <w:rsid w:val="00D124A1"/>
    <w:rsid w:val="00D12FB8"/>
    <w:rsid w:val="00D1406C"/>
    <w:rsid w:val="00D143C6"/>
    <w:rsid w:val="00D15DE2"/>
    <w:rsid w:val="00D15F60"/>
    <w:rsid w:val="00D16133"/>
    <w:rsid w:val="00D16824"/>
    <w:rsid w:val="00D1683C"/>
    <w:rsid w:val="00D17341"/>
    <w:rsid w:val="00D20546"/>
    <w:rsid w:val="00D21065"/>
    <w:rsid w:val="00D228CE"/>
    <w:rsid w:val="00D23C37"/>
    <w:rsid w:val="00D24C0E"/>
    <w:rsid w:val="00D24F36"/>
    <w:rsid w:val="00D25EB9"/>
    <w:rsid w:val="00D278ED"/>
    <w:rsid w:val="00D279D7"/>
    <w:rsid w:val="00D3008A"/>
    <w:rsid w:val="00D31F09"/>
    <w:rsid w:val="00D3261A"/>
    <w:rsid w:val="00D32D5D"/>
    <w:rsid w:val="00D333E9"/>
    <w:rsid w:val="00D334F3"/>
    <w:rsid w:val="00D33AF3"/>
    <w:rsid w:val="00D3478A"/>
    <w:rsid w:val="00D34E0B"/>
    <w:rsid w:val="00D356E1"/>
    <w:rsid w:val="00D37593"/>
    <w:rsid w:val="00D3785F"/>
    <w:rsid w:val="00D378BA"/>
    <w:rsid w:val="00D4090D"/>
    <w:rsid w:val="00D4098E"/>
    <w:rsid w:val="00D40C66"/>
    <w:rsid w:val="00D40D7C"/>
    <w:rsid w:val="00D41417"/>
    <w:rsid w:val="00D415A5"/>
    <w:rsid w:val="00D41725"/>
    <w:rsid w:val="00D41875"/>
    <w:rsid w:val="00D41A69"/>
    <w:rsid w:val="00D449BA"/>
    <w:rsid w:val="00D4598E"/>
    <w:rsid w:val="00D46803"/>
    <w:rsid w:val="00D4779D"/>
    <w:rsid w:val="00D509B1"/>
    <w:rsid w:val="00D50FE4"/>
    <w:rsid w:val="00D51A2F"/>
    <w:rsid w:val="00D51F8B"/>
    <w:rsid w:val="00D530C4"/>
    <w:rsid w:val="00D53740"/>
    <w:rsid w:val="00D53F4E"/>
    <w:rsid w:val="00D54799"/>
    <w:rsid w:val="00D54E7C"/>
    <w:rsid w:val="00D559B1"/>
    <w:rsid w:val="00D55DC4"/>
    <w:rsid w:val="00D56106"/>
    <w:rsid w:val="00D5687D"/>
    <w:rsid w:val="00D6049A"/>
    <w:rsid w:val="00D61856"/>
    <w:rsid w:val="00D621BE"/>
    <w:rsid w:val="00D6228A"/>
    <w:rsid w:val="00D62499"/>
    <w:rsid w:val="00D6257F"/>
    <w:rsid w:val="00D62945"/>
    <w:rsid w:val="00D62C8D"/>
    <w:rsid w:val="00D62CCA"/>
    <w:rsid w:val="00D633AC"/>
    <w:rsid w:val="00D63894"/>
    <w:rsid w:val="00D659EE"/>
    <w:rsid w:val="00D711F7"/>
    <w:rsid w:val="00D71994"/>
    <w:rsid w:val="00D71CD7"/>
    <w:rsid w:val="00D737B2"/>
    <w:rsid w:val="00D73C24"/>
    <w:rsid w:val="00D74021"/>
    <w:rsid w:val="00D741B7"/>
    <w:rsid w:val="00D74463"/>
    <w:rsid w:val="00D74612"/>
    <w:rsid w:val="00D75220"/>
    <w:rsid w:val="00D76F39"/>
    <w:rsid w:val="00D76F60"/>
    <w:rsid w:val="00D773A1"/>
    <w:rsid w:val="00D77BBC"/>
    <w:rsid w:val="00D80754"/>
    <w:rsid w:val="00D827F3"/>
    <w:rsid w:val="00D828CF"/>
    <w:rsid w:val="00D82F3F"/>
    <w:rsid w:val="00D845AF"/>
    <w:rsid w:val="00D8485D"/>
    <w:rsid w:val="00D86153"/>
    <w:rsid w:val="00D865E4"/>
    <w:rsid w:val="00D914DC"/>
    <w:rsid w:val="00D91B3C"/>
    <w:rsid w:val="00D91BED"/>
    <w:rsid w:val="00D930CE"/>
    <w:rsid w:val="00D9346F"/>
    <w:rsid w:val="00D94973"/>
    <w:rsid w:val="00D95325"/>
    <w:rsid w:val="00D95A19"/>
    <w:rsid w:val="00D95AEA"/>
    <w:rsid w:val="00D95F8D"/>
    <w:rsid w:val="00D9667F"/>
    <w:rsid w:val="00D966F9"/>
    <w:rsid w:val="00D96F19"/>
    <w:rsid w:val="00D97329"/>
    <w:rsid w:val="00D97AC7"/>
    <w:rsid w:val="00D97DC7"/>
    <w:rsid w:val="00DA09DB"/>
    <w:rsid w:val="00DA0DEF"/>
    <w:rsid w:val="00DA1F77"/>
    <w:rsid w:val="00DA219F"/>
    <w:rsid w:val="00DA222E"/>
    <w:rsid w:val="00DA2AE1"/>
    <w:rsid w:val="00DA2FD0"/>
    <w:rsid w:val="00DA4032"/>
    <w:rsid w:val="00DA5748"/>
    <w:rsid w:val="00DA5CD2"/>
    <w:rsid w:val="00DA65B5"/>
    <w:rsid w:val="00DA6986"/>
    <w:rsid w:val="00DA6B0D"/>
    <w:rsid w:val="00DB1D13"/>
    <w:rsid w:val="00DB1E76"/>
    <w:rsid w:val="00DB2645"/>
    <w:rsid w:val="00DB26B0"/>
    <w:rsid w:val="00DB4018"/>
    <w:rsid w:val="00DB4206"/>
    <w:rsid w:val="00DB5E78"/>
    <w:rsid w:val="00DB7296"/>
    <w:rsid w:val="00DB7B08"/>
    <w:rsid w:val="00DB7E61"/>
    <w:rsid w:val="00DC03BF"/>
    <w:rsid w:val="00DC0B63"/>
    <w:rsid w:val="00DC1417"/>
    <w:rsid w:val="00DC194B"/>
    <w:rsid w:val="00DC1CD6"/>
    <w:rsid w:val="00DC1F66"/>
    <w:rsid w:val="00DC25FF"/>
    <w:rsid w:val="00DC28C6"/>
    <w:rsid w:val="00DC3B3A"/>
    <w:rsid w:val="00DC3D5E"/>
    <w:rsid w:val="00DC416C"/>
    <w:rsid w:val="00DC4553"/>
    <w:rsid w:val="00DC46A1"/>
    <w:rsid w:val="00DC47B3"/>
    <w:rsid w:val="00DC59FA"/>
    <w:rsid w:val="00DC6D38"/>
    <w:rsid w:val="00DD03CE"/>
    <w:rsid w:val="00DD0C06"/>
    <w:rsid w:val="00DD1156"/>
    <w:rsid w:val="00DD176A"/>
    <w:rsid w:val="00DD1F08"/>
    <w:rsid w:val="00DD2DC6"/>
    <w:rsid w:val="00DD4714"/>
    <w:rsid w:val="00DD4935"/>
    <w:rsid w:val="00DD4BFE"/>
    <w:rsid w:val="00DD61C2"/>
    <w:rsid w:val="00DD6809"/>
    <w:rsid w:val="00DD7738"/>
    <w:rsid w:val="00DE099D"/>
    <w:rsid w:val="00DE0BD4"/>
    <w:rsid w:val="00DE0FDC"/>
    <w:rsid w:val="00DE100A"/>
    <w:rsid w:val="00DE1AC4"/>
    <w:rsid w:val="00DE1FB7"/>
    <w:rsid w:val="00DE262B"/>
    <w:rsid w:val="00DE3C5C"/>
    <w:rsid w:val="00DE3D8A"/>
    <w:rsid w:val="00DE3FE1"/>
    <w:rsid w:val="00DE4142"/>
    <w:rsid w:val="00DE4769"/>
    <w:rsid w:val="00DE4ED4"/>
    <w:rsid w:val="00DE542E"/>
    <w:rsid w:val="00DE5D9B"/>
    <w:rsid w:val="00DE6A77"/>
    <w:rsid w:val="00DE6B55"/>
    <w:rsid w:val="00DE777D"/>
    <w:rsid w:val="00DF02C4"/>
    <w:rsid w:val="00DF0DB7"/>
    <w:rsid w:val="00DF17FF"/>
    <w:rsid w:val="00DF1B50"/>
    <w:rsid w:val="00DF1C30"/>
    <w:rsid w:val="00DF1F78"/>
    <w:rsid w:val="00DF3AEF"/>
    <w:rsid w:val="00DF4C4B"/>
    <w:rsid w:val="00DF4D00"/>
    <w:rsid w:val="00DF5CCC"/>
    <w:rsid w:val="00DF631A"/>
    <w:rsid w:val="00DF7A2D"/>
    <w:rsid w:val="00DF7D31"/>
    <w:rsid w:val="00E0035F"/>
    <w:rsid w:val="00E004D3"/>
    <w:rsid w:val="00E00DE4"/>
    <w:rsid w:val="00E01102"/>
    <w:rsid w:val="00E019DC"/>
    <w:rsid w:val="00E01A0B"/>
    <w:rsid w:val="00E021A5"/>
    <w:rsid w:val="00E02D60"/>
    <w:rsid w:val="00E03A65"/>
    <w:rsid w:val="00E03CF9"/>
    <w:rsid w:val="00E053A3"/>
    <w:rsid w:val="00E05D6C"/>
    <w:rsid w:val="00E069AC"/>
    <w:rsid w:val="00E10B8C"/>
    <w:rsid w:val="00E112D8"/>
    <w:rsid w:val="00E1165E"/>
    <w:rsid w:val="00E12761"/>
    <w:rsid w:val="00E12BC1"/>
    <w:rsid w:val="00E1354A"/>
    <w:rsid w:val="00E13A2B"/>
    <w:rsid w:val="00E1404B"/>
    <w:rsid w:val="00E14947"/>
    <w:rsid w:val="00E14E5D"/>
    <w:rsid w:val="00E15195"/>
    <w:rsid w:val="00E158F3"/>
    <w:rsid w:val="00E160FE"/>
    <w:rsid w:val="00E16C47"/>
    <w:rsid w:val="00E17391"/>
    <w:rsid w:val="00E2038A"/>
    <w:rsid w:val="00E2053D"/>
    <w:rsid w:val="00E20CC8"/>
    <w:rsid w:val="00E22BF0"/>
    <w:rsid w:val="00E22D56"/>
    <w:rsid w:val="00E23C80"/>
    <w:rsid w:val="00E24CA5"/>
    <w:rsid w:val="00E24E2B"/>
    <w:rsid w:val="00E24EFC"/>
    <w:rsid w:val="00E25BD7"/>
    <w:rsid w:val="00E25C48"/>
    <w:rsid w:val="00E2608B"/>
    <w:rsid w:val="00E30F82"/>
    <w:rsid w:val="00E3170F"/>
    <w:rsid w:val="00E31DE7"/>
    <w:rsid w:val="00E3268C"/>
    <w:rsid w:val="00E3277E"/>
    <w:rsid w:val="00E32820"/>
    <w:rsid w:val="00E32E8A"/>
    <w:rsid w:val="00E32F3A"/>
    <w:rsid w:val="00E34573"/>
    <w:rsid w:val="00E3465D"/>
    <w:rsid w:val="00E34D6D"/>
    <w:rsid w:val="00E34FF4"/>
    <w:rsid w:val="00E36A02"/>
    <w:rsid w:val="00E3727A"/>
    <w:rsid w:val="00E37AC8"/>
    <w:rsid w:val="00E4033D"/>
    <w:rsid w:val="00E40669"/>
    <w:rsid w:val="00E40844"/>
    <w:rsid w:val="00E40F6E"/>
    <w:rsid w:val="00E41934"/>
    <w:rsid w:val="00E4248A"/>
    <w:rsid w:val="00E43766"/>
    <w:rsid w:val="00E43B01"/>
    <w:rsid w:val="00E44331"/>
    <w:rsid w:val="00E4437F"/>
    <w:rsid w:val="00E4487A"/>
    <w:rsid w:val="00E44A43"/>
    <w:rsid w:val="00E44D5A"/>
    <w:rsid w:val="00E45764"/>
    <w:rsid w:val="00E45B48"/>
    <w:rsid w:val="00E45DBF"/>
    <w:rsid w:val="00E46247"/>
    <w:rsid w:val="00E46A86"/>
    <w:rsid w:val="00E46AE5"/>
    <w:rsid w:val="00E46B6B"/>
    <w:rsid w:val="00E46E13"/>
    <w:rsid w:val="00E47021"/>
    <w:rsid w:val="00E4722B"/>
    <w:rsid w:val="00E47B06"/>
    <w:rsid w:val="00E47E1C"/>
    <w:rsid w:val="00E50701"/>
    <w:rsid w:val="00E5075F"/>
    <w:rsid w:val="00E509E6"/>
    <w:rsid w:val="00E50A2C"/>
    <w:rsid w:val="00E52134"/>
    <w:rsid w:val="00E5220A"/>
    <w:rsid w:val="00E52980"/>
    <w:rsid w:val="00E52CB1"/>
    <w:rsid w:val="00E53088"/>
    <w:rsid w:val="00E53E59"/>
    <w:rsid w:val="00E546D5"/>
    <w:rsid w:val="00E54BD0"/>
    <w:rsid w:val="00E54D12"/>
    <w:rsid w:val="00E5605E"/>
    <w:rsid w:val="00E60167"/>
    <w:rsid w:val="00E6163D"/>
    <w:rsid w:val="00E61D81"/>
    <w:rsid w:val="00E61F81"/>
    <w:rsid w:val="00E62025"/>
    <w:rsid w:val="00E622CC"/>
    <w:rsid w:val="00E63492"/>
    <w:rsid w:val="00E63EAB"/>
    <w:rsid w:val="00E649A3"/>
    <w:rsid w:val="00E65B20"/>
    <w:rsid w:val="00E666E5"/>
    <w:rsid w:val="00E66890"/>
    <w:rsid w:val="00E66F78"/>
    <w:rsid w:val="00E678E5"/>
    <w:rsid w:val="00E67B07"/>
    <w:rsid w:val="00E7119C"/>
    <w:rsid w:val="00E72B13"/>
    <w:rsid w:val="00E73327"/>
    <w:rsid w:val="00E73A8D"/>
    <w:rsid w:val="00E746A5"/>
    <w:rsid w:val="00E74801"/>
    <w:rsid w:val="00E748A3"/>
    <w:rsid w:val="00E75A10"/>
    <w:rsid w:val="00E75B45"/>
    <w:rsid w:val="00E767F2"/>
    <w:rsid w:val="00E76D55"/>
    <w:rsid w:val="00E76F05"/>
    <w:rsid w:val="00E776FB"/>
    <w:rsid w:val="00E779B2"/>
    <w:rsid w:val="00E8023B"/>
    <w:rsid w:val="00E80F7E"/>
    <w:rsid w:val="00E81897"/>
    <w:rsid w:val="00E81C19"/>
    <w:rsid w:val="00E81C47"/>
    <w:rsid w:val="00E8243F"/>
    <w:rsid w:val="00E8384D"/>
    <w:rsid w:val="00E83BBF"/>
    <w:rsid w:val="00E83F2A"/>
    <w:rsid w:val="00E843EC"/>
    <w:rsid w:val="00E84643"/>
    <w:rsid w:val="00E846C7"/>
    <w:rsid w:val="00E851A2"/>
    <w:rsid w:val="00E865C3"/>
    <w:rsid w:val="00E87EDF"/>
    <w:rsid w:val="00E90116"/>
    <w:rsid w:val="00E902EA"/>
    <w:rsid w:val="00E9074E"/>
    <w:rsid w:val="00E91D72"/>
    <w:rsid w:val="00E9392F"/>
    <w:rsid w:val="00E9433B"/>
    <w:rsid w:val="00E96200"/>
    <w:rsid w:val="00E96F51"/>
    <w:rsid w:val="00E9758E"/>
    <w:rsid w:val="00E97EFE"/>
    <w:rsid w:val="00E97F92"/>
    <w:rsid w:val="00EA030C"/>
    <w:rsid w:val="00EA067A"/>
    <w:rsid w:val="00EA0B48"/>
    <w:rsid w:val="00EA0FDE"/>
    <w:rsid w:val="00EA1016"/>
    <w:rsid w:val="00EA106D"/>
    <w:rsid w:val="00EA3B44"/>
    <w:rsid w:val="00EA4502"/>
    <w:rsid w:val="00EA5C43"/>
    <w:rsid w:val="00EA7D75"/>
    <w:rsid w:val="00EB006A"/>
    <w:rsid w:val="00EB03C3"/>
    <w:rsid w:val="00EB07D2"/>
    <w:rsid w:val="00EB0DC8"/>
    <w:rsid w:val="00EB104A"/>
    <w:rsid w:val="00EB1183"/>
    <w:rsid w:val="00EB1287"/>
    <w:rsid w:val="00EB20C2"/>
    <w:rsid w:val="00EB244A"/>
    <w:rsid w:val="00EB25FD"/>
    <w:rsid w:val="00EB3080"/>
    <w:rsid w:val="00EB34A3"/>
    <w:rsid w:val="00EB4BC6"/>
    <w:rsid w:val="00EB6097"/>
    <w:rsid w:val="00EB6F35"/>
    <w:rsid w:val="00EB71B0"/>
    <w:rsid w:val="00EB71FC"/>
    <w:rsid w:val="00EB7E62"/>
    <w:rsid w:val="00EB7F96"/>
    <w:rsid w:val="00EC0B52"/>
    <w:rsid w:val="00EC0F7D"/>
    <w:rsid w:val="00EC1962"/>
    <w:rsid w:val="00EC1F42"/>
    <w:rsid w:val="00EC27E0"/>
    <w:rsid w:val="00EC28D2"/>
    <w:rsid w:val="00EC29C8"/>
    <w:rsid w:val="00EC2C94"/>
    <w:rsid w:val="00EC2E68"/>
    <w:rsid w:val="00EC33F2"/>
    <w:rsid w:val="00EC376D"/>
    <w:rsid w:val="00EC419B"/>
    <w:rsid w:val="00EC4BB7"/>
    <w:rsid w:val="00EC5164"/>
    <w:rsid w:val="00EC5560"/>
    <w:rsid w:val="00EC58E6"/>
    <w:rsid w:val="00EC6E65"/>
    <w:rsid w:val="00EC6EE2"/>
    <w:rsid w:val="00EC7F0C"/>
    <w:rsid w:val="00ED0C07"/>
    <w:rsid w:val="00ED1B60"/>
    <w:rsid w:val="00ED1F0D"/>
    <w:rsid w:val="00ED2FA0"/>
    <w:rsid w:val="00ED3A44"/>
    <w:rsid w:val="00ED4CA2"/>
    <w:rsid w:val="00ED4E14"/>
    <w:rsid w:val="00ED6079"/>
    <w:rsid w:val="00ED64D5"/>
    <w:rsid w:val="00ED6ECA"/>
    <w:rsid w:val="00ED7253"/>
    <w:rsid w:val="00EE07E0"/>
    <w:rsid w:val="00EE0EA1"/>
    <w:rsid w:val="00EE2423"/>
    <w:rsid w:val="00EE2D86"/>
    <w:rsid w:val="00EE3A7D"/>
    <w:rsid w:val="00EE5996"/>
    <w:rsid w:val="00EE5B37"/>
    <w:rsid w:val="00EE636C"/>
    <w:rsid w:val="00EE6BC6"/>
    <w:rsid w:val="00EE6CF6"/>
    <w:rsid w:val="00EE716F"/>
    <w:rsid w:val="00EE7898"/>
    <w:rsid w:val="00EF1741"/>
    <w:rsid w:val="00EF1AC9"/>
    <w:rsid w:val="00EF1D3D"/>
    <w:rsid w:val="00EF277B"/>
    <w:rsid w:val="00EF29BC"/>
    <w:rsid w:val="00EF2AD9"/>
    <w:rsid w:val="00EF3DC3"/>
    <w:rsid w:val="00EF3FE9"/>
    <w:rsid w:val="00EF41B7"/>
    <w:rsid w:val="00EF46AD"/>
    <w:rsid w:val="00EF5149"/>
    <w:rsid w:val="00EF537C"/>
    <w:rsid w:val="00EF5451"/>
    <w:rsid w:val="00EF632E"/>
    <w:rsid w:val="00EF7193"/>
    <w:rsid w:val="00EF79A9"/>
    <w:rsid w:val="00F00081"/>
    <w:rsid w:val="00F002BE"/>
    <w:rsid w:val="00F01116"/>
    <w:rsid w:val="00F011FB"/>
    <w:rsid w:val="00F02938"/>
    <w:rsid w:val="00F029F6"/>
    <w:rsid w:val="00F05B8F"/>
    <w:rsid w:val="00F060AE"/>
    <w:rsid w:val="00F065F1"/>
    <w:rsid w:val="00F0695D"/>
    <w:rsid w:val="00F06E33"/>
    <w:rsid w:val="00F10966"/>
    <w:rsid w:val="00F115F1"/>
    <w:rsid w:val="00F1256E"/>
    <w:rsid w:val="00F13C09"/>
    <w:rsid w:val="00F1490E"/>
    <w:rsid w:val="00F149A9"/>
    <w:rsid w:val="00F14BF4"/>
    <w:rsid w:val="00F14CC6"/>
    <w:rsid w:val="00F15E9D"/>
    <w:rsid w:val="00F15F8A"/>
    <w:rsid w:val="00F16311"/>
    <w:rsid w:val="00F16B57"/>
    <w:rsid w:val="00F16CD8"/>
    <w:rsid w:val="00F17284"/>
    <w:rsid w:val="00F17DFE"/>
    <w:rsid w:val="00F2239E"/>
    <w:rsid w:val="00F23D40"/>
    <w:rsid w:val="00F24177"/>
    <w:rsid w:val="00F24B45"/>
    <w:rsid w:val="00F24B85"/>
    <w:rsid w:val="00F2534E"/>
    <w:rsid w:val="00F25A93"/>
    <w:rsid w:val="00F26739"/>
    <w:rsid w:val="00F26FF5"/>
    <w:rsid w:val="00F3060C"/>
    <w:rsid w:val="00F30717"/>
    <w:rsid w:val="00F31FEF"/>
    <w:rsid w:val="00F3202E"/>
    <w:rsid w:val="00F321E5"/>
    <w:rsid w:val="00F3279B"/>
    <w:rsid w:val="00F32B44"/>
    <w:rsid w:val="00F33EA4"/>
    <w:rsid w:val="00F3460B"/>
    <w:rsid w:val="00F35793"/>
    <w:rsid w:val="00F361BB"/>
    <w:rsid w:val="00F3672B"/>
    <w:rsid w:val="00F36CF0"/>
    <w:rsid w:val="00F36D93"/>
    <w:rsid w:val="00F4053B"/>
    <w:rsid w:val="00F41A69"/>
    <w:rsid w:val="00F41C0E"/>
    <w:rsid w:val="00F426CA"/>
    <w:rsid w:val="00F42F8C"/>
    <w:rsid w:val="00F43CF4"/>
    <w:rsid w:val="00F43D68"/>
    <w:rsid w:val="00F4521E"/>
    <w:rsid w:val="00F462A2"/>
    <w:rsid w:val="00F468B2"/>
    <w:rsid w:val="00F4739B"/>
    <w:rsid w:val="00F47FA8"/>
    <w:rsid w:val="00F50CA8"/>
    <w:rsid w:val="00F51656"/>
    <w:rsid w:val="00F52EB4"/>
    <w:rsid w:val="00F531C8"/>
    <w:rsid w:val="00F53599"/>
    <w:rsid w:val="00F5399E"/>
    <w:rsid w:val="00F539A7"/>
    <w:rsid w:val="00F54004"/>
    <w:rsid w:val="00F5415E"/>
    <w:rsid w:val="00F55209"/>
    <w:rsid w:val="00F56D90"/>
    <w:rsid w:val="00F57699"/>
    <w:rsid w:val="00F5771C"/>
    <w:rsid w:val="00F57985"/>
    <w:rsid w:val="00F57A53"/>
    <w:rsid w:val="00F61498"/>
    <w:rsid w:val="00F614F7"/>
    <w:rsid w:val="00F61A53"/>
    <w:rsid w:val="00F63568"/>
    <w:rsid w:val="00F6580E"/>
    <w:rsid w:val="00F65854"/>
    <w:rsid w:val="00F66678"/>
    <w:rsid w:val="00F6724D"/>
    <w:rsid w:val="00F67B3A"/>
    <w:rsid w:val="00F70196"/>
    <w:rsid w:val="00F702ED"/>
    <w:rsid w:val="00F711C7"/>
    <w:rsid w:val="00F713DA"/>
    <w:rsid w:val="00F72250"/>
    <w:rsid w:val="00F724D6"/>
    <w:rsid w:val="00F72A4E"/>
    <w:rsid w:val="00F7381A"/>
    <w:rsid w:val="00F744E0"/>
    <w:rsid w:val="00F7455C"/>
    <w:rsid w:val="00F74936"/>
    <w:rsid w:val="00F74D59"/>
    <w:rsid w:val="00F75301"/>
    <w:rsid w:val="00F7675E"/>
    <w:rsid w:val="00F773BE"/>
    <w:rsid w:val="00F80A53"/>
    <w:rsid w:val="00F816EC"/>
    <w:rsid w:val="00F81EB0"/>
    <w:rsid w:val="00F82C8D"/>
    <w:rsid w:val="00F8350D"/>
    <w:rsid w:val="00F8474F"/>
    <w:rsid w:val="00F84AA3"/>
    <w:rsid w:val="00F84C59"/>
    <w:rsid w:val="00F84CE4"/>
    <w:rsid w:val="00F868BE"/>
    <w:rsid w:val="00F87338"/>
    <w:rsid w:val="00F87641"/>
    <w:rsid w:val="00F877AF"/>
    <w:rsid w:val="00F87B11"/>
    <w:rsid w:val="00F90116"/>
    <w:rsid w:val="00F90246"/>
    <w:rsid w:val="00F9027E"/>
    <w:rsid w:val="00F9047E"/>
    <w:rsid w:val="00F90C0B"/>
    <w:rsid w:val="00F90D4D"/>
    <w:rsid w:val="00F91714"/>
    <w:rsid w:val="00F91F55"/>
    <w:rsid w:val="00F93019"/>
    <w:rsid w:val="00F93886"/>
    <w:rsid w:val="00F939C4"/>
    <w:rsid w:val="00F93BF7"/>
    <w:rsid w:val="00F94B5C"/>
    <w:rsid w:val="00F95AF3"/>
    <w:rsid w:val="00F96BC0"/>
    <w:rsid w:val="00F97EC0"/>
    <w:rsid w:val="00FA0E99"/>
    <w:rsid w:val="00FA32A6"/>
    <w:rsid w:val="00FA4B92"/>
    <w:rsid w:val="00FA56B3"/>
    <w:rsid w:val="00FA646F"/>
    <w:rsid w:val="00FA6D78"/>
    <w:rsid w:val="00FA74D0"/>
    <w:rsid w:val="00FB0F23"/>
    <w:rsid w:val="00FB1895"/>
    <w:rsid w:val="00FB252C"/>
    <w:rsid w:val="00FB328A"/>
    <w:rsid w:val="00FB3696"/>
    <w:rsid w:val="00FB39D0"/>
    <w:rsid w:val="00FB3FC2"/>
    <w:rsid w:val="00FB3FCB"/>
    <w:rsid w:val="00FB445A"/>
    <w:rsid w:val="00FB47F5"/>
    <w:rsid w:val="00FB4894"/>
    <w:rsid w:val="00FB604F"/>
    <w:rsid w:val="00FB71D5"/>
    <w:rsid w:val="00FB72BB"/>
    <w:rsid w:val="00FC0D35"/>
    <w:rsid w:val="00FC12A0"/>
    <w:rsid w:val="00FC13A5"/>
    <w:rsid w:val="00FC29C4"/>
    <w:rsid w:val="00FC3030"/>
    <w:rsid w:val="00FC3BDD"/>
    <w:rsid w:val="00FC42EE"/>
    <w:rsid w:val="00FC44D4"/>
    <w:rsid w:val="00FC5329"/>
    <w:rsid w:val="00FC71E4"/>
    <w:rsid w:val="00FD0658"/>
    <w:rsid w:val="00FD130F"/>
    <w:rsid w:val="00FD1815"/>
    <w:rsid w:val="00FD2597"/>
    <w:rsid w:val="00FD2713"/>
    <w:rsid w:val="00FD2E3C"/>
    <w:rsid w:val="00FD4744"/>
    <w:rsid w:val="00FD5122"/>
    <w:rsid w:val="00FD5D68"/>
    <w:rsid w:val="00FD645A"/>
    <w:rsid w:val="00FD6A16"/>
    <w:rsid w:val="00FD6BEB"/>
    <w:rsid w:val="00FD6BFD"/>
    <w:rsid w:val="00FD7891"/>
    <w:rsid w:val="00FD7945"/>
    <w:rsid w:val="00FD7FBF"/>
    <w:rsid w:val="00FE01CA"/>
    <w:rsid w:val="00FE0816"/>
    <w:rsid w:val="00FE0A7C"/>
    <w:rsid w:val="00FE1234"/>
    <w:rsid w:val="00FE36C5"/>
    <w:rsid w:val="00FE5A07"/>
    <w:rsid w:val="00FE5AC7"/>
    <w:rsid w:val="00FE5D38"/>
    <w:rsid w:val="00FE66BF"/>
    <w:rsid w:val="00FE719C"/>
    <w:rsid w:val="00FE777D"/>
    <w:rsid w:val="00FF1A63"/>
    <w:rsid w:val="00FF21F1"/>
    <w:rsid w:val="00FF2879"/>
    <w:rsid w:val="00FF4A88"/>
    <w:rsid w:val="00FF4C54"/>
    <w:rsid w:val="00FF53E5"/>
    <w:rsid w:val="00FF5BAB"/>
    <w:rsid w:val="00FF64CA"/>
    <w:rsid w:val="00FF696B"/>
    <w:rsid w:val="00FF69D4"/>
    <w:rsid w:val="00FF6CED"/>
    <w:rsid w:val="00FF7496"/>
    <w:rsid w:val="028631A6"/>
    <w:rsid w:val="09CA89AD"/>
    <w:rsid w:val="0D90A041"/>
    <w:rsid w:val="0DBC1103"/>
    <w:rsid w:val="10628A7F"/>
    <w:rsid w:val="14925E3E"/>
    <w:rsid w:val="14A39B9F"/>
    <w:rsid w:val="14EB1363"/>
    <w:rsid w:val="1589EF30"/>
    <w:rsid w:val="199239B6"/>
    <w:rsid w:val="1CA5A0C4"/>
    <w:rsid w:val="1F17A919"/>
    <w:rsid w:val="3123D50C"/>
    <w:rsid w:val="31242F91"/>
    <w:rsid w:val="3A7107A9"/>
    <w:rsid w:val="3B434BCA"/>
    <w:rsid w:val="3CD3A813"/>
    <w:rsid w:val="423B2AEE"/>
    <w:rsid w:val="439F6C17"/>
    <w:rsid w:val="43F177AE"/>
    <w:rsid w:val="4435C855"/>
    <w:rsid w:val="44AC3E15"/>
    <w:rsid w:val="4A3A08D1"/>
    <w:rsid w:val="4CFBA4AA"/>
    <w:rsid w:val="4F109FE9"/>
    <w:rsid w:val="5811957B"/>
    <w:rsid w:val="5A9E56EF"/>
    <w:rsid w:val="5D1C0C61"/>
    <w:rsid w:val="5EF80E54"/>
    <w:rsid w:val="60AD52AA"/>
    <w:rsid w:val="62DB1C5F"/>
    <w:rsid w:val="62E7C6EC"/>
    <w:rsid w:val="640D4A7C"/>
    <w:rsid w:val="6869CF00"/>
    <w:rsid w:val="6AF1E9C4"/>
    <w:rsid w:val="6D2C4771"/>
    <w:rsid w:val="6FF950D0"/>
    <w:rsid w:val="710566CE"/>
    <w:rsid w:val="7675B225"/>
    <w:rsid w:val="7A829717"/>
    <w:rsid w:val="7E2289E4"/>
    <w:rsid w:val="7F2F753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A8E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923"/>
    <w:pPr>
      <w:spacing w:before="240" w:after="120" w:line="240" w:lineRule="auto"/>
    </w:pPr>
    <w:rPr>
      <w:rFonts w:ascii="Arial" w:hAnsi="Arial" w:cs="Arial"/>
      <w:sz w:val="24"/>
    </w:rPr>
  </w:style>
  <w:style w:type="paragraph" w:styleId="Heading1">
    <w:name w:val="heading 1"/>
    <w:next w:val="Normal"/>
    <w:link w:val="Heading1Char"/>
    <w:uiPriority w:val="9"/>
    <w:qFormat/>
    <w:rsid w:val="002D0D8E"/>
    <w:pPr>
      <w:keepNext/>
      <w:spacing w:before="240" w:after="120" w:line="240" w:lineRule="auto"/>
      <w:outlineLvl w:val="0"/>
    </w:pPr>
    <w:rPr>
      <w:rFonts w:ascii="Arial" w:hAnsi="Arial" w:cs="Arial"/>
      <w:b/>
      <w:color w:val="000000" w:themeColor="text1"/>
      <w:sz w:val="36"/>
      <w:szCs w:val="32"/>
    </w:rPr>
  </w:style>
  <w:style w:type="paragraph" w:styleId="Heading2">
    <w:name w:val="heading 2"/>
    <w:next w:val="Normal"/>
    <w:link w:val="Heading2Char"/>
    <w:uiPriority w:val="9"/>
    <w:unhideWhenUsed/>
    <w:qFormat/>
    <w:rsid w:val="00E47B06"/>
    <w:pPr>
      <w:keepNext/>
      <w:spacing w:before="240" w:after="120" w:line="240" w:lineRule="auto"/>
      <w:outlineLvl w:val="1"/>
    </w:pPr>
    <w:rPr>
      <w:rFonts w:ascii="Arial" w:hAnsi="Arial" w:cs="Arial"/>
      <w:b/>
      <w:sz w:val="28"/>
    </w:rPr>
  </w:style>
  <w:style w:type="paragraph" w:styleId="Heading3">
    <w:name w:val="heading 3"/>
    <w:next w:val="Normal"/>
    <w:link w:val="Heading3Char"/>
    <w:uiPriority w:val="9"/>
    <w:unhideWhenUsed/>
    <w:qFormat/>
    <w:rsid w:val="00E1404B"/>
    <w:pPr>
      <w:keepNext/>
      <w:spacing w:before="240" w:after="120" w:line="240" w:lineRule="auto"/>
      <w:outlineLvl w:val="2"/>
    </w:pPr>
    <w:rPr>
      <w:rFonts w:ascii="Arial" w:hAnsi="Arial" w:cs="Arial"/>
      <w:b/>
      <w:color w:val="00577D"/>
      <w:sz w:val="24"/>
    </w:rPr>
  </w:style>
  <w:style w:type="paragraph" w:styleId="Heading4">
    <w:name w:val="heading 4"/>
    <w:basedOn w:val="Normal"/>
    <w:next w:val="Normal"/>
    <w:link w:val="Heading4Char"/>
    <w:uiPriority w:val="9"/>
    <w:unhideWhenUsed/>
    <w:qFormat/>
    <w:rsid w:val="00D7522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043625"/>
    <w:pPr>
      <w:spacing w:before="320" w:after="600"/>
    </w:pPr>
    <w:rPr>
      <w:rFonts w:ascii="Arial" w:hAnsi="Arial" w:cs="Arial"/>
      <w:b/>
      <w:color w:val="FFFFFF" w:themeColor="background1"/>
      <w:sz w:val="72"/>
    </w:rPr>
  </w:style>
  <w:style w:type="character" w:customStyle="1" w:styleId="TitleChar">
    <w:name w:val="Title Char"/>
    <w:basedOn w:val="DefaultParagraphFont"/>
    <w:link w:val="Title"/>
    <w:uiPriority w:val="10"/>
    <w:rsid w:val="00043625"/>
    <w:rPr>
      <w:rFonts w:ascii="Arial" w:hAnsi="Arial" w:cs="Arial"/>
      <w:b/>
      <w:color w:val="FFFFFF" w:themeColor="background1"/>
      <w:sz w:val="72"/>
    </w:rPr>
  </w:style>
  <w:style w:type="paragraph" w:styleId="Subtitle">
    <w:name w:val="Subtitle"/>
    <w:next w:val="Normal"/>
    <w:link w:val="SubtitleChar"/>
    <w:uiPriority w:val="11"/>
    <w:qFormat/>
    <w:rsid w:val="00043625"/>
    <w:pPr>
      <w:keepNext/>
    </w:pPr>
    <w:rPr>
      <w:rFonts w:ascii="Arial" w:hAnsi="Arial" w:cs="Arial"/>
      <w:b/>
      <w:color w:val="000000" w:themeColor="text1"/>
      <w:sz w:val="56"/>
      <w:szCs w:val="32"/>
    </w:rPr>
  </w:style>
  <w:style w:type="character" w:customStyle="1" w:styleId="SubtitleChar">
    <w:name w:val="Subtitle Char"/>
    <w:basedOn w:val="DefaultParagraphFont"/>
    <w:link w:val="Subtitle"/>
    <w:uiPriority w:val="11"/>
    <w:rsid w:val="00043625"/>
    <w:rPr>
      <w:rFonts w:ascii="Arial" w:hAnsi="Arial" w:cs="Arial"/>
      <w:b/>
      <w:color w:val="000000" w:themeColor="text1"/>
      <w:sz w:val="56"/>
      <w:szCs w:val="32"/>
    </w:rPr>
  </w:style>
  <w:style w:type="character" w:customStyle="1" w:styleId="Heading1Char">
    <w:name w:val="Heading 1 Char"/>
    <w:basedOn w:val="DefaultParagraphFont"/>
    <w:link w:val="Heading1"/>
    <w:uiPriority w:val="9"/>
    <w:rsid w:val="002D0D8E"/>
    <w:rPr>
      <w:rFonts w:ascii="Arial" w:hAnsi="Arial" w:cs="Arial"/>
      <w:b/>
      <w:color w:val="000000" w:themeColor="text1"/>
      <w:sz w:val="36"/>
      <w:szCs w:val="32"/>
    </w:rPr>
  </w:style>
  <w:style w:type="character" w:customStyle="1" w:styleId="Heading2Char">
    <w:name w:val="Heading 2 Char"/>
    <w:basedOn w:val="DefaultParagraphFont"/>
    <w:link w:val="Heading2"/>
    <w:uiPriority w:val="9"/>
    <w:rsid w:val="00E47B06"/>
    <w:rPr>
      <w:rFonts w:ascii="Arial" w:hAnsi="Arial" w:cs="Arial"/>
      <w:b/>
      <w:sz w:val="28"/>
    </w:rPr>
  </w:style>
  <w:style w:type="character" w:customStyle="1" w:styleId="Heading3Char">
    <w:name w:val="Heading 3 Char"/>
    <w:basedOn w:val="DefaultParagraphFont"/>
    <w:link w:val="Heading3"/>
    <w:uiPriority w:val="9"/>
    <w:rsid w:val="00E1404B"/>
    <w:rPr>
      <w:rFonts w:ascii="Arial" w:hAnsi="Arial" w:cs="Arial"/>
      <w:b/>
      <w:color w:val="00577D"/>
      <w:sz w:val="24"/>
    </w:rPr>
  </w:style>
  <w:style w:type="paragraph" w:styleId="ListParagraph">
    <w:name w:val="List Paragraph"/>
    <w:aliases w:val="Bullets,Recommendation,List Paragraph1,List Paragraph11,L,#List Paragraph,Bullet Level 1,Bullet Point,Bulletr List Paragraph,Content descriptions,FooterText,List Bullet 1,List Paragraph2,List Paragraph21,Listeafsnit1,リスト段落,列,Bullet point"/>
    <w:basedOn w:val="Normal"/>
    <w:link w:val="ListParagraphChar"/>
    <w:uiPriority w:val="34"/>
    <w:qFormat/>
    <w:rsid w:val="006F1923"/>
    <w:pPr>
      <w:ind w:left="720"/>
      <w:contextualSpacing/>
    </w:pPr>
  </w:style>
  <w:style w:type="paragraph" w:styleId="ListBullet">
    <w:name w:val="List Bullet"/>
    <w:basedOn w:val="ListParagraph"/>
    <w:uiPriority w:val="99"/>
    <w:unhideWhenUsed/>
    <w:rsid w:val="003C5549"/>
    <w:pPr>
      <w:numPr>
        <w:numId w:val="11"/>
      </w:numPr>
      <w:contextualSpacing w:val="0"/>
    </w:pPr>
  </w:style>
  <w:style w:type="paragraph" w:styleId="ListBullet2">
    <w:name w:val="List Bullet 2"/>
    <w:basedOn w:val="ListParagraph"/>
    <w:uiPriority w:val="99"/>
    <w:unhideWhenUsed/>
    <w:rsid w:val="00DB4018"/>
    <w:pPr>
      <w:numPr>
        <w:ilvl w:val="1"/>
        <w:numId w:val="11"/>
      </w:numPr>
      <w:tabs>
        <w:tab w:val="left" w:pos="851"/>
      </w:tabs>
      <w:spacing w:before="120"/>
      <w:ind w:left="992" w:hanging="425"/>
      <w:contextualSpacing w:val="0"/>
    </w:pPr>
  </w:style>
  <w:style w:type="paragraph" w:styleId="ListBullet3">
    <w:name w:val="List Bullet 3"/>
    <w:basedOn w:val="ListParagraph"/>
    <w:uiPriority w:val="99"/>
    <w:unhideWhenUsed/>
    <w:rsid w:val="00B67B88"/>
    <w:pPr>
      <w:numPr>
        <w:ilvl w:val="2"/>
        <w:numId w:val="11"/>
      </w:numPr>
      <w:ind w:left="1276" w:hanging="425"/>
      <w:contextualSpacing w:val="0"/>
    </w:pPr>
  </w:style>
  <w:style w:type="paragraph" w:styleId="ListNumber">
    <w:name w:val="List Number"/>
    <w:basedOn w:val="ListParagraph"/>
    <w:uiPriority w:val="99"/>
    <w:unhideWhenUsed/>
    <w:rsid w:val="006F1923"/>
    <w:pPr>
      <w:numPr>
        <w:numId w:val="13"/>
      </w:numPr>
      <w:contextualSpacing w:val="0"/>
    </w:pPr>
  </w:style>
  <w:style w:type="paragraph" w:styleId="ListNumber2">
    <w:name w:val="List Number 2"/>
    <w:basedOn w:val="ListParagraph"/>
    <w:uiPriority w:val="99"/>
    <w:unhideWhenUsed/>
    <w:rsid w:val="006F1923"/>
    <w:pPr>
      <w:numPr>
        <w:ilvl w:val="1"/>
        <w:numId w:val="13"/>
      </w:numPr>
      <w:contextualSpacing w:val="0"/>
    </w:pPr>
  </w:style>
  <w:style w:type="paragraph" w:styleId="ListNumber3">
    <w:name w:val="List Number 3"/>
    <w:basedOn w:val="ListParagraph"/>
    <w:uiPriority w:val="99"/>
    <w:unhideWhenUsed/>
    <w:rsid w:val="006F1923"/>
    <w:pPr>
      <w:numPr>
        <w:ilvl w:val="2"/>
        <w:numId w:val="13"/>
      </w:numPr>
      <w:contextualSpacing w:val="0"/>
    </w:pPr>
  </w:style>
  <w:style w:type="table" w:customStyle="1" w:styleId="TableGrid1">
    <w:name w:val="Table Grid1"/>
    <w:basedOn w:val="TableNormal"/>
    <w:next w:val="TableGrid"/>
    <w:uiPriority w:val="59"/>
    <w:rsid w:val="006F1923"/>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F1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1923"/>
    <w:pPr>
      <w:tabs>
        <w:tab w:val="center" w:pos="4513"/>
        <w:tab w:val="right" w:pos="9026"/>
      </w:tabs>
      <w:spacing w:before="0" w:after="0"/>
    </w:pPr>
  </w:style>
  <w:style w:type="character" w:customStyle="1" w:styleId="HeaderChar">
    <w:name w:val="Header Char"/>
    <w:basedOn w:val="DefaultParagraphFont"/>
    <w:link w:val="Header"/>
    <w:uiPriority w:val="99"/>
    <w:rsid w:val="006F1923"/>
    <w:rPr>
      <w:rFonts w:ascii="Arial" w:hAnsi="Arial" w:cs="Arial"/>
      <w:sz w:val="24"/>
    </w:rPr>
  </w:style>
  <w:style w:type="paragraph" w:styleId="Footer">
    <w:name w:val="footer"/>
    <w:basedOn w:val="Normal"/>
    <w:link w:val="FooterChar"/>
    <w:uiPriority w:val="99"/>
    <w:unhideWhenUsed/>
    <w:rsid w:val="006F1923"/>
    <w:pPr>
      <w:tabs>
        <w:tab w:val="center" w:pos="4513"/>
        <w:tab w:val="right" w:pos="9026"/>
      </w:tabs>
      <w:spacing w:before="0" w:after="0"/>
    </w:pPr>
  </w:style>
  <w:style w:type="character" w:customStyle="1" w:styleId="FooterChar">
    <w:name w:val="Footer Char"/>
    <w:basedOn w:val="DefaultParagraphFont"/>
    <w:link w:val="Footer"/>
    <w:uiPriority w:val="99"/>
    <w:rsid w:val="006F1923"/>
    <w:rPr>
      <w:rFonts w:ascii="Arial" w:hAnsi="Arial" w:cs="Arial"/>
      <w:sz w:val="24"/>
    </w:rPr>
  </w:style>
  <w:style w:type="character" w:styleId="CommentReference">
    <w:name w:val="annotation reference"/>
    <w:basedOn w:val="DefaultParagraphFont"/>
    <w:uiPriority w:val="99"/>
    <w:semiHidden/>
    <w:unhideWhenUsed/>
    <w:rsid w:val="00F4053B"/>
    <w:rPr>
      <w:sz w:val="16"/>
      <w:szCs w:val="16"/>
    </w:rPr>
  </w:style>
  <w:style w:type="paragraph" w:styleId="CommentText">
    <w:name w:val="annotation text"/>
    <w:basedOn w:val="Normal"/>
    <w:link w:val="CommentTextChar"/>
    <w:uiPriority w:val="99"/>
    <w:unhideWhenUsed/>
    <w:rsid w:val="00F4053B"/>
    <w:rPr>
      <w:sz w:val="20"/>
      <w:szCs w:val="20"/>
    </w:rPr>
  </w:style>
  <w:style w:type="character" w:customStyle="1" w:styleId="CommentTextChar">
    <w:name w:val="Comment Text Char"/>
    <w:basedOn w:val="DefaultParagraphFont"/>
    <w:link w:val="CommentText"/>
    <w:uiPriority w:val="99"/>
    <w:rsid w:val="00F4053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4053B"/>
    <w:rPr>
      <w:b/>
      <w:bCs/>
    </w:rPr>
  </w:style>
  <w:style w:type="character" w:customStyle="1" w:styleId="CommentSubjectChar">
    <w:name w:val="Comment Subject Char"/>
    <w:basedOn w:val="CommentTextChar"/>
    <w:link w:val="CommentSubject"/>
    <w:uiPriority w:val="99"/>
    <w:semiHidden/>
    <w:rsid w:val="00F4053B"/>
    <w:rPr>
      <w:rFonts w:ascii="Arial" w:hAnsi="Arial" w:cs="Arial"/>
      <w:b/>
      <w:bCs/>
      <w:sz w:val="20"/>
      <w:szCs w:val="20"/>
    </w:rPr>
  </w:style>
  <w:style w:type="paragraph" w:styleId="BalloonText">
    <w:name w:val="Balloon Text"/>
    <w:basedOn w:val="Normal"/>
    <w:link w:val="BalloonTextChar"/>
    <w:uiPriority w:val="99"/>
    <w:semiHidden/>
    <w:unhideWhenUsed/>
    <w:rsid w:val="00F4053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53B"/>
    <w:rPr>
      <w:rFonts w:ascii="Segoe UI" w:hAnsi="Segoe UI" w:cs="Segoe UI"/>
      <w:sz w:val="18"/>
      <w:szCs w:val="18"/>
    </w:rPr>
  </w:style>
  <w:style w:type="character" w:styleId="Hyperlink">
    <w:name w:val="Hyperlink"/>
    <w:basedOn w:val="DefaultParagraphFont"/>
    <w:uiPriority w:val="99"/>
    <w:unhideWhenUsed/>
    <w:rsid w:val="00F4053B"/>
    <w:rPr>
      <w:color w:val="0563C1" w:themeColor="hyperlink"/>
      <w:u w:val="single"/>
    </w:rPr>
  </w:style>
  <w:style w:type="character" w:customStyle="1" w:styleId="UnresolvedMention1">
    <w:name w:val="Unresolved Mention1"/>
    <w:basedOn w:val="DefaultParagraphFont"/>
    <w:uiPriority w:val="99"/>
    <w:semiHidden/>
    <w:unhideWhenUsed/>
    <w:rsid w:val="00F4053B"/>
    <w:rPr>
      <w:color w:val="605E5C"/>
      <w:shd w:val="clear" w:color="auto" w:fill="E1DFDD"/>
    </w:rPr>
  </w:style>
  <w:style w:type="paragraph" w:styleId="FootnoteText">
    <w:name w:val="footnote text"/>
    <w:basedOn w:val="Normal"/>
    <w:link w:val="FootnoteTextChar"/>
    <w:uiPriority w:val="99"/>
    <w:semiHidden/>
    <w:unhideWhenUsed/>
    <w:rsid w:val="00BD3063"/>
    <w:pPr>
      <w:spacing w:before="0" w:after="0"/>
    </w:pPr>
    <w:rPr>
      <w:sz w:val="20"/>
      <w:szCs w:val="20"/>
    </w:rPr>
  </w:style>
  <w:style w:type="character" w:customStyle="1" w:styleId="FootnoteTextChar">
    <w:name w:val="Footnote Text Char"/>
    <w:basedOn w:val="DefaultParagraphFont"/>
    <w:link w:val="FootnoteText"/>
    <w:uiPriority w:val="99"/>
    <w:semiHidden/>
    <w:rsid w:val="00BD3063"/>
    <w:rPr>
      <w:rFonts w:ascii="Arial" w:hAnsi="Arial" w:cs="Arial"/>
      <w:sz w:val="20"/>
      <w:szCs w:val="20"/>
    </w:rPr>
  </w:style>
  <w:style w:type="character" w:styleId="FootnoteReference">
    <w:name w:val="footnote reference"/>
    <w:basedOn w:val="DefaultParagraphFont"/>
    <w:uiPriority w:val="99"/>
    <w:semiHidden/>
    <w:unhideWhenUsed/>
    <w:rsid w:val="00BD3063"/>
    <w:rPr>
      <w:vertAlign w:val="superscript"/>
    </w:rPr>
  </w:style>
  <w:style w:type="character" w:customStyle="1" w:styleId="ListParagraphChar">
    <w:name w:val="List Paragraph Char"/>
    <w:aliases w:val="Bullets Char,Recommendation Char,List Paragraph1 Char,List Paragraph11 Char,L Char,#List Paragraph Char,Bullet Level 1 Char,Bullet Point Char,Bulletr List Paragraph Char,Content descriptions Char,FooterText Char,List Bullet 1 Char"/>
    <w:basedOn w:val="DefaultParagraphFont"/>
    <w:link w:val="ListParagraph"/>
    <w:uiPriority w:val="34"/>
    <w:rsid w:val="0008183F"/>
    <w:rPr>
      <w:rFonts w:ascii="Arial" w:hAnsi="Arial" w:cs="Arial"/>
      <w:sz w:val="24"/>
    </w:rPr>
  </w:style>
  <w:style w:type="paragraph" w:styleId="NormalWeb">
    <w:name w:val="Normal (Web)"/>
    <w:basedOn w:val="Normal"/>
    <w:uiPriority w:val="99"/>
    <w:unhideWhenUsed/>
    <w:rsid w:val="00066BCF"/>
    <w:pPr>
      <w:spacing w:before="100" w:beforeAutospacing="1" w:after="100" w:afterAutospacing="1"/>
    </w:pPr>
    <w:rPr>
      <w:rFonts w:ascii="Times New Roman" w:eastAsia="Times New Roman" w:hAnsi="Times New Roman" w:cs="Times New Roman"/>
      <w:szCs w:val="24"/>
      <w:lang w:eastAsia="en-AU"/>
    </w:rPr>
  </w:style>
  <w:style w:type="character" w:customStyle="1" w:styleId="normaltextrun">
    <w:name w:val="normaltextrun"/>
    <w:basedOn w:val="DefaultParagraphFont"/>
    <w:rsid w:val="00BE6483"/>
  </w:style>
  <w:style w:type="paragraph" w:styleId="NoSpacing">
    <w:name w:val="No Spacing"/>
    <w:uiPriority w:val="1"/>
    <w:qFormat/>
    <w:rsid w:val="00151641"/>
    <w:pPr>
      <w:spacing w:after="0" w:line="240" w:lineRule="auto"/>
    </w:pPr>
    <w:rPr>
      <w:rFonts w:ascii="Arial" w:hAnsi="Arial" w:cs="Arial"/>
      <w:sz w:val="24"/>
    </w:rPr>
  </w:style>
  <w:style w:type="paragraph" w:styleId="Revision">
    <w:name w:val="Revision"/>
    <w:hidden/>
    <w:uiPriority w:val="99"/>
    <w:semiHidden/>
    <w:rsid w:val="00B52F05"/>
    <w:pPr>
      <w:spacing w:after="0" w:line="240" w:lineRule="auto"/>
    </w:pPr>
    <w:rPr>
      <w:rFonts w:ascii="Arial" w:hAnsi="Arial" w:cs="Arial"/>
      <w:sz w:val="24"/>
    </w:rPr>
  </w:style>
  <w:style w:type="character" w:styleId="FollowedHyperlink">
    <w:name w:val="FollowedHyperlink"/>
    <w:basedOn w:val="DefaultParagraphFont"/>
    <w:uiPriority w:val="99"/>
    <w:semiHidden/>
    <w:unhideWhenUsed/>
    <w:rsid w:val="00933BB3"/>
    <w:rPr>
      <w:color w:val="954F72" w:themeColor="followedHyperlink"/>
      <w:u w:val="single"/>
    </w:rPr>
  </w:style>
  <w:style w:type="character" w:styleId="Emphasis">
    <w:name w:val="Emphasis"/>
    <w:basedOn w:val="DefaultParagraphFont"/>
    <w:uiPriority w:val="20"/>
    <w:qFormat/>
    <w:rsid w:val="00E5605E"/>
    <w:rPr>
      <w:i/>
      <w:iCs/>
    </w:rPr>
  </w:style>
  <w:style w:type="paragraph" w:customStyle="1" w:styleId="Tabletextleft">
    <w:name w:val="Table text left"/>
    <w:autoRedefine/>
    <w:qFormat/>
    <w:locked/>
    <w:rsid w:val="001022EC"/>
    <w:pPr>
      <w:spacing w:before="60" w:after="60" w:line="240" w:lineRule="auto"/>
    </w:pPr>
    <w:rPr>
      <w:rFonts w:ascii="Arial" w:eastAsia="Times New Roman" w:hAnsi="Arial" w:cs="Times New Roman"/>
      <w:color w:val="000000" w:themeColor="text1"/>
      <w:sz w:val="21"/>
      <w:szCs w:val="24"/>
    </w:rPr>
  </w:style>
  <w:style w:type="paragraph" w:customStyle="1" w:styleId="TableHeaderWhite">
    <w:name w:val="Table Header White"/>
    <w:basedOn w:val="Normal"/>
    <w:next w:val="Tabletextleft"/>
    <w:qFormat/>
    <w:rsid w:val="001022EC"/>
    <w:pPr>
      <w:spacing w:before="80" w:after="80"/>
    </w:pPr>
    <w:rPr>
      <w:rFonts w:eastAsia="Cambria" w:cs="Times New Roman"/>
      <w:b/>
      <w:color w:val="FFFFFF" w:themeColor="background1"/>
      <w:sz w:val="22"/>
      <w:lang w:val="en-US"/>
    </w:rPr>
  </w:style>
  <w:style w:type="paragraph" w:customStyle="1" w:styleId="TableHeader">
    <w:name w:val="Table Header"/>
    <w:basedOn w:val="Normal"/>
    <w:next w:val="Tabletextleft"/>
    <w:qFormat/>
    <w:rsid w:val="001022EC"/>
    <w:pPr>
      <w:spacing w:before="80" w:after="80"/>
    </w:pPr>
    <w:rPr>
      <w:rFonts w:eastAsia="Cambria" w:cs="Times New Roman"/>
      <w:b/>
      <w:color w:val="FFFFFF" w:themeColor="background1"/>
      <w:sz w:val="22"/>
      <w:lang w:val="en-US"/>
    </w:rPr>
  </w:style>
  <w:style w:type="table" w:customStyle="1" w:styleId="DepartmentofHealthtable">
    <w:name w:val="Department of Health table"/>
    <w:basedOn w:val="TableNormal"/>
    <w:uiPriority w:val="99"/>
    <w:rsid w:val="001022EC"/>
    <w:pPr>
      <w:spacing w:after="0" w:line="240" w:lineRule="auto"/>
    </w:pPr>
    <w:rPr>
      <w:rFonts w:ascii="Arial" w:eastAsia="Times New Roman" w:hAnsi="Arial" w:cs="Times New Roman"/>
      <w:color w:val="000000" w:themeColor="text1"/>
      <w:sz w:val="21"/>
      <w:szCs w:val="20"/>
      <w:lang w:eastAsia="en-AU"/>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extright">
    <w:name w:val="Table text right"/>
    <w:basedOn w:val="Tabletextleft"/>
    <w:rsid w:val="001022EC"/>
    <w:pPr>
      <w:jc w:val="right"/>
    </w:pPr>
  </w:style>
  <w:style w:type="paragraph" w:customStyle="1" w:styleId="Tabletextcentre">
    <w:name w:val="Table text centre"/>
    <w:basedOn w:val="Tabletextleft"/>
    <w:rsid w:val="001022EC"/>
    <w:pPr>
      <w:jc w:val="center"/>
    </w:pPr>
  </w:style>
  <w:style w:type="character" w:styleId="IntenseEmphasis">
    <w:name w:val="Intense Emphasis"/>
    <w:basedOn w:val="DefaultParagraphFont"/>
    <w:uiPriority w:val="21"/>
    <w:qFormat/>
    <w:rsid w:val="00A77242"/>
    <w:rPr>
      <w:i/>
      <w:iCs/>
      <w:color w:val="4472C4" w:themeColor="accent1"/>
    </w:rPr>
  </w:style>
  <w:style w:type="character" w:styleId="UnresolvedMention">
    <w:name w:val="Unresolved Mention"/>
    <w:basedOn w:val="DefaultParagraphFont"/>
    <w:uiPriority w:val="99"/>
    <w:unhideWhenUsed/>
    <w:rsid w:val="002D2062"/>
    <w:rPr>
      <w:color w:val="605E5C"/>
      <w:shd w:val="clear" w:color="auto" w:fill="E1DFDD"/>
    </w:rPr>
  </w:style>
  <w:style w:type="table" w:customStyle="1" w:styleId="GridTable5Dark-Accent31">
    <w:name w:val="Grid Table 5 Dark - Accent 31"/>
    <w:basedOn w:val="TableNormal"/>
    <w:next w:val="GridTable5Dark-Accent3"/>
    <w:uiPriority w:val="50"/>
    <w:rsid w:val="00651CFA"/>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3">
    <w:name w:val="Grid Table 5 Dark Accent 3"/>
    <w:basedOn w:val="TableNormal"/>
    <w:uiPriority w:val="50"/>
    <w:rsid w:val="00651C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Heading2-FiraSans">
    <w:name w:val="Heading 2 - Fira Sans"/>
    <w:basedOn w:val="Normal"/>
    <w:link w:val="Heading2-FiraSansChar"/>
    <w:qFormat/>
    <w:rsid w:val="005419E6"/>
    <w:pPr>
      <w:keepNext/>
      <w:keepLines/>
      <w:spacing w:line="276" w:lineRule="auto"/>
      <w:outlineLvl w:val="1"/>
    </w:pPr>
    <w:rPr>
      <w:rFonts w:ascii="Fira Sans" w:eastAsiaTheme="minorEastAsia" w:hAnsi="Fira Sans" w:cstheme="minorBidi"/>
      <w:b/>
      <w:color w:val="00577D"/>
      <w:sz w:val="26"/>
      <w:szCs w:val="26"/>
    </w:rPr>
  </w:style>
  <w:style w:type="character" w:customStyle="1" w:styleId="Heading2-FiraSansChar">
    <w:name w:val="Heading 2 - Fira Sans Char"/>
    <w:basedOn w:val="DefaultParagraphFont"/>
    <w:link w:val="Heading2-FiraSans"/>
    <w:rsid w:val="005419E6"/>
    <w:rPr>
      <w:rFonts w:ascii="Fira Sans" w:eastAsiaTheme="minorEastAsia" w:hAnsi="Fira Sans"/>
      <w:b/>
      <w:color w:val="00577D"/>
      <w:sz w:val="26"/>
      <w:szCs w:val="26"/>
    </w:rPr>
  </w:style>
  <w:style w:type="character" w:customStyle="1" w:styleId="Heading4Char">
    <w:name w:val="Heading 4 Char"/>
    <w:basedOn w:val="DefaultParagraphFont"/>
    <w:link w:val="Heading4"/>
    <w:uiPriority w:val="9"/>
    <w:rsid w:val="00D75220"/>
    <w:rPr>
      <w:rFonts w:asciiTheme="majorHAnsi" w:eastAsiaTheme="majorEastAsia" w:hAnsiTheme="majorHAnsi" w:cstheme="majorBidi"/>
      <w:i/>
      <w:iCs/>
      <w:color w:val="2F5496" w:themeColor="accent1" w:themeShade="BF"/>
      <w:sz w:val="24"/>
    </w:rPr>
  </w:style>
  <w:style w:type="paragraph" w:customStyle="1" w:styleId="StyleBullet1">
    <w:name w:val="Style Bullet 1"/>
    <w:basedOn w:val="Normal"/>
    <w:qFormat/>
    <w:rsid w:val="00974177"/>
    <w:pPr>
      <w:spacing w:before="120"/>
      <w:outlineLvl w:val="0"/>
    </w:pPr>
    <w:rPr>
      <w:rFonts w:ascii="Fira Sans" w:hAnsi="Fira Sans" w:cstheme="minorBidi"/>
    </w:rPr>
  </w:style>
  <w:style w:type="character" w:styleId="Strong">
    <w:name w:val="Strong"/>
    <w:basedOn w:val="DefaultParagraphFont"/>
    <w:uiPriority w:val="22"/>
    <w:qFormat/>
    <w:rsid w:val="00466E61"/>
    <w:rPr>
      <w:b/>
      <w:bCs/>
    </w:rPr>
  </w:style>
  <w:style w:type="paragraph" w:customStyle="1" w:styleId="paragraph">
    <w:name w:val="paragraph"/>
    <w:basedOn w:val="Normal"/>
    <w:rsid w:val="00641AA0"/>
    <w:pPr>
      <w:spacing w:before="100" w:beforeAutospacing="1" w:after="100" w:afterAutospacing="1"/>
    </w:pPr>
    <w:rPr>
      <w:rFonts w:ascii="Times New Roman" w:eastAsia="Times New Roman" w:hAnsi="Times New Roman" w:cs="Times New Roman"/>
      <w:szCs w:val="24"/>
      <w:lang w:eastAsia="en-AU"/>
    </w:rPr>
  </w:style>
  <w:style w:type="character" w:styleId="Mention">
    <w:name w:val="Mention"/>
    <w:basedOn w:val="DefaultParagraphFont"/>
    <w:uiPriority w:val="99"/>
    <w:unhideWhenUsed/>
    <w:rPr>
      <w:color w:val="2B579A"/>
      <w:shd w:val="clear" w:color="auto" w:fill="E6E6E6"/>
    </w:rPr>
  </w:style>
  <w:style w:type="paragraph" w:customStyle="1" w:styleId="ACQSCChapterbodycopy">
    <w:name w:val="ACQSC Chapter body copy"/>
    <w:basedOn w:val="Normal"/>
    <w:link w:val="ACQSCChapterbodycopyChar"/>
    <w:qFormat/>
    <w:rsid w:val="00422A60"/>
    <w:pPr>
      <w:widowControl w:val="0"/>
      <w:spacing w:before="0" w:after="240" w:line="276" w:lineRule="auto"/>
      <w:ind w:left="709"/>
    </w:pPr>
    <w:rPr>
      <w:rFonts w:ascii="Fira Sans Light" w:eastAsiaTheme="minorEastAsia" w:hAnsi="Fira Sans Light" w:cstheme="minorHAnsi"/>
      <w:szCs w:val="24"/>
    </w:rPr>
  </w:style>
  <w:style w:type="character" w:customStyle="1" w:styleId="ACQSCChapterbodycopyChar">
    <w:name w:val="ACQSC Chapter body copy Char"/>
    <w:basedOn w:val="DefaultParagraphFont"/>
    <w:link w:val="ACQSCChapterbodycopy"/>
    <w:rsid w:val="00422A60"/>
    <w:rPr>
      <w:rFonts w:ascii="Fira Sans Light" w:eastAsiaTheme="minorEastAsia" w:hAnsi="Fira Sans Light" w:cstheme="minorHAnsi"/>
      <w:sz w:val="24"/>
      <w:szCs w:val="24"/>
    </w:rPr>
  </w:style>
  <w:style w:type="paragraph" w:customStyle="1" w:styleId="StyleBullet3">
    <w:name w:val="Style Bullet 3"/>
    <w:basedOn w:val="Normal"/>
    <w:rsid w:val="00422A60"/>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5247">
      <w:bodyDiv w:val="1"/>
      <w:marLeft w:val="0"/>
      <w:marRight w:val="0"/>
      <w:marTop w:val="0"/>
      <w:marBottom w:val="0"/>
      <w:divBdr>
        <w:top w:val="none" w:sz="0" w:space="0" w:color="auto"/>
        <w:left w:val="none" w:sz="0" w:space="0" w:color="auto"/>
        <w:bottom w:val="none" w:sz="0" w:space="0" w:color="auto"/>
        <w:right w:val="none" w:sz="0" w:space="0" w:color="auto"/>
      </w:divBdr>
    </w:div>
    <w:div w:id="84037546">
      <w:bodyDiv w:val="1"/>
      <w:marLeft w:val="0"/>
      <w:marRight w:val="0"/>
      <w:marTop w:val="0"/>
      <w:marBottom w:val="0"/>
      <w:divBdr>
        <w:top w:val="none" w:sz="0" w:space="0" w:color="auto"/>
        <w:left w:val="none" w:sz="0" w:space="0" w:color="auto"/>
        <w:bottom w:val="none" w:sz="0" w:space="0" w:color="auto"/>
        <w:right w:val="none" w:sz="0" w:space="0" w:color="auto"/>
      </w:divBdr>
    </w:div>
    <w:div w:id="143741578">
      <w:bodyDiv w:val="1"/>
      <w:marLeft w:val="0"/>
      <w:marRight w:val="0"/>
      <w:marTop w:val="0"/>
      <w:marBottom w:val="0"/>
      <w:divBdr>
        <w:top w:val="none" w:sz="0" w:space="0" w:color="auto"/>
        <w:left w:val="none" w:sz="0" w:space="0" w:color="auto"/>
        <w:bottom w:val="none" w:sz="0" w:space="0" w:color="auto"/>
        <w:right w:val="none" w:sz="0" w:space="0" w:color="auto"/>
      </w:divBdr>
    </w:div>
    <w:div w:id="191844307">
      <w:bodyDiv w:val="1"/>
      <w:marLeft w:val="0"/>
      <w:marRight w:val="0"/>
      <w:marTop w:val="0"/>
      <w:marBottom w:val="0"/>
      <w:divBdr>
        <w:top w:val="none" w:sz="0" w:space="0" w:color="auto"/>
        <w:left w:val="none" w:sz="0" w:space="0" w:color="auto"/>
        <w:bottom w:val="none" w:sz="0" w:space="0" w:color="auto"/>
        <w:right w:val="none" w:sz="0" w:space="0" w:color="auto"/>
      </w:divBdr>
    </w:div>
    <w:div w:id="260072155">
      <w:bodyDiv w:val="1"/>
      <w:marLeft w:val="0"/>
      <w:marRight w:val="0"/>
      <w:marTop w:val="0"/>
      <w:marBottom w:val="0"/>
      <w:divBdr>
        <w:top w:val="none" w:sz="0" w:space="0" w:color="auto"/>
        <w:left w:val="none" w:sz="0" w:space="0" w:color="auto"/>
        <w:bottom w:val="none" w:sz="0" w:space="0" w:color="auto"/>
        <w:right w:val="none" w:sz="0" w:space="0" w:color="auto"/>
      </w:divBdr>
    </w:div>
    <w:div w:id="305362247">
      <w:bodyDiv w:val="1"/>
      <w:marLeft w:val="0"/>
      <w:marRight w:val="0"/>
      <w:marTop w:val="0"/>
      <w:marBottom w:val="0"/>
      <w:divBdr>
        <w:top w:val="none" w:sz="0" w:space="0" w:color="auto"/>
        <w:left w:val="none" w:sz="0" w:space="0" w:color="auto"/>
        <w:bottom w:val="none" w:sz="0" w:space="0" w:color="auto"/>
        <w:right w:val="none" w:sz="0" w:space="0" w:color="auto"/>
      </w:divBdr>
    </w:div>
    <w:div w:id="443042922">
      <w:bodyDiv w:val="1"/>
      <w:marLeft w:val="0"/>
      <w:marRight w:val="0"/>
      <w:marTop w:val="0"/>
      <w:marBottom w:val="0"/>
      <w:divBdr>
        <w:top w:val="none" w:sz="0" w:space="0" w:color="auto"/>
        <w:left w:val="none" w:sz="0" w:space="0" w:color="auto"/>
        <w:bottom w:val="none" w:sz="0" w:space="0" w:color="auto"/>
        <w:right w:val="none" w:sz="0" w:space="0" w:color="auto"/>
      </w:divBdr>
      <w:divsChild>
        <w:div w:id="1827353024">
          <w:marLeft w:val="0"/>
          <w:marRight w:val="0"/>
          <w:marTop w:val="0"/>
          <w:marBottom w:val="0"/>
          <w:divBdr>
            <w:top w:val="none" w:sz="0" w:space="0" w:color="auto"/>
            <w:left w:val="none" w:sz="0" w:space="0" w:color="auto"/>
            <w:bottom w:val="none" w:sz="0" w:space="0" w:color="auto"/>
            <w:right w:val="none" w:sz="0" w:space="0" w:color="auto"/>
          </w:divBdr>
        </w:div>
      </w:divsChild>
    </w:div>
    <w:div w:id="498345572">
      <w:bodyDiv w:val="1"/>
      <w:marLeft w:val="0"/>
      <w:marRight w:val="0"/>
      <w:marTop w:val="0"/>
      <w:marBottom w:val="0"/>
      <w:divBdr>
        <w:top w:val="none" w:sz="0" w:space="0" w:color="auto"/>
        <w:left w:val="none" w:sz="0" w:space="0" w:color="auto"/>
        <w:bottom w:val="none" w:sz="0" w:space="0" w:color="auto"/>
        <w:right w:val="none" w:sz="0" w:space="0" w:color="auto"/>
      </w:divBdr>
    </w:div>
    <w:div w:id="561985487">
      <w:bodyDiv w:val="1"/>
      <w:marLeft w:val="0"/>
      <w:marRight w:val="0"/>
      <w:marTop w:val="0"/>
      <w:marBottom w:val="0"/>
      <w:divBdr>
        <w:top w:val="none" w:sz="0" w:space="0" w:color="auto"/>
        <w:left w:val="none" w:sz="0" w:space="0" w:color="auto"/>
        <w:bottom w:val="none" w:sz="0" w:space="0" w:color="auto"/>
        <w:right w:val="none" w:sz="0" w:space="0" w:color="auto"/>
      </w:divBdr>
    </w:div>
    <w:div w:id="583221457">
      <w:bodyDiv w:val="1"/>
      <w:marLeft w:val="0"/>
      <w:marRight w:val="0"/>
      <w:marTop w:val="0"/>
      <w:marBottom w:val="0"/>
      <w:divBdr>
        <w:top w:val="none" w:sz="0" w:space="0" w:color="auto"/>
        <w:left w:val="none" w:sz="0" w:space="0" w:color="auto"/>
        <w:bottom w:val="none" w:sz="0" w:space="0" w:color="auto"/>
        <w:right w:val="none" w:sz="0" w:space="0" w:color="auto"/>
      </w:divBdr>
    </w:div>
    <w:div w:id="627976397">
      <w:bodyDiv w:val="1"/>
      <w:marLeft w:val="0"/>
      <w:marRight w:val="0"/>
      <w:marTop w:val="0"/>
      <w:marBottom w:val="0"/>
      <w:divBdr>
        <w:top w:val="none" w:sz="0" w:space="0" w:color="auto"/>
        <w:left w:val="none" w:sz="0" w:space="0" w:color="auto"/>
        <w:bottom w:val="none" w:sz="0" w:space="0" w:color="auto"/>
        <w:right w:val="none" w:sz="0" w:space="0" w:color="auto"/>
      </w:divBdr>
    </w:div>
    <w:div w:id="740979132">
      <w:bodyDiv w:val="1"/>
      <w:marLeft w:val="0"/>
      <w:marRight w:val="0"/>
      <w:marTop w:val="0"/>
      <w:marBottom w:val="0"/>
      <w:divBdr>
        <w:top w:val="none" w:sz="0" w:space="0" w:color="auto"/>
        <w:left w:val="none" w:sz="0" w:space="0" w:color="auto"/>
        <w:bottom w:val="none" w:sz="0" w:space="0" w:color="auto"/>
        <w:right w:val="none" w:sz="0" w:space="0" w:color="auto"/>
      </w:divBdr>
    </w:div>
    <w:div w:id="748649863">
      <w:bodyDiv w:val="1"/>
      <w:marLeft w:val="0"/>
      <w:marRight w:val="0"/>
      <w:marTop w:val="0"/>
      <w:marBottom w:val="0"/>
      <w:divBdr>
        <w:top w:val="none" w:sz="0" w:space="0" w:color="auto"/>
        <w:left w:val="none" w:sz="0" w:space="0" w:color="auto"/>
        <w:bottom w:val="none" w:sz="0" w:space="0" w:color="auto"/>
        <w:right w:val="none" w:sz="0" w:space="0" w:color="auto"/>
      </w:divBdr>
      <w:divsChild>
        <w:div w:id="877082642">
          <w:marLeft w:val="0"/>
          <w:marRight w:val="0"/>
          <w:marTop w:val="0"/>
          <w:marBottom w:val="0"/>
          <w:divBdr>
            <w:top w:val="none" w:sz="0" w:space="0" w:color="auto"/>
            <w:left w:val="none" w:sz="0" w:space="0" w:color="auto"/>
            <w:bottom w:val="none" w:sz="0" w:space="0" w:color="auto"/>
            <w:right w:val="none" w:sz="0" w:space="0" w:color="auto"/>
          </w:divBdr>
        </w:div>
      </w:divsChild>
    </w:div>
    <w:div w:id="931815703">
      <w:bodyDiv w:val="1"/>
      <w:marLeft w:val="0"/>
      <w:marRight w:val="0"/>
      <w:marTop w:val="0"/>
      <w:marBottom w:val="0"/>
      <w:divBdr>
        <w:top w:val="none" w:sz="0" w:space="0" w:color="auto"/>
        <w:left w:val="none" w:sz="0" w:space="0" w:color="auto"/>
        <w:bottom w:val="none" w:sz="0" w:space="0" w:color="auto"/>
        <w:right w:val="none" w:sz="0" w:space="0" w:color="auto"/>
      </w:divBdr>
    </w:div>
    <w:div w:id="936717674">
      <w:bodyDiv w:val="1"/>
      <w:marLeft w:val="0"/>
      <w:marRight w:val="0"/>
      <w:marTop w:val="0"/>
      <w:marBottom w:val="0"/>
      <w:divBdr>
        <w:top w:val="none" w:sz="0" w:space="0" w:color="auto"/>
        <w:left w:val="none" w:sz="0" w:space="0" w:color="auto"/>
        <w:bottom w:val="none" w:sz="0" w:space="0" w:color="auto"/>
        <w:right w:val="none" w:sz="0" w:space="0" w:color="auto"/>
      </w:divBdr>
      <w:divsChild>
        <w:div w:id="1235161461">
          <w:marLeft w:val="0"/>
          <w:marRight w:val="0"/>
          <w:marTop w:val="0"/>
          <w:marBottom w:val="0"/>
          <w:divBdr>
            <w:top w:val="none" w:sz="0" w:space="0" w:color="auto"/>
            <w:left w:val="none" w:sz="0" w:space="0" w:color="auto"/>
            <w:bottom w:val="none" w:sz="0" w:space="0" w:color="auto"/>
            <w:right w:val="none" w:sz="0" w:space="0" w:color="auto"/>
          </w:divBdr>
        </w:div>
      </w:divsChild>
    </w:div>
    <w:div w:id="961231193">
      <w:bodyDiv w:val="1"/>
      <w:marLeft w:val="0"/>
      <w:marRight w:val="0"/>
      <w:marTop w:val="0"/>
      <w:marBottom w:val="0"/>
      <w:divBdr>
        <w:top w:val="none" w:sz="0" w:space="0" w:color="auto"/>
        <w:left w:val="none" w:sz="0" w:space="0" w:color="auto"/>
        <w:bottom w:val="none" w:sz="0" w:space="0" w:color="auto"/>
        <w:right w:val="none" w:sz="0" w:space="0" w:color="auto"/>
      </w:divBdr>
    </w:div>
    <w:div w:id="972444724">
      <w:bodyDiv w:val="1"/>
      <w:marLeft w:val="0"/>
      <w:marRight w:val="0"/>
      <w:marTop w:val="0"/>
      <w:marBottom w:val="0"/>
      <w:divBdr>
        <w:top w:val="none" w:sz="0" w:space="0" w:color="auto"/>
        <w:left w:val="none" w:sz="0" w:space="0" w:color="auto"/>
        <w:bottom w:val="none" w:sz="0" w:space="0" w:color="auto"/>
        <w:right w:val="none" w:sz="0" w:space="0" w:color="auto"/>
      </w:divBdr>
      <w:divsChild>
        <w:div w:id="1317226085">
          <w:marLeft w:val="0"/>
          <w:marRight w:val="0"/>
          <w:marTop w:val="0"/>
          <w:marBottom w:val="0"/>
          <w:divBdr>
            <w:top w:val="none" w:sz="0" w:space="0" w:color="auto"/>
            <w:left w:val="none" w:sz="0" w:space="0" w:color="auto"/>
            <w:bottom w:val="none" w:sz="0" w:space="0" w:color="auto"/>
            <w:right w:val="none" w:sz="0" w:space="0" w:color="auto"/>
          </w:divBdr>
        </w:div>
      </w:divsChild>
    </w:div>
    <w:div w:id="1170681128">
      <w:bodyDiv w:val="1"/>
      <w:marLeft w:val="0"/>
      <w:marRight w:val="0"/>
      <w:marTop w:val="0"/>
      <w:marBottom w:val="0"/>
      <w:divBdr>
        <w:top w:val="none" w:sz="0" w:space="0" w:color="auto"/>
        <w:left w:val="none" w:sz="0" w:space="0" w:color="auto"/>
        <w:bottom w:val="none" w:sz="0" w:space="0" w:color="auto"/>
        <w:right w:val="none" w:sz="0" w:space="0" w:color="auto"/>
      </w:divBdr>
      <w:divsChild>
        <w:div w:id="1885632876">
          <w:marLeft w:val="0"/>
          <w:marRight w:val="0"/>
          <w:marTop w:val="0"/>
          <w:marBottom w:val="0"/>
          <w:divBdr>
            <w:top w:val="none" w:sz="0" w:space="0" w:color="auto"/>
            <w:left w:val="none" w:sz="0" w:space="0" w:color="auto"/>
            <w:bottom w:val="none" w:sz="0" w:space="0" w:color="auto"/>
            <w:right w:val="none" w:sz="0" w:space="0" w:color="auto"/>
          </w:divBdr>
        </w:div>
      </w:divsChild>
    </w:div>
    <w:div w:id="1224678672">
      <w:bodyDiv w:val="1"/>
      <w:marLeft w:val="0"/>
      <w:marRight w:val="0"/>
      <w:marTop w:val="0"/>
      <w:marBottom w:val="0"/>
      <w:divBdr>
        <w:top w:val="none" w:sz="0" w:space="0" w:color="auto"/>
        <w:left w:val="none" w:sz="0" w:space="0" w:color="auto"/>
        <w:bottom w:val="none" w:sz="0" w:space="0" w:color="auto"/>
        <w:right w:val="none" w:sz="0" w:space="0" w:color="auto"/>
      </w:divBdr>
    </w:div>
    <w:div w:id="1248535616">
      <w:bodyDiv w:val="1"/>
      <w:marLeft w:val="0"/>
      <w:marRight w:val="0"/>
      <w:marTop w:val="0"/>
      <w:marBottom w:val="0"/>
      <w:divBdr>
        <w:top w:val="none" w:sz="0" w:space="0" w:color="auto"/>
        <w:left w:val="none" w:sz="0" w:space="0" w:color="auto"/>
        <w:bottom w:val="none" w:sz="0" w:space="0" w:color="auto"/>
        <w:right w:val="none" w:sz="0" w:space="0" w:color="auto"/>
      </w:divBdr>
    </w:div>
    <w:div w:id="1271627529">
      <w:bodyDiv w:val="1"/>
      <w:marLeft w:val="0"/>
      <w:marRight w:val="0"/>
      <w:marTop w:val="0"/>
      <w:marBottom w:val="0"/>
      <w:divBdr>
        <w:top w:val="none" w:sz="0" w:space="0" w:color="auto"/>
        <w:left w:val="none" w:sz="0" w:space="0" w:color="auto"/>
        <w:bottom w:val="none" w:sz="0" w:space="0" w:color="auto"/>
        <w:right w:val="none" w:sz="0" w:space="0" w:color="auto"/>
      </w:divBdr>
    </w:div>
    <w:div w:id="1330478527">
      <w:bodyDiv w:val="1"/>
      <w:marLeft w:val="0"/>
      <w:marRight w:val="0"/>
      <w:marTop w:val="0"/>
      <w:marBottom w:val="0"/>
      <w:divBdr>
        <w:top w:val="none" w:sz="0" w:space="0" w:color="auto"/>
        <w:left w:val="none" w:sz="0" w:space="0" w:color="auto"/>
        <w:bottom w:val="none" w:sz="0" w:space="0" w:color="auto"/>
        <w:right w:val="none" w:sz="0" w:space="0" w:color="auto"/>
      </w:divBdr>
    </w:div>
    <w:div w:id="1475678319">
      <w:bodyDiv w:val="1"/>
      <w:marLeft w:val="0"/>
      <w:marRight w:val="0"/>
      <w:marTop w:val="0"/>
      <w:marBottom w:val="0"/>
      <w:divBdr>
        <w:top w:val="none" w:sz="0" w:space="0" w:color="auto"/>
        <w:left w:val="none" w:sz="0" w:space="0" w:color="auto"/>
        <w:bottom w:val="none" w:sz="0" w:space="0" w:color="auto"/>
        <w:right w:val="none" w:sz="0" w:space="0" w:color="auto"/>
      </w:divBdr>
    </w:div>
    <w:div w:id="1527132336">
      <w:bodyDiv w:val="1"/>
      <w:marLeft w:val="0"/>
      <w:marRight w:val="0"/>
      <w:marTop w:val="0"/>
      <w:marBottom w:val="0"/>
      <w:divBdr>
        <w:top w:val="none" w:sz="0" w:space="0" w:color="auto"/>
        <w:left w:val="none" w:sz="0" w:space="0" w:color="auto"/>
        <w:bottom w:val="none" w:sz="0" w:space="0" w:color="auto"/>
        <w:right w:val="none" w:sz="0" w:space="0" w:color="auto"/>
      </w:divBdr>
    </w:div>
    <w:div w:id="1527790685">
      <w:bodyDiv w:val="1"/>
      <w:marLeft w:val="0"/>
      <w:marRight w:val="0"/>
      <w:marTop w:val="0"/>
      <w:marBottom w:val="0"/>
      <w:divBdr>
        <w:top w:val="none" w:sz="0" w:space="0" w:color="auto"/>
        <w:left w:val="none" w:sz="0" w:space="0" w:color="auto"/>
        <w:bottom w:val="none" w:sz="0" w:space="0" w:color="auto"/>
        <w:right w:val="none" w:sz="0" w:space="0" w:color="auto"/>
      </w:divBdr>
    </w:div>
    <w:div w:id="1585842449">
      <w:bodyDiv w:val="1"/>
      <w:marLeft w:val="0"/>
      <w:marRight w:val="0"/>
      <w:marTop w:val="0"/>
      <w:marBottom w:val="0"/>
      <w:divBdr>
        <w:top w:val="none" w:sz="0" w:space="0" w:color="auto"/>
        <w:left w:val="none" w:sz="0" w:space="0" w:color="auto"/>
        <w:bottom w:val="none" w:sz="0" w:space="0" w:color="auto"/>
        <w:right w:val="none" w:sz="0" w:space="0" w:color="auto"/>
      </w:divBdr>
    </w:div>
    <w:div w:id="1770543164">
      <w:bodyDiv w:val="1"/>
      <w:marLeft w:val="0"/>
      <w:marRight w:val="0"/>
      <w:marTop w:val="0"/>
      <w:marBottom w:val="0"/>
      <w:divBdr>
        <w:top w:val="none" w:sz="0" w:space="0" w:color="auto"/>
        <w:left w:val="none" w:sz="0" w:space="0" w:color="auto"/>
        <w:bottom w:val="none" w:sz="0" w:space="0" w:color="auto"/>
        <w:right w:val="none" w:sz="0" w:space="0" w:color="auto"/>
      </w:divBdr>
    </w:div>
    <w:div w:id="1797019411">
      <w:bodyDiv w:val="1"/>
      <w:marLeft w:val="0"/>
      <w:marRight w:val="0"/>
      <w:marTop w:val="0"/>
      <w:marBottom w:val="0"/>
      <w:divBdr>
        <w:top w:val="none" w:sz="0" w:space="0" w:color="auto"/>
        <w:left w:val="none" w:sz="0" w:space="0" w:color="auto"/>
        <w:bottom w:val="none" w:sz="0" w:space="0" w:color="auto"/>
        <w:right w:val="none" w:sz="0" w:space="0" w:color="auto"/>
      </w:divBdr>
      <w:divsChild>
        <w:div w:id="1348483179">
          <w:marLeft w:val="0"/>
          <w:marRight w:val="0"/>
          <w:marTop w:val="0"/>
          <w:marBottom w:val="0"/>
          <w:divBdr>
            <w:top w:val="none" w:sz="0" w:space="0" w:color="auto"/>
            <w:left w:val="none" w:sz="0" w:space="0" w:color="auto"/>
            <w:bottom w:val="none" w:sz="0" w:space="0" w:color="auto"/>
            <w:right w:val="none" w:sz="0" w:space="0" w:color="auto"/>
          </w:divBdr>
        </w:div>
      </w:divsChild>
    </w:div>
    <w:div w:id="1837838881">
      <w:bodyDiv w:val="1"/>
      <w:marLeft w:val="0"/>
      <w:marRight w:val="0"/>
      <w:marTop w:val="0"/>
      <w:marBottom w:val="0"/>
      <w:divBdr>
        <w:top w:val="none" w:sz="0" w:space="0" w:color="auto"/>
        <w:left w:val="none" w:sz="0" w:space="0" w:color="auto"/>
        <w:bottom w:val="none" w:sz="0" w:space="0" w:color="auto"/>
        <w:right w:val="none" w:sz="0" w:space="0" w:color="auto"/>
      </w:divBdr>
    </w:div>
    <w:div w:id="1943099705">
      <w:bodyDiv w:val="1"/>
      <w:marLeft w:val="0"/>
      <w:marRight w:val="0"/>
      <w:marTop w:val="0"/>
      <w:marBottom w:val="0"/>
      <w:divBdr>
        <w:top w:val="none" w:sz="0" w:space="0" w:color="auto"/>
        <w:left w:val="none" w:sz="0" w:space="0" w:color="auto"/>
        <w:bottom w:val="none" w:sz="0" w:space="0" w:color="auto"/>
        <w:right w:val="none" w:sz="0" w:space="0" w:color="auto"/>
      </w:divBdr>
    </w:div>
    <w:div w:id="1999189396">
      <w:bodyDiv w:val="1"/>
      <w:marLeft w:val="0"/>
      <w:marRight w:val="0"/>
      <w:marTop w:val="0"/>
      <w:marBottom w:val="0"/>
      <w:divBdr>
        <w:top w:val="none" w:sz="0" w:space="0" w:color="auto"/>
        <w:left w:val="none" w:sz="0" w:space="0" w:color="auto"/>
        <w:bottom w:val="none" w:sz="0" w:space="0" w:color="auto"/>
        <w:right w:val="none" w:sz="0" w:space="0" w:color="auto"/>
      </w:divBdr>
    </w:div>
    <w:div w:id="2022513187">
      <w:bodyDiv w:val="1"/>
      <w:marLeft w:val="0"/>
      <w:marRight w:val="0"/>
      <w:marTop w:val="0"/>
      <w:marBottom w:val="0"/>
      <w:divBdr>
        <w:top w:val="none" w:sz="0" w:space="0" w:color="auto"/>
        <w:left w:val="none" w:sz="0" w:space="0" w:color="auto"/>
        <w:bottom w:val="none" w:sz="0" w:space="0" w:color="auto"/>
        <w:right w:val="none" w:sz="0" w:space="0" w:color="auto"/>
      </w:divBdr>
    </w:div>
    <w:div w:id="2033338719">
      <w:bodyDiv w:val="1"/>
      <w:marLeft w:val="0"/>
      <w:marRight w:val="0"/>
      <w:marTop w:val="0"/>
      <w:marBottom w:val="0"/>
      <w:divBdr>
        <w:top w:val="none" w:sz="0" w:space="0" w:color="auto"/>
        <w:left w:val="none" w:sz="0" w:space="0" w:color="auto"/>
        <w:bottom w:val="none" w:sz="0" w:space="0" w:color="auto"/>
        <w:right w:val="none" w:sz="0" w:space="0" w:color="auto"/>
      </w:divBdr>
    </w:div>
    <w:div w:id="2077896679">
      <w:bodyDiv w:val="1"/>
      <w:marLeft w:val="0"/>
      <w:marRight w:val="0"/>
      <w:marTop w:val="0"/>
      <w:marBottom w:val="0"/>
      <w:divBdr>
        <w:top w:val="none" w:sz="0" w:space="0" w:color="auto"/>
        <w:left w:val="none" w:sz="0" w:space="0" w:color="auto"/>
        <w:bottom w:val="none" w:sz="0" w:space="0" w:color="auto"/>
        <w:right w:val="none" w:sz="0" w:space="0" w:color="auto"/>
      </w:divBdr>
    </w:div>
    <w:div w:id="21284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gedcarequality.gov.au" TargetMode="External"/><Relationship Id="rId18" Type="http://schemas.openxmlformats.org/officeDocument/2006/relationships/hyperlink" Target="https://www.agedcarequality.gov.au/reports" TargetMode="External"/><Relationship Id="rId26" Type="http://schemas.openxmlformats.org/officeDocument/2006/relationships/hyperlink" Target="https://www.agedcarequality.gov.au/aged-care-performance/non-compliance-register" TargetMode="External"/><Relationship Id="rId39" Type="http://schemas.openxmlformats.org/officeDocument/2006/relationships/hyperlink" Target="https://www.myagedcare.gov.au/" TargetMode="External"/><Relationship Id="rId21" Type="http://schemas.openxmlformats.org/officeDocument/2006/relationships/hyperlink" Target="https://www.agedcarequality.gov.au/sector-performance" TargetMode="External"/><Relationship Id="rId34" Type="http://schemas.openxmlformats.org/officeDocument/2006/relationships/hyperlink" Target="https://www.myagedcare.gov.au/" TargetMode="External"/><Relationship Id="rId42" Type="http://schemas.openxmlformats.org/officeDocument/2006/relationships/hyperlink" Target="https://www.agedcarequality.gov.au/subscrib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gedcarequality.gov.au/reports" TargetMode="External"/><Relationship Id="rId29" Type="http://schemas.openxmlformats.org/officeDocument/2006/relationships/hyperlink" Target="https://www.agedcarequality.gov.au/sector-perform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Series/C2004A05206" TargetMode="External"/><Relationship Id="rId24" Type="http://schemas.openxmlformats.org/officeDocument/2006/relationships/hyperlink" Target="https://www.myagedcare.gov.au/find-a-provider/" TargetMode="External"/><Relationship Id="rId32" Type="http://schemas.openxmlformats.org/officeDocument/2006/relationships/hyperlink" Target="https://www.agedcarequality.gov.au/aged-care-performance/non-compliance-register" TargetMode="External"/><Relationship Id="rId37" Type="http://schemas.openxmlformats.org/officeDocument/2006/relationships/hyperlink" Target="mailto:info@agedcarequality.gov.au" TargetMode="External"/><Relationship Id="rId40" Type="http://schemas.openxmlformats.org/officeDocument/2006/relationships/hyperlink" Target="https://agedcarequality.govcms.gov.au/aged-care-performance/non-compliance"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gedcarequality.gov.au/" TargetMode="External"/><Relationship Id="rId23" Type="http://schemas.openxmlformats.org/officeDocument/2006/relationships/hyperlink" Target="https://www.myagedcare.gov.au/" TargetMode="External"/><Relationship Id="rId28" Type="http://schemas.openxmlformats.org/officeDocument/2006/relationships/hyperlink" Target="https://www.agedcarequality.gov.au/aged-care-performance" TargetMode="External"/><Relationship Id="rId36" Type="http://schemas.openxmlformats.org/officeDocument/2006/relationships/hyperlink" Target="https://www.myagedcare.gov.au/non-compliance-checker" TargetMode="External"/><Relationship Id="rId10" Type="http://schemas.openxmlformats.org/officeDocument/2006/relationships/hyperlink" Target="https://www.legislation.gov.au/Series/F2018L01837" TargetMode="External"/><Relationship Id="rId19" Type="http://schemas.openxmlformats.org/officeDocument/2006/relationships/hyperlink" Target="https://www.agedcarequality.gov.au/resources/regulatory-bulletin-2020-3.0" TargetMode="External"/><Relationship Id="rId31" Type="http://schemas.openxmlformats.org/officeDocument/2006/relationships/hyperlink" Target="https://www.agedcarequality.gov.au/reports"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gislation.gov.au/Series/C2018A00149" TargetMode="External"/><Relationship Id="rId14" Type="http://schemas.openxmlformats.org/officeDocument/2006/relationships/hyperlink" Target="https://www.myagedcare.gov.au" TargetMode="External"/><Relationship Id="rId22" Type="http://schemas.openxmlformats.org/officeDocument/2006/relationships/hyperlink" Target="https://www.agedcarequality.gov.au/aged-care-performance/non-compliance-register" TargetMode="External"/><Relationship Id="rId27" Type="http://schemas.openxmlformats.org/officeDocument/2006/relationships/hyperlink" Target="https://www.agedcarequality.gov.au/aged-care-performance/directions-issued" TargetMode="External"/><Relationship Id="rId30" Type="http://schemas.openxmlformats.org/officeDocument/2006/relationships/hyperlink" Target="https://www.agedcarequality.gov.au/reports" TargetMode="External"/><Relationship Id="rId35" Type="http://schemas.openxmlformats.org/officeDocument/2006/relationships/hyperlink" Target="https://www.myagedcare.gov.au/find-a-provider-choice" TargetMode="External"/><Relationship Id="rId43"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agedcarequality.gov.au/resources/aged-care-quality-and-safety-commission-glossary" TargetMode="External"/><Relationship Id="rId17" Type="http://schemas.openxmlformats.org/officeDocument/2006/relationships/hyperlink" Target="https://www.agedcarequality.gov.au/reports" TargetMode="External"/><Relationship Id="rId25" Type="http://schemas.openxmlformats.org/officeDocument/2006/relationships/hyperlink" Target="https://www.myagedcare.gov.au/" TargetMode="External"/><Relationship Id="rId33" Type="http://schemas.openxmlformats.org/officeDocument/2006/relationships/hyperlink" Target="https://www.agedcarequality.gov.au/aged-care-performance/complaints-directions" TargetMode="External"/><Relationship Id="rId38" Type="http://schemas.openxmlformats.org/officeDocument/2006/relationships/hyperlink" Target="https://www.agedcarequality.gov.au/finding-aged-care-service" TargetMode="External"/><Relationship Id="rId46" Type="http://schemas.openxmlformats.org/officeDocument/2006/relationships/theme" Target="theme/theme1.xml"/><Relationship Id="rId20" Type="http://schemas.openxmlformats.org/officeDocument/2006/relationships/hyperlink" Target="https://www.agedcarequality.gov.au/reports" TargetMode="External"/><Relationship Id="rId41" Type="http://schemas.openxmlformats.org/officeDocument/2006/relationships/hyperlink" Target="mailto:info@agedcarequality.gov.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agedcarequality.gov.au/resources/regulatory-bulletin-2020-3.0" TargetMode="External"/><Relationship Id="rId13" Type="http://schemas.openxmlformats.org/officeDocument/2006/relationships/hyperlink" Target="https://www.agedcarequality.gov.au/aged-care-performance/directions-issued" TargetMode="External"/><Relationship Id="rId3" Type="http://schemas.openxmlformats.org/officeDocument/2006/relationships/hyperlink" Target="https://www.myagedcare.gov.au" TargetMode="External"/><Relationship Id="rId7" Type="http://schemas.openxmlformats.org/officeDocument/2006/relationships/hyperlink" Target="https://www.agedcarequality.gov.au/reports" TargetMode="External"/><Relationship Id="rId12" Type="http://schemas.openxmlformats.org/officeDocument/2006/relationships/hyperlink" Target="https://www.myagedcare.gov.au/" TargetMode="External"/><Relationship Id="rId2" Type="http://schemas.openxmlformats.org/officeDocument/2006/relationships/hyperlink" Target="https://www.agedcarequality.gov.au/" TargetMode="External"/><Relationship Id="rId16" Type="http://schemas.openxmlformats.org/officeDocument/2006/relationships/hyperlink" Target="https://www.myagedcare.gov.au/" TargetMode="External"/><Relationship Id="rId1" Type="http://schemas.openxmlformats.org/officeDocument/2006/relationships/hyperlink" Target="https://www.agedcarequality.gov.au/resources/aged-care-quality-and-safety-commission-glossary" TargetMode="External"/><Relationship Id="rId6" Type="http://schemas.openxmlformats.org/officeDocument/2006/relationships/hyperlink" Target="https://www.agedcarequality.gov.au/reports" TargetMode="External"/><Relationship Id="rId11" Type="http://schemas.openxmlformats.org/officeDocument/2006/relationships/hyperlink" Target="https://www.agedcarequality.gov.au/aged-care-performance/non-compliance-register" TargetMode="External"/><Relationship Id="rId5" Type="http://schemas.openxmlformats.org/officeDocument/2006/relationships/hyperlink" Target="https://www.agedcarequality.gov.au/reports" TargetMode="External"/><Relationship Id="rId15" Type="http://schemas.openxmlformats.org/officeDocument/2006/relationships/hyperlink" Target="https://www.myagedcare.gov.au/" TargetMode="External"/><Relationship Id="rId10" Type="http://schemas.openxmlformats.org/officeDocument/2006/relationships/hyperlink" Target="https://www.agedcarequality.gov.au/sector-performance" TargetMode="External"/><Relationship Id="rId4" Type="http://schemas.openxmlformats.org/officeDocument/2006/relationships/hyperlink" Target="https://www.agedcarequality.gov.au/" TargetMode="External"/><Relationship Id="rId9" Type="http://schemas.openxmlformats.org/officeDocument/2006/relationships/hyperlink" Target="https://www.agedcarequality.gov.au/reports" TargetMode="External"/><Relationship Id="rId14" Type="http://schemas.openxmlformats.org/officeDocument/2006/relationships/hyperlink" Target="https://www.agedcarequality.gov.au/aged-care-perform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E133C-0E0F-48C2-A649-AB2A6FBA8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5002</Words>
  <Characters>28518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33454</CharactersWithSpaces>
  <SharedDoc>false</SharedDoc>
  <HLinks>
    <vt:vector size="378" baseType="variant">
      <vt:variant>
        <vt:i4>4587548</vt:i4>
      </vt:variant>
      <vt:variant>
        <vt:i4>99</vt:i4>
      </vt:variant>
      <vt:variant>
        <vt:i4>0</vt:i4>
      </vt:variant>
      <vt:variant>
        <vt:i4>5</vt:i4>
      </vt:variant>
      <vt:variant>
        <vt:lpwstr>https://www.agedcarequality.gov.au/subscribe</vt:lpwstr>
      </vt:variant>
      <vt:variant>
        <vt:lpwstr/>
      </vt:variant>
      <vt:variant>
        <vt:i4>2687093</vt:i4>
      </vt:variant>
      <vt:variant>
        <vt:i4>93</vt:i4>
      </vt:variant>
      <vt:variant>
        <vt:i4>0</vt:i4>
      </vt:variant>
      <vt:variant>
        <vt:i4>5</vt:i4>
      </vt:variant>
      <vt:variant>
        <vt:lpwstr>https://agedcarequality.govcms.gov.au/aged-care-performance/non-compliance</vt:lpwstr>
      </vt:variant>
      <vt:variant>
        <vt:lpwstr/>
      </vt:variant>
      <vt:variant>
        <vt:i4>6881314</vt:i4>
      </vt:variant>
      <vt:variant>
        <vt:i4>90</vt:i4>
      </vt:variant>
      <vt:variant>
        <vt:i4>0</vt:i4>
      </vt:variant>
      <vt:variant>
        <vt:i4>5</vt:i4>
      </vt:variant>
      <vt:variant>
        <vt:lpwstr>https://www.myagedcare.gov.au/</vt:lpwstr>
      </vt:variant>
      <vt:variant>
        <vt:lpwstr/>
      </vt:variant>
      <vt:variant>
        <vt:i4>1966091</vt:i4>
      </vt:variant>
      <vt:variant>
        <vt:i4>87</vt:i4>
      </vt:variant>
      <vt:variant>
        <vt:i4>0</vt:i4>
      </vt:variant>
      <vt:variant>
        <vt:i4>5</vt:i4>
      </vt:variant>
      <vt:variant>
        <vt:lpwstr>https://www.agedcarequality.gov.au/finding-aged-care-service</vt:lpwstr>
      </vt:variant>
      <vt:variant>
        <vt:lpwstr/>
      </vt:variant>
      <vt:variant>
        <vt:i4>6094894</vt:i4>
      </vt:variant>
      <vt:variant>
        <vt:i4>84</vt:i4>
      </vt:variant>
      <vt:variant>
        <vt:i4>0</vt:i4>
      </vt:variant>
      <vt:variant>
        <vt:i4>5</vt:i4>
      </vt:variant>
      <vt:variant>
        <vt:lpwstr>mailto:info@agedcarequality.gov.au</vt:lpwstr>
      </vt:variant>
      <vt:variant>
        <vt:lpwstr/>
      </vt:variant>
      <vt:variant>
        <vt:i4>4784129</vt:i4>
      </vt:variant>
      <vt:variant>
        <vt:i4>81</vt:i4>
      </vt:variant>
      <vt:variant>
        <vt:i4>0</vt:i4>
      </vt:variant>
      <vt:variant>
        <vt:i4>5</vt:i4>
      </vt:variant>
      <vt:variant>
        <vt:lpwstr>https://www.myagedcare.gov.au/non-compliance-checker</vt:lpwstr>
      </vt:variant>
      <vt:variant>
        <vt:lpwstr/>
      </vt:variant>
      <vt:variant>
        <vt:i4>4784129</vt:i4>
      </vt:variant>
      <vt:variant>
        <vt:i4>78</vt:i4>
      </vt:variant>
      <vt:variant>
        <vt:i4>0</vt:i4>
      </vt:variant>
      <vt:variant>
        <vt:i4>5</vt:i4>
      </vt:variant>
      <vt:variant>
        <vt:lpwstr>https://www.myagedcare.gov.au/non-compliance-checker</vt:lpwstr>
      </vt:variant>
      <vt:variant>
        <vt:lpwstr/>
      </vt:variant>
      <vt:variant>
        <vt:i4>6226007</vt:i4>
      </vt:variant>
      <vt:variant>
        <vt:i4>75</vt:i4>
      </vt:variant>
      <vt:variant>
        <vt:i4>0</vt:i4>
      </vt:variant>
      <vt:variant>
        <vt:i4>5</vt:i4>
      </vt:variant>
      <vt:variant>
        <vt:lpwstr>https://www.myagedcare.gov.au/find-a-provider-choice</vt:lpwstr>
      </vt:variant>
      <vt:variant>
        <vt:lpwstr/>
      </vt:variant>
      <vt:variant>
        <vt:i4>6881314</vt:i4>
      </vt:variant>
      <vt:variant>
        <vt:i4>72</vt:i4>
      </vt:variant>
      <vt:variant>
        <vt:i4>0</vt:i4>
      </vt:variant>
      <vt:variant>
        <vt:i4>5</vt:i4>
      </vt:variant>
      <vt:variant>
        <vt:lpwstr>https://www.myagedcare.gov.au/</vt:lpwstr>
      </vt:variant>
      <vt:variant>
        <vt:lpwstr/>
      </vt:variant>
      <vt:variant>
        <vt:i4>2621560</vt:i4>
      </vt:variant>
      <vt:variant>
        <vt:i4>69</vt:i4>
      </vt:variant>
      <vt:variant>
        <vt:i4>0</vt:i4>
      </vt:variant>
      <vt:variant>
        <vt:i4>5</vt:i4>
      </vt:variant>
      <vt:variant>
        <vt:lpwstr>https://www.agedcarequality.gov.au/aged-care-performance/complaints-directions</vt:lpwstr>
      </vt:variant>
      <vt:variant>
        <vt:lpwstr/>
      </vt:variant>
      <vt:variant>
        <vt:i4>5832789</vt:i4>
      </vt:variant>
      <vt:variant>
        <vt:i4>66</vt:i4>
      </vt:variant>
      <vt:variant>
        <vt:i4>0</vt:i4>
      </vt:variant>
      <vt:variant>
        <vt:i4>5</vt:i4>
      </vt:variant>
      <vt:variant>
        <vt:lpwstr>https://www.agedcarequality.gov.au/aged-care-performance/non-compliance-register</vt:lpwstr>
      </vt:variant>
      <vt:variant>
        <vt:lpwstr/>
      </vt:variant>
      <vt:variant>
        <vt:i4>3866740</vt:i4>
      </vt:variant>
      <vt:variant>
        <vt:i4>63</vt:i4>
      </vt:variant>
      <vt:variant>
        <vt:i4>0</vt:i4>
      </vt:variant>
      <vt:variant>
        <vt:i4>5</vt:i4>
      </vt:variant>
      <vt:variant>
        <vt:lpwstr>https://www.agedcarequality.gov.au/reports</vt:lpwstr>
      </vt:variant>
      <vt:variant>
        <vt:lpwstr/>
      </vt:variant>
      <vt:variant>
        <vt:i4>3866740</vt:i4>
      </vt:variant>
      <vt:variant>
        <vt:i4>60</vt:i4>
      </vt:variant>
      <vt:variant>
        <vt:i4>0</vt:i4>
      </vt:variant>
      <vt:variant>
        <vt:i4>5</vt:i4>
      </vt:variant>
      <vt:variant>
        <vt:lpwstr>https://www.agedcarequality.gov.au/reports</vt:lpwstr>
      </vt:variant>
      <vt:variant>
        <vt:lpwstr/>
      </vt:variant>
      <vt:variant>
        <vt:i4>1638407</vt:i4>
      </vt:variant>
      <vt:variant>
        <vt:i4>57</vt:i4>
      </vt:variant>
      <vt:variant>
        <vt:i4>0</vt:i4>
      </vt:variant>
      <vt:variant>
        <vt:i4>5</vt:i4>
      </vt:variant>
      <vt:variant>
        <vt:lpwstr>https://www.agedcarequality.gov.au/sector-performance</vt:lpwstr>
      </vt:variant>
      <vt:variant>
        <vt:lpwstr/>
      </vt:variant>
      <vt:variant>
        <vt:i4>1966150</vt:i4>
      </vt:variant>
      <vt:variant>
        <vt:i4>54</vt:i4>
      </vt:variant>
      <vt:variant>
        <vt:i4>0</vt:i4>
      </vt:variant>
      <vt:variant>
        <vt:i4>5</vt:i4>
      </vt:variant>
      <vt:variant>
        <vt:lpwstr>https://www.agedcarequality.gov.au/aged-care-performance</vt:lpwstr>
      </vt:variant>
      <vt:variant>
        <vt:lpwstr/>
      </vt:variant>
      <vt:variant>
        <vt:i4>2293874</vt:i4>
      </vt:variant>
      <vt:variant>
        <vt:i4>51</vt:i4>
      </vt:variant>
      <vt:variant>
        <vt:i4>0</vt:i4>
      </vt:variant>
      <vt:variant>
        <vt:i4>5</vt:i4>
      </vt:variant>
      <vt:variant>
        <vt:lpwstr>https://www.agedcarequality.gov.au/aged-care-performance/directions-issued</vt:lpwstr>
      </vt:variant>
      <vt:variant>
        <vt:lpwstr/>
      </vt:variant>
      <vt:variant>
        <vt:i4>3735608</vt:i4>
      </vt:variant>
      <vt:variant>
        <vt:i4>45</vt:i4>
      </vt:variant>
      <vt:variant>
        <vt:i4>0</vt:i4>
      </vt:variant>
      <vt:variant>
        <vt:i4>5</vt:i4>
      </vt:variant>
      <vt:variant>
        <vt:lpwstr>https://www.myagedcare.gov.au/find-a-provider/</vt:lpwstr>
      </vt:variant>
      <vt:variant>
        <vt:lpwstr/>
      </vt:variant>
      <vt:variant>
        <vt:i4>6881314</vt:i4>
      </vt:variant>
      <vt:variant>
        <vt:i4>42</vt:i4>
      </vt:variant>
      <vt:variant>
        <vt:i4>0</vt:i4>
      </vt:variant>
      <vt:variant>
        <vt:i4>5</vt:i4>
      </vt:variant>
      <vt:variant>
        <vt:lpwstr>https://www.myagedcare.gov.au/</vt:lpwstr>
      </vt:variant>
      <vt:variant>
        <vt:lpwstr/>
      </vt:variant>
      <vt:variant>
        <vt:i4>5832789</vt:i4>
      </vt:variant>
      <vt:variant>
        <vt:i4>39</vt:i4>
      </vt:variant>
      <vt:variant>
        <vt:i4>0</vt:i4>
      </vt:variant>
      <vt:variant>
        <vt:i4>5</vt:i4>
      </vt:variant>
      <vt:variant>
        <vt:lpwstr>https://www.agedcarequality.gov.au/aged-care-performance/non-compliance-register</vt:lpwstr>
      </vt:variant>
      <vt:variant>
        <vt:lpwstr/>
      </vt:variant>
      <vt:variant>
        <vt:i4>1638407</vt:i4>
      </vt:variant>
      <vt:variant>
        <vt:i4>36</vt:i4>
      </vt:variant>
      <vt:variant>
        <vt:i4>0</vt:i4>
      </vt:variant>
      <vt:variant>
        <vt:i4>5</vt:i4>
      </vt:variant>
      <vt:variant>
        <vt:lpwstr>https://www.agedcarequality.gov.au/sector-performance</vt:lpwstr>
      </vt:variant>
      <vt:variant>
        <vt:lpwstr/>
      </vt:variant>
      <vt:variant>
        <vt:i4>3866740</vt:i4>
      </vt:variant>
      <vt:variant>
        <vt:i4>33</vt:i4>
      </vt:variant>
      <vt:variant>
        <vt:i4>0</vt:i4>
      </vt:variant>
      <vt:variant>
        <vt:i4>5</vt:i4>
      </vt:variant>
      <vt:variant>
        <vt:lpwstr>https://www.agedcarequality.gov.au/reports</vt:lpwstr>
      </vt:variant>
      <vt:variant>
        <vt:lpwstr/>
      </vt:variant>
      <vt:variant>
        <vt:i4>917571</vt:i4>
      </vt:variant>
      <vt:variant>
        <vt:i4>30</vt:i4>
      </vt:variant>
      <vt:variant>
        <vt:i4>0</vt:i4>
      </vt:variant>
      <vt:variant>
        <vt:i4>5</vt:i4>
      </vt:variant>
      <vt:variant>
        <vt:lpwstr>https://www.agedcarequality.gov.au/resources/regulatory-bulletin-2020-3.0</vt:lpwstr>
      </vt:variant>
      <vt:variant>
        <vt:lpwstr/>
      </vt:variant>
      <vt:variant>
        <vt:i4>3866740</vt:i4>
      </vt:variant>
      <vt:variant>
        <vt:i4>27</vt:i4>
      </vt:variant>
      <vt:variant>
        <vt:i4>0</vt:i4>
      </vt:variant>
      <vt:variant>
        <vt:i4>5</vt:i4>
      </vt:variant>
      <vt:variant>
        <vt:lpwstr>https://www.agedcarequality.gov.au/reports</vt:lpwstr>
      </vt:variant>
      <vt:variant>
        <vt:lpwstr/>
      </vt:variant>
      <vt:variant>
        <vt:i4>3866740</vt:i4>
      </vt:variant>
      <vt:variant>
        <vt:i4>24</vt:i4>
      </vt:variant>
      <vt:variant>
        <vt:i4>0</vt:i4>
      </vt:variant>
      <vt:variant>
        <vt:i4>5</vt:i4>
      </vt:variant>
      <vt:variant>
        <vt:lpwstr>https://www.agedcarequality.gov.au/reports</vt:lpwstr>
      </vt:variant>
      <vt:variant>
        <vt:lpwstr/>
      </vt:variant>
      <vt:variant>
        <vt:i4>3866740</vt:i4>
      </vt:variant>
      <vt:variant>
        <vt:i4>21</vt:i4>
      </vt:variant>
      <vt:variant>
        <vt:i4>0</vt:i4>
      </vt:variant>
      <vt:variant>
        <vt:i4>5</vt:i4>
      </vt:variant>
      <vt:variant>
        <vt:lpwstr>https://www.agedcarequality.gov.au/reports</vt:lpwstr>
      </vt:variant>
      <vt:variant>
        <vt:lpwstr/>
      </vt:variant>
      <vt:variant>
        <vt:i4>3670053</vt:i4>
      </vt:variant>
      <vt:variant>
        <vt:i4>18</vt:i4>
      </vt:variant>
      <vt:variant>
        <vt:i4>0</vt:i4>
      </vt:variant>
      <vt:variant>
        <vt:i4>5</vt:i4>
      </vt:variant>
      <vt:variant>
        <vt:lpwstr>https://www.agedcarequality.gov.au/</vt:lpwstr>
      </vt:variant>
      <vt:variant>
        <vt:lpwstr/>
      </vt:variant>
      <vt:variant>
        <vt:i4>6881314</vt:i4>
      </vt:variant>
      <vt:variant>
        <vt:i4>15</vt:i4>
      </vt:variant>
      <vt:variant>
        <vt:i4>0</vt:i4>
      </vt:variant>
      <vt:variant>
        <vt:i4>5</vt:i4>
      </vt:variant>
      <vt:variant>
        <vt:lpwstr>https://www.myagedcare.gov.au/</vt:lpwstr>
      </vt:variant>
      <vt:variant>
        <vt:lpwstr/>
      </vt:variant>
      <vt:variant>
        <vt:i4>3670053</vt:i4>
      </vt:variant>
      <vt:variant>
        <vt:i4>12</vt:i4>
      </vt:variant>
      <vt:variant>
        <vt:i4>0</vt:i4>
      </vt:variant>
      <vt:variant>
        <vt:i4>5</vt:i4>
      </vt:variant>
      <vt:variant>
        <vt:lpwstr>https://www.agedcarequality.gov.au/</vt:lpwstr>
      </vt:variant>
      <vt:variant>
        <vt:lpwstr/>
      </vt:variant>
      <vt:variant>
        <vt:i4>4653137</vt:i4>
      </vt:variant>
      <vt:variant>
        <vt:i4>9</vt:i4>
      </vt:variant>
      <vt:variant>
        <vt:i4>0</vt:i4>
      </vt:variant>
      <vt:variant>
        <vt:i4>5</vt:i4>
      </vt:variant>
      <vt:variant>
        <vt:lpwstr>https://www.agedcarequality.gov.au/resources/aged-care-quality-and-safety-commission-glossary</vt:lpwstr>
      </vt:variant>
      <vt:variant>
        <vt:lpwstr/>
      </vt:variant>
      <vt:variant>
        <vt:i4>1114178</vt:i4>
      </vt:variant>
      <vt:variant>
        <vt:i4>6</vt:i4>
      </vt:variant>
      <vt:variant>
        <vt:i4>0</vt:i4>
      </vt:variant>
      <vt:variant>
        <vt:i4>5</vt:i4>
      </vt:variant>
      <vt:variant>
        <vt:lpwstr>https://www.agedcarequality.gov.au/about-us/legislation-and-policies</vt:lpwstr>
      </vt:variant>
      <vt:variant>
        <vt:lpwstr/>
      </vt:variant>
      <vt:variant>
        <vt:i4>1114178</vt:i4>
      </vt:variant>
      <vt:variant>
        <vt:i4>3</vt:i4>
      </vt:variant>
      <vt:variant>
        <vt:i4>0</vt:i4>
      </vt:variant>
      <vt:variant>
        <vt:i4>5</vt:i4>
      </vt:variant>
      <vt:variant>
        <vt:lpwstr>https://www.agedcarequality.gov.au/about-us/legislation-and-policies</vt:lpwstr>
      </vt:variant>
      <vt:variant>
        <vt:lpwstr/>
      </vt:variant>
      <vt:variant>
        <vt:i4>1114178</vt:i4>
      </vt:variant>
      <vt:variant>
        <vt:i4>0</vt:i4>
      </vt:variant>
      <vt:variant>
        <vt:i4>0</vt:i4>
      </vt:variant>
      <vt:variant>
        <vt:i4>5</vt:i4>
      </vt:variant>
      <vt:variant>
        <vt:lpwstr>https://www.agedcarequality.gov.au/about-us/legislation-and-policies</vt:lpwstr>
      </vt:variant>
      <vt:variant>
        <vt:lpwstr/>
      </vt:variant>
      <vt:variant>
        <vt:i4>6881314</vt:i4>
      </vt:variant>
      <vt:variant>
        <vt:i4>54</vt:i4>
      </vt:variant>
      <vt:variant>
        <vt:i4>0</vt:i4>
      </vt:variant>
      <vt:variant>
        <vt:i4>5</vt:i4>
      </vt:variant>
      <vt:variant>
        <vt:lpwstr>https://www.myagedcare.gov.au/</vt:lpwstr>
      </vt:variant>
      <vt:variant>
        <vt:lpwstr/>
      </vt:variant>
      <vt:variant>
        <vt:i4>4784129</vt:i4>
      </vt:variant>
      <vt:variant>
        <vt:i4>51</vt:i4>
      </vt:variant>
      <vt:variant>
        <vt:i4>0</vt:i4>
      </vt:variant>
      <vt:variant>
        <vt:i4>5</vt:i4>
      </vt:variant>
      <vt:variant>
        <vt:lpwstr>https://www.myagedcare.gov.au/non-compliance-checker</vt:lpwstr>
      </vt:variant>
      <vt:variant>
        <vt:lpwstr/>
      </vt:variant>
      <vt:variant>
        <vt:i4>6881314</vt:i4>
      </vt:variant>
      <vt:variant>
        <vt:i4>48</vt:i4>
      </vt:variant>
      <vt:variant>
        <vt:i4>0</vt:i4>
      </vt:variant>
      <vt:variant>
        <vt:i4>5</vt:i4>
      </vt:variant>
      <vt:variant>
        <vt:lpwstr>https://www.myagedcare.gov.au/</vt:lpwstr>
      </vt:variant>
      <vt:variant>
        <vt:lpwstr/>
      </vt:variant>
      <vt:variant>
        <vt:i4>1966150</vt:i4>
      </vt:variant>
      <vt:variant>
        <vt:i4>45</vt:i4>
      </vt:variant>
      <vt:variant>
        <vt:i4>0</vt:i4>
      </vt:variant>
      <vt:variant>
        <vt:i4>5</vt:i4>
      </vt:variant>
      <vt:variant>
        <vt:lpwstr>https://www.agedcarequality.gov.au/aged-care-performance</vt:lpwstr>
      </vt:variant>
      <vt:variant>
        <vt:lpwstr/>
      </vt:variant>
      <vt:variant>
        <vt:i4>2293874</vt:i4>
      </vt:variant>
      <vt:variant>
        <vt:i4>42</vt:i4>
      </vt:variant>
      <vt:variant>
        <vt:i4>0</vt:i4>
      </vt:variant>
      <vt:variant>
        <vt:i4>5</vt:i4>
      </vt:variant>
      <vt:variant>
        <vt:lpwstr>https://www.agedcarequality.gov.au/aged-care-performance/directions-issued</vt:lpwstr>
      </vt:variant>
      <vt:variant>
        <vt:lpwstr/>
      </vt:variant>
      <vt:variant>
        <vt:i4>6881314</vt:i4>
      </vt:variant>
      <vt:variant>
        <vt:i4>39</vt:i4>
      </vt:variant>
      <vt:variant>
        <vt:i4>0</vt:i4>
      </vt:variant>
      <vt:variant>
        <vt:i4>5</vt:i4>
      </vt:variant>
      <vt:variant>
        <vt:lpwstr>https://www.myagedcare.gov.au/</vt:lpwstr>
      </vt:variant>
      <vt:variant>
        <vt:lpwstr/>
      </vt:variant>
      <vt:variant>
        <vt:i4>1638407</vt:i4>
      </vt:variant>
      <vt:variant>
        <vt:i4>36</vt:i4>
      </vt:variant>
      <vt:variant>
        <vt:i4>0</vt:i4>
      </vt:variant>
      <vt:variant>
        <vt:i4>5</vt:i4>
      </vt:variant>
      <vt:variant>
        <vt:lpwstr>https://www.agedcarequality.gov.au/sector-performance</vt:lpwstr>
      </vt:variant>
      <vt:variant>
        <vt:lpwstr/>
      </vt:variant>
      <vt:variant>
        <vt:i4>3866740</vt:i4>
      </vt:variant>
      <vt:variant>
        <vt:i4>33</vt:i4>
      </vt:variant>
      <vt:variant>
        <vt:i4>0</vt:i4>
      </vt:variant>
      <vt:variant>
        <vt:i4>5</vt:i4>
      </vt:variant>
      <vt:variant>
        <vt:lpwstr>https://www.agedcarequality.gov.au/reports</vt:lpwstr>
      </vt:variant>
      <vt:variant>
        <vt:lpwstr/>
      </vt:variant>
      <vt:variant>
        <vt:i4>917571</vt:i4>
      </vt:variant>
      <vt:variant>
        <vt:i4>30</vt:i4>
      </vt:variant>
      <vt:variant>
        <vt:i4>0</vt:i4>
      </vt:variant>
      <vt:variant>
        <vt:i4>5</vt:i4>
      </vt:variant>
      <vt:variant>
        <vt:lpwstr>https://www.agedcarequality.gov.au/resources/regulatory-bulletin-2020-3.0</vt:lpwstr>
      </vt:variant>
      <vt:variant>
        <vt:lpwstr/>
      </vt:variant>
      <vt:variant>
        <vt:i4>3866740</vt:i4>
      </vt:variant>
      <vt:variant>
        <vt:i4>27</vt:i4>
      </vt:variant>
      <vt:variant>
        <vt:i4>0</vt:i4>
      </vt:variant>
      <vt:variant>
        <vt:i4>5</vt:i4>
      </vt:variant>
      <vt:variant>
        <vt:lpwstr>https://www.agedcarequality.gov.au/reports</vt:lpwstr>
      </vt:variant>
      <vt:variant>
        <vt:lpwstr/>
      </vt:variant>
      <vt:variant>
        <vt:i4>3866740</vt:i4>
      </vt:variant>
      <vt:variant>
        <vt:i4>24</vt:i4>
      </vt:variant>
      <vt:variant>
        <vt:i4>0</vt:i4>
      </vt:variant>
      <vt:variant>
        <vt:i4>5</vt:i4>
      </vt:variant>
      <vt:variant>
        <vt:lpwstr>https://www.agedcarequality.gov.au/reports</vt:lpwstr>
      </vt:variant>
      <vt:variant>
        <vt:lpwstr/>
      </vt:variant>
      <vt:variant>
        <vt:i4>3866740</vt:i4>
      </vt:variant>
      <vt:variant>
        <vt:i4>21</vt:i4>
      </vt:variant>
      <vt:variant>
        <vt:i4>0</vt:i4>
      </vt:variant>
      <vt:variant>
        <vt:i4>5</vt:i4>
      </vt:variant>
      <vt:variant>
        <vt:lpwstr>https://www.agedcarequality.gov.au/reports</vt:lpwstr>
      </vt:variant>
      <vt:variant>
        <vt:lpwstr/>
      </vt:variant>
      <vt:variant>
        <vt:i4>3670053</vt:i4>
      </vt:variant>
      <vt:variant>
        <vt:i4>18</vt:i4>
      </vt:variant>
      <vt:variant>
        <vt:i4>0</vt:i4>
      </vt:variant>
      <vt:variant>
        <vt:i4>5</vt:i4>
      </vt:variant>
      <vt:variant>
        <vt:lpwstr>https://www.agedcarequality.gov.au/</vt:lpwstr>
      </vt:variant>
      <vt:variant>
        <vt:lpwstr/>
      </vt:variant>
      <vt:variant>
        <vt:i4>6881314</vt:i4>
      </vt:variant>
      <vt:variant>
        <vt:i4>15</vt:i4>
      </vt:variant>
      <vt:variant>
        <vt:i4>0</vt:i4>
      </vt:variant>
      <vt:variant>
        <vt:i4>5</vt:i4>
      </vt:variant>
      <vt:variant>
        <vt:lpwstr>https://www.myagedcare.gov.au/</vt:lpwstr>
      </vt:variant>
      <vt:variant>
        <vt:lpwstr/>
      </vt:variant>
      <vt:variant>
        <vt:i4>3670053</vt:i4>
      </vt:variant>
      <vt:variant>
        <vt:i4>12</vt:i4>
      </vt:variant>
      <vt:variant>
        <vt:i4>0</vt:i4>
      </vt:variant>
      <vt:variant>
        <vt:i4>5</vt:i4>
      </vt:variant>
      <vt:variant>
        <vt:lpwstr>https://www.agedcarequality.gov.au/</vt:lpwstr>
      </vt:variant>
      <vt:variant>
        <vt:lpwstr/>
      </vt:variant>
      <vt:variant>
        <vt:i4>4653137</vt:i4>
      </vt:variant>
      <vt:variant>
        <vt:i4>9</vt:i4>
      </vt:variant>
      <vt:variant>
        <vt:i4>0</vt:i4>
      </vt:variant>
      <vt:variant>
        <vt:i4>5</vt:i4>
      </vt:variant>
      <vt:variant>
        <vt:lpwstr>https://www.agedcarequality.gov.au/resources/aged-care-quality-and-safety-commission-glossary</vt:lpwstr>
      </vt:variant>
      <vt:variant>
        <vt:lpwstr/>
      </vt:variant>
      <vt:variant>
        <vt:i4>1114178</vt:i4>
      </vt:variant>
      <vt:variant>
        <vt:i4>6</vt:i4>
      </vt:variant>
      <vt:variant>
        <vt:i4>0</vt:i4>
      </vt:variant>
      <vt:variant>
        <vt:i4>5</vt:i4>
      </vt:variant>
      <vt:variant>
        <vt:lpwstr>https://www.agedcarequality.gov.au/about-us/legislation-and-policies</vt:lpwstr>
      </vt:variant>
      <vt:variant>
        <vt:lpwstr/>
      </vt:variant>
      <vt:variant>
        <vt:i4>1114178</vt:i4>
      </vt:variant>
      <vt:variant>
        <vt:i4>3</vt:i4>
      </vt:variant>
      <vt:variant>
        <vt:i4>0</vt:i4>
      </vt:variant>
      <vt:variant>
        <vt:i4>5</vt:i4>
      </vt:variant>
      <vt:variant>
        <vt:lpwstr>https://www.agedcarequality.gov.au/about-us/legislation-and-policies</vt:lpwstr>
      </vt:variant>
      <vt:variant>
        <vt:lpwstr/>
      </vt:variant>
      <vt:variant>
        <vt:i4>1114178</vt:i4>
      </vt:variant>
      <vt:variant>
        <vt:i4>0</vt:i4>
      </vt:variant>
      <vt:variant>
        <vt:i4>0</vt:i4>
      </vt:variant>
      <vt:variant>
        <vt:i4>5</vt:i4>
      </vt:variant>
      <vt:variant>
        <vt:lpwstr>https://www.agedcarequality.gov.au/about-us/legislation-and-policies</vt:lpwstr>
      </vt:variant>
      <vt:variant>
        <vt:lpwstr/>
      </vt:variant>
      <vt:variant>
        <vt:i4>4391009</vt:i4>
      </vt:variant>
      <vt:variant>
        <vt:i4>33</vt:i4>
      </vt:variant>
      <vt:variant>
        <vt:i4>0</vt:i4>
      </vt:variant>
      <vt:variant>
        <vt:i4>5</vt:i4>
      </vt:variant>
      <vt:variant>
        <vt:lpwstr>mailto:Cameron.Bray@agedcarequality.gov.au</vt:lpwstr>
      </vt:variant>
      <vt:variant>
        <vt:lpwstr/>
      </vt:variant>
      <vt:variant>
        <vt:i4>3604495</vt:i4>
      </vt:variant>
      <vt:variant>
        <vt:i4>30</vt:i4>
      </vt:variant>
      <vt:variant>
        <vt:i4>0</vt:i4>
      </vt:variant>
      <vt:variant>
        <vt:i4>5</vt:i4>
      </vt:variant>
      <vt:variant>
        <vt:lpwstr>mailto:Joie.Chiu@agedcarequality.gov.au</vt:lpwstr>
      </vt:variant>
      <vt:variant>
        <vt:lpwstr/>
      </vt:variant>
      <vt:variant>
        <vt:i4>4915298</vt:i4>
      </vt:variant>
      <vt:variant>
        <vt:i4>27</vt:i4>
      </vt:variant>
      <vt:variant>
        <vt:i4>0</vt:i4>
      </vt:variant>
      <vt:variant>
        <vt:i4>5</vt:i4>
      </vt:variant>
      <vt:variant>
        <vt:lpwstr>mailto:Penelope.Bilgin@agedcarequality.gov.au</vt:lpwstr>
      </vt:variant>
      <vt:variant>
        <vt:lpwstr/>
      </vt:variant>
      <vt:variant>
        <vt:i4>4915298</vt:i4>
      </vt:variant>
      <vt:variant>
        <vt:i4>24</vt:i4>
      </vt:variant>
      <vt:variant>
        <vt:i4>0</vt:i4>
      </vt:variant>
      <vt:variant>
        <vt:i4>5</vt:i4>
      </vt:variant>
      <vt:variant>
        <vt:lpwstr>mailto:Penelope.Bilgin@agedcarequality.gov.au</vt:lpwstr>
      </vt:variant>
      <vt:variant>
        <vt:lpwstr/>
      </vt:variant>
      <vt:variant>
        <vt:i4>5243006</vt:i4>
      </vt:variant>
      <vt:variant>
        <vt:i4>21</vt:i4>
      </vt:variant>
      <vt:variant>
        <vt:i4>0</vt:i4>
      </vt:variant>
      <vt:variant>
        <vt:i4>5</vt:i4>
      </vt:variant>
      <vt:variant>
        <vt:lpwstr>mailto:Amie.Sparks@agedcarequality.gov.au</vt:lpwstr>
      </vt:variant>
      <vt:variant>
        <vt:lpwstr/>
      </vt:variant>
      <vt:variant>
        <vt:i4>5243006</vt:i4>
      </vt:variant>
      <vt:variant>
        <vt:i4>18</vt:i4>
      </vt:variant>
      <vt:variant>
        <vt:i4>0</vt:i4>
      </vt:variant>
      <vt:variant>
        <vt:i4>5</vt:i4>
      </vt:variant>
      <vt:variant>
        <vt:lpwstr>mailto:Amie.Sparks@agedcarequality.gov.au</vt:lpwstr>
      </vt:variant>
      <vt:variant>
        <vt:lpwstr/>
      </vt:variant>
      <vt:variant>
        <vt:i4>5439542</vt:i4>
      </vt:variant>
      <vt:variant>
        <vt:i4>15</vt:i4>
      </vt:variant>
      <vt:variant>
        <vt:i4>0</vt:i4>
      </vt:variant>
      <vt:variant>
        <vt:i4>5</vt:i4>
      </vt:variant>
      <vt:variant>
        <vt:lpwstr>mailto:nholdernesse@agedcarequality.gov.au</vt:lpwstr>
      </vt:variant>
      <vt:variant>
        <vt:lpwstr/>
      </vt:variant>
      <vt:variant>
        <vt:i4>5243006</vt:i4>
      </vt:variant>
      <vt:variant>
        <vt:i4>12</vt:i4>
      </vt:variant>
      <vt:variant>
        <vt:i4>0</vt:i4>
      </vt:variant>
      <vt:variant>
        <vt:i4>5</vt:i4>
      </vt:variant>
      <vt:variant>
        <vt:lpwstr>mailto:Amie.Sparks@agedcarequality.gov.au</vt:lpwstr>
      </vt:variant>
      <vt:variant>
        <vt:lpwstr/>
      </vt:variant>
      <vt:variant>
        <vt:i4>4915298</vt:i4>
      </vt:variant>
      <vt:variant>
        <vt:i4>9</vt:i4>
      </vt:variant>
      <vt:variant>
        <vt:i4>0</vt:i4>
      </vt:variant>
      <vt:variant>
        <vt:i4>5</vt:i4>
      </vt:variant>
      <vt:variant>
        <vt:lpwstr>mailto:Penelope.Bilgin@agedcarequality.gov.au</vt:lpwstr>
      </vt:variant>
      <vt:variant>
        <vt:lpwstr/>
      </vt:variant>
      <vt:variant>
        <vt:i4>4915298</vt:i4>
      </vt:variant>
      <vt:variant>
        <vt:i4>6</vt:i4>
      </vt:variant>
      <vt:variant>
        <vt:i4>0</vt:i4>
      </vt:variant>
      <vt:variant>
        <vt:i4>5</vt:i4>
      </vt:variant>
      <vt:variant>
        <vt:lpwstr>mailto:Penelope.Bilgin@agedcarequality.gov.au</vt:lpwstr>
      </vt:variant>
      <vt:variant>
        <vt:lpwstr/>
      </vt:variant>
      <vt:variant>
        <vt:i4>262171</vt:i4>
      </vt:variant>
      <vt:variant>
        <vt:i4>3</vt:i4>
      </vt:variant>
      <vt:variant>
        <vt:i4>0</vt:i4>
      </vt:variant>
      <vt:variant>
        <vt:i4>5</vt:i4>
      </vt:variant>
      <vt:variant>
        <vt:lpwstr>https://www.legislation.gov.au/Series/C2004A05206</vt:lpwstr>
      </vt:variant>
      <vt:variant>
        <vt:lpwstr/>
      </vt:variant>
      <vt:variant>
        <vt:i4>4915298</vt:i4>
      </vt:variant>
      <vt:variant>
        <vt:i4>0</vt:i4>
      </vt:variant>
      <vt:variant>
        <vt:i4>0</vt:i4>
      </vt:variant>
      <vt:variant>
        <vt:i4>5</vt:i4>
      </vt:variant>
      <vt:variant>
        <vt:lpwstr>mailto:Penelope.Bilgin@agedcarequality.gov.au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2025-09-22T03:56:00Z</dcterms:created>
  <dcterms:modified xsi:type="dcterms:W3CDTF">2025-09-22T03:56:00Z</dcterms:modified>
</cp:coreProperties>
</file>