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A42EB" w14:textId="14C510AA" w:rsidR="00FC0D35" w:rsidRDefault="00FC0D35" w:rsidP="00FC0D35">
      <w:pPr>
        <w:pStyle w:val="Title"/>
        <w:spacing w:before="400"/>
        <w:rPr>
          <w:szCs w:val="72"/>
        </w:rPr>
      </w:pPr>
      <w:r>
        <w:rPr>
          <w:noProof/>
          <w:lang w:eastAsia="en-AU"/>
        </w:rPr>
        <w:drawing>
          <wp:anchor distT="0" distB="0" distL="114300" distR="114300" simplePos="0" relativeHeight="251658240" behindDoc="1" locked="0" layoutInCell="1" allowOverlap="1" wp14:anchorId="13068B25" wp14:editId="73BD1BC9">
            <wp:simplePos x="0" y="0"/>
            <wp:positionH relativeFrom="page">
              <wp:posOffset>-1</wp:posOffset>
            </wp:positionH>
            <wp:positionV relativeFrom="paragraph">
              <wp:posOffset>-1080135</wp:posOffset>
            </wp:positionV>
            <wp:extent cx="7566463" cy="21526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85646" cy="2158108"/>
                    </a:xfrm>
                    <a:prstGeom prst="rect">
                      <a:avLst/>
                    </a:prstGeom>
                    <a:noFill/>
                  </pic:spPr>
                </pic:pic>
              </a:graphicData>
            </a:graphic>
            <wp14:sizeRelH relativeFrom="page">
              <wp14:pctWidth>0</wp14:pctWidth>
            </wp14:sizeRelH>
            <wp14:sizeRelV relativeFrom="page">
              <wp14:pctHeight>0</wp14:pctHeight>
            </wp14:sizeRelV>
          </wp:anchor>
        </w:drawing>
      </w:r>
      <w:r>
        <w:rPr>
          <w:szCs w:val="72"/>
        </w:rPr>
        <w:t>Regulatory Bulletin</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4"/>
        <w:gridCol w:w="7074"/>
      </w:tblGrid>
      <w:tr w:rsidR="00FC0D35" w14:paraId="47CF0A18" w14:textId="77777777" w:rsidTr="00FC0D35">
        <w:tc>
          <w:tcPr>
            <w:tcW w:w="1330" w:type="pct"/>
            <w:tcBorders>
              <w:top w:val="single" w:sz="12" w:space="0" w:color="auto"/>
              <w:left w:val="nil"/>
              <w:bottom w:val="single" w:sz="12" w:space="0" w:color="auto"/>
              <w:right w:val="nil"/>
            </w:tcBorders>
            <w:hideMark/>
          </w:tcPr>
          <w:p w14:paraId="3C762549" w14:textId="77777777" w:rsidR="00FC0D35" w:rsidRDefault="00FC0D35">
            <w:pPr>
              <w:spacing w:before="120"/>
              <w:rPr>
                <w:b/>
                <w:sz w:val="28"/>
              </w:rPr>
            </w:pPr>
            <w:r>
              <w:rPr>
                <w:b/>
                <w:sz w:val="28"/>
              </w:rPr>
              <w:t>TITLE</w:t>
            </w:r>
          </w:p>
        </w:tc>
        <w:tc>
          <w:tcPr>
            <w:tcW w:w="3670" w:type="pct"/>
            <w:tcBorders>
              <w:top w:val="single" w:sz="12" w:space="0" w:color="auto"/>
              <w:left w:val="nil"/>
              <w:bottom w:val="single" w:sz="12" w:space="0" w:color="auto"/>
              <w:right w:val="nil"/>
            </w:tcBorders>
            <w:hideMark/>
          </w:tcPr>
          <w:p w14:paraId="1B813B5C" w14:textId="35848851" w:rsidR="00FC0D35" w:rsidRDefault="002D3448">
            <w:pPr>
              <w:spacing w:before="120"/>
              <w:rPr>
                <w:b/>
                <w:sz w:val="28"/>
              </w:rPr>
            </w:pPr>
            <w:r>
              <w:rPr>
                <w:b/>
                <w:sz w:val="28"/>
              </w:rPr>
              <w:t>Regulatory decision-making</w:t>
            </w:r>
          </w:p>
        </w:tc>
      </w:tr>
      <w:tr w:rsidR="00354816" w14:paraId="4D37C8CF" w14:textId="77777777" w:rsidTr="00FC0D35">
        <w:tc>
          <w:tcPr>
            <w:tcW w:w="1330" w:type="pct"/>
            <w:tcBorders>
              <w:top w:val="single" w:sz="12" w:space="0" w:color="auto"/>
              <w:left w:val="nil"/>
              <w:bottom w:val="single" w:sz="2" w:space="0" w:color="auto"/>
              <w:right w:val="nil"/>
            </w:tcBorders>
            <w:hideMark/>
          </w:tcPr>
          <w:p w14:paraId="6CC3141B" w14:textId="77777777" w:rsidR="00354816" w:rsidRPr="003D0C90" w:rsidRDefault="00354816" w:rsidP="00354816">
            <w:pPr>
              <w:spacing w:before="120"/>
            </w:pPr>
            <w:r w:rsidRPr="003D0C90">
              <w:t>Bulletin number</w:t>
            </w:r>
          </w:p>
        </w:tc>
        <w:tc>
          <w:tcPr>
            <w:tcW w:w="3670" w:type="pct"/>
            <w:tcBorders>
              <w:top w:val="single" w:sz="12" w:space="0" w:color="auto"/>
              <w:left w:val="nil"/>
              <w:bottom w:val="single" w:sz="2" w:space="0" w:color="auto"/>
              <w:right w:val="nil"/>
            </w:tcBorders>
            <w:hideMark/>
          </w:tcPr>
          <w:p w14:paraId="12E74466" w14:textId="10C42C0A" w:rsidR="00354816" w:rsidRDefault="00354816" w:rsidP="00354816">
            <w:pPr>
              <w:spacing w:before="120"/>
            </w:pPr>
            <w:r w:rsidRPr="003E2563">
              <w:t>RB 2019-06</w:t>
            </w:r>
          </w:p>
        </w:tc>
      </w:tr>
      <w:tr w:rsidR="00354816" w14:paraId="66DB7007" w14:textId="77777777" w:rsidTr="00FC0D35">
        <w:tc>
          <w:tcPr>
            <w:tcW w:w="1330" w:type="pct"/>
            <w:tcBorders>
              <w:top w:val="single" w:sz="2" w:space="0" w:color="auto"/>
              <w:left w:val="nil"/>
              <w:bottom w:val="single" w:sz="2" w:space="0" w:color="auto"/>
              <w:right w:val="nil"/>
            </w:tcBorders>
            <w:hideMark/>
          </w:tcPr>
          <w:p w14:paraId="701F792D" w14:textId="77777777" w:rsidR="00354816" w:rsidRDefault="00354816" w:rsidP="00354816">
            <w:pPr>
              <w:spacing w:before="120"/>
            </w:pPr>
            <w:r>
              <w:t>Version number</w:t>
            </w:r>
          </w:p>
        </w:tc>
        <w:tc>
          <w:tcPr>
            <w:tcW w:w="3670" w:type="pct"/>
            <w:tcBorders>
              <w:top w:val="single" w:sz="2" w:space="0" w:color="auto"/>
              <w:left w:val="nil"/>
              <w:bottom w:val="single" w:sz="2" w:space="0" w:color="auto"/>
              <w:right w:val="nil"/>
            </w:tcBorders>
            <w:hideMark/>
          </w:tcPr>
          <w:p w14:paraId="0278943C" w14:textId="3DD8F577" w:rsidR="00354816" w:rsidRDefault="00354816" w:rsidP="00354816">
            <w:pPr>
              <w:spacing w:before="120"/>
            </w:pPr>
            <w:r w:rsidRPr="003E2563">
              <w:t>3.</w:t>
            </w:r>
            <w:r w:rsidR="00D43AA4">
              <w:t>2</w:t>
            </w:r>
          </w:p>
        </w:tc>
      </w:tr>
      <w:tr w:rsidR="00354816" w14:paraId="595BC012" w14:textId="77777777" w:rsidTr="00FC0D35">
        <w:tc>
          <w:tcPr>
            <w:tcW w:w="1330" w:type="pct"/>
            <w:tcBorders>
              <w:top w:val="single" w:sz="2" w:space="0" w:color="auto"/>
              <w:left w:val="nil"/>
              <w:bottom w:val="single" w:sz="2" w:space="0" w:color="auto"/>
              <w:right w:val="nil"/>
            </w:tcBorders>
            <w:hideMark/>
          </w:tcPr>
          <w:p w14:paraId="0B659929" w14:textId="77777777" w:rsidR="00354816" w:rsidRDefault="00354816" w:rsidP="00354816">
            <w:pPr>
              <w:spacing w:before="120"/>
            </w:pPr>
            <w:r>
              <w:t>Document number</w:t>
            </w:r>
          </w:p>
        </w:tc>
        <w:tc>
          <w:tcPr>
            <w:tcW w:w="3670" w:type="pct"/>
            <w:tcBorders>
              <w:top w:val="single" w:sz="2" w:space="0" w:color="auto"/>
              <w:left w:val="nil"/>
              <w:bottom w:val="single" w:sz="2" w:space="0" w:color="auto"/>
              <w:right w:val="nil"/>
            </w:tcBorders>
            <w:hideMark/>
          </w:tcPr>
          <w:p w14:paraId="53B1717E" w14:textId="011AEE1A" w:rsidR="00354816" w:rsidRDefault="00354816" w:rsidP="00354816">
            <w:pPr>
              <w:spacing w:before="120"/>
            </w:pPr>
            <w:r w:rsidRPr="003E2563">
              <w:t>FRM-ACC-0606</w:t>
            </w:r>
          </w:p>
        </w:tc>
      </w:tr>
      <w:tr w:rsidR="00354816" w14:paraId="071E178E" w14:textId="77777777" w:rsidTr="00FC0D35">
        <w:tc>
          <w:tcPr>
            <w:tcW w:w="1330" w:type="pct"/>
            <w:tcBorders>
              <w:top w:val="single" w:sz="2" w:space="0" w:color="auto"/>
              <w:left w:val="nil"/>
              <w:bottom w:val="single" w:sz="2" w:space="0" w:color="auto"/>
              <w:right w:val="nil"/>
            </w:tcBorders>
            <w:hideMark/>
          </w:tcPr>
          <w:p w14:paraId="2FE44F74" w14:textId="77777777" w:rsidR="00354816" w:rsidRDefault="00354816" w:rsidP="00354816">
            <w:pPr>
              <w:spacing w:before="120"/>
            </w:pPr>
            <w:r>
              <w:t>Publication date</w:t>
            </w:r>
          </w:p>
        </w:tc>
        <w:tc>
          <w:tcPr>
            <w:tcW w:w="3670" w:type="pct"/>
            <w:tcBorders>
              <w:top w:val="single" w:sz="2" w:space="0" w:color="auto"/>
              <w:left w:val="nil"/>
              <w:bottom w:val="single" w:sz="2" w:space="0" w:color="auto"/>
              <w:right w:val="nil"/>
            </w:tcBorders>
            <w:hideMark/>
          </w:tcPr>
          <w:p w14:paraId="64C8D19B" w14:textId="2EBFC19F" w:rsidR="00354816" w:rsidRDefault="0095627C" w:rsidP="00354816">
            <w:pPr>
              <w:spacing w:before="120"/>
            </w:pPr>
            <w:r>
              <w:t>19 June 2023</w:t>
            </w:r>
          </w:p>
        </w:tc>
      </w:tr>
      <w:tr w:rsidR="00354816" w14:paraId="7F1C9DF7" w14:textId="77777777" w:rsidTr="00FC0D35">
        <w:tc>
          <w:tcPr>
            <w:tcW w:w="1330" w:type="pct"/>
            <w:tcBorders>
              <w:top w:val="single" w:sz="2" w:space="0" w:color="auto"/>
              <w:left w:val="nil"/>
              <w:bottom w:val="single" w:sz="4" w:space="0" w:color="auto"/>
              <w:right w:val="nil"/>
            </w:tcBorders>
            <w:hideMark/>
          </w:tcPr>
          <w:p w14:paraId="287A59CF" w14:textId="77777777" w:rsidR="00354816" w:rsidRDefault="00354816" w:rsidP="00354816">
            <w:pPr>
              <w:spacing w:before="120"/>
            </w:pPr>
            <w:r>
              <w:t>Replaces</w:t>
            </w:r>
          </w:p>
        </w:tc>
        <w:tc>
          <w:tcPr>
            <w:tcW w:w="3670" w:type="pct"/>
            <w:tcBorders>
              <w:top w:val="single" w:sz="2" w:space="0" w:color="auto"/>
              <w:left w:val="nil"/>
              <w:bottom w:val="single" w:sz="4" w:space="0" w:color="auto"/>
              <w:right w:val="nil"/>
            </w:tcBorders>
            <w:hideMark/>
          </w:tcPr>
          <w:p w14:paraId="78D42F04" w14:textId="090835F0" w:rsidR="00354816" w:rsidRDefault="00354816" w:rsidP="00354816">
            <w:pPr>
              <w:spacing w:before="120"/>
            </w:pPr>
            <w:r w:rsidRPr="003E2563">
              <w:t>2019-</w:t>
            </w:r>
            <w:r w:rsidR="00013957">
              <w:t>0</w:t>
            </w:r>
            <w:r w:rsidRPr="003E2563">
              <w:t>6</w:t>
            </w:r>
            <w:r w:rsidR="00013957">
              <w:t xml:space="preserve"> v3.</w:t>
            </w:r>
            <w:r w:rsidR="00A12FB2">
              <w:t>1</w:t>
            </w:r>
            <w:r w:rsidRPr="003E2563">
              <w:t xml:space="preserve"> published on </w:t>
            </w:r>
            <w:r w:rsidR="00A12FB2">
              <w:t>27 July 2020</w:t>
            </w:r>
          </w:p>
        </w:tc>
      </w:tr>
      <w:tr w:rsidR="00354816" w14:paraId="77A2B1C5" w14:textId="77777777" w:rsidTr="00FC0D35">
        <w:tc>
          <w:tcPr>
            <w:tcW w:w="1330" w:type="pct"/>
            <w:tcBorders>
              <w:top w:val="single" w:sz="4" w:space="0" w:color="auto"/>
              <w:left w:val="nil"/>
              <w:bottom w:val="single" w:sz="4" w:space="0" w:color="auto"/>
              <w:right w:val="nil"/>
            </w:tcBorders>
            <w:hideMark/>
          </w:tcPr>
          <w:p w14:paraId="07E51421" w14:textId="77777777" w:rsidR="00354816" w:rsidRDefault="00354816" w:rsidP="00354816">
            <w:pPr>
              <w:spacing w:before="120"/>
            </w:pPr>
            <w:r>
              <w:t>Information in this bulletin applies to</w:t>
            </w:r>
          </w:p>
        </w:tc>
        <w:tc>
          <w:tcPr>
            <w:tcW w:w="3670" w:type="pct"/>
            <w:tcBorders>
              <w:top w:val="single" w:sz="4" w:space="0" w:color="auto"/>
              <w:left w:val="nil"/>
              <w:bottom w:val="single" w:sz="4" w:space="0" w:color="auto"/>
              <w:right w:val="nil"/>
            </w:tcBorders>
            <w:hideMark/>
          </w:tcPr>
          <w:p w14:paraId="5D89A08C" w14:textId="5BEDA945" w:rsidR="00601DCC" w:rsidRPr="00C72460" w:rsidRDefault="00601DCC" w:rsidP="0019518D">
            <w:pPr>
              <w:pStyle w:val="ListBullet"/>
              <w:spacing w:before="120"/>
              <w:ind w:left="425" w:hanging="425"/>
              <w:rPr>
                <w:i/>
                <w:iCs/>
              </w:rPr>
            </w:pPr>
            <w:r>
              <w:t xml:space="preserve">Approved providers </w:t>
            </w:r>
            <w:r w:rsidR="006E1C28">
              <w:t xml:space="preserve">of residential, home care and flexible care </w:t>
            </w:r>
            <w:r>
              <w:t xml:space="preserve">under the </w:t>
            </w:r>
            <w:r w:rsidRPr="00C72460">
              <w:rPr>
                <w:i/>
                <w:iCs/>
              </w:rPr>
              <w:t>Aged Care Act 1997</w:t>
            </w:r>
          </w:p>
          <w:p w14:paraId="4A3BDBFC" w14:textId="171B5065" w:rsidR="00601DCC" w:rsidRDefault="00601DCC" w:rsidP="0019518D">
            <w:pPr>
              <w:pStyle w:val="ListBullet"/>
              <w:spacing w:before="120"/>
              <w:ind w:left="425" w:hanging="425"/>
            </w:pPr>
            <w:r>
              <w:t xml:space="preserve">Service providers </w:t>
            </w:r>
            <w:r w:rsidR="00500AF3">
              <w:t xml:space="preserve">that deliver care under funding agreements, such as the </w:t>
            </w:r>
            <w:r w:rsidR="001C1D3D">
              <w:t>Commonwealth Home Support Programme (</w:t>
            </w:r>
            <w:r w:rsidR="001C1D3D">
              <w:rPr>
                <w:b/>
              </w:rPr>
              <w:t>CHSP</w:t>
            </w:r>
            <w:r w:rsidR="001C1D3D">
              <w:t>) and National Aboriginal and Torres Strait Islander Flexible Aged Care Program (</w:t>
            </w:r>
            <w:r w:rsidR="001C1D3D">
              <w:rPr>
                <w:b/>
              </w:rPr>
              <w:t>NATSIFACP</w:t>
            </w:r>
            <w:r w:rsidR="001C1D3D">
              <w:t>)</w:t>
            </w:r>
          </w:p>
          <w:p w14:paraId="4BC97EF6" w14:textId="10E97D9D" w:rsidR="00F55B36" w:rsidRDefault="00F55B36" w:rsidP="0019518D">
            <w:pPr>
              <w:pStyle w:val="ListBullet"/>
              <w:spacing w:before="120"/>
              <w:ind w:left="425" w:hanging="425"/>
            </w:pPr>
            <w:r>
              <w:t>Aged care workers and governing persons of approved providers, including individuals who are no longer employed or otherwise engaged (including on a voluntary basis) by the approved provider</w:t>
            </w:r>
          </w:p>
          <w:p w14:paraId="4EF3BCE6" w14:textId="0C1875CB" w:rsidR="00F55B36" w:rsidRDefault="00F55B36" w:rsidP="0019518D">
            <w:pPr>
              <w:pStyle w:val="ListBullet"/>
              <w:spacing w:before="120"/>
              <w:ind w:left="425" w:hanging="425"/>
            </w:pPr>
            <w:r>
              <w:t>Individuals who have not previously been an aged care worker or governing person of an approved provider</w:t>
            </w:r>
          </w:p>
        </w:tc>
      </w:tr>
      <w:tr w:rsidR="00354816" w14:paraId="2EAB2D78" w14:textId="77777777" w:rsidTr="00FC0D35">
        <w:tc>
          <w:tcPr>
            <w:tcW w:w="1330" w:type="pct"/>
            <w:tcBorders>
              <w:top w:val="single" w:sz="4" w:space="0" w:color="auto"/>
              <w:left w:val="nil"/>
              <w:bottom w:val="single" w:sz="4" w:space="0" w:color="auto"/>
              <w:right w:val="nil"/>
            </w:tcBorders>
            <w:hideMark/>
          </w:tcPr>
          <w:p w14:paraId="378ADA30" w14:textId="77777777" w:rsidR="00354816" w:rsidRDefault="00354816" w:rsidP="00354816">
            <w:pPr>
              <w:spacing w:before="120"/>
            </w:pPr>
            <w:r>
              <w:t>Attachment</w:t>
            </w:r>
          </w:p>
        </w:tc>
        <w:tc>
          <w:tcPr>
            <w:tcW w:w="3670" w:type="pct"/>
            <w:tcBorders>
              <w:top w:val="single" w:sz="4" w:space="0" w:color="auto"/>
              <w:left w:val="nil"/>
              <w:bottom w:val="single" w:sz="4" w:space="0" w:color="auto"/>
              <w:right w:val="nil"/>
            </w:tcBorders>
            <w:hideMark/>
          </w:tcPr>
          <w:p w14:paraId="64E13495" w14:textId="0501AE7F" w:rsidR="00354816" w:rsidRDefault="00DA41BA" w:rsidP="00354816">
            <w:pPr>
              <w:spacing w:before="120"/>
            </w:pPr>
            <w:r>
              <w:t>N/A</w:t>
            </w:r>
          </w:p>
        </w:tc>
      </w:tr>
      <w:tr w:rsidR="00354816" w14:paraId="21B8C227" w14:textId="77777777" w:rsidTr="00FC0D35">
        <w:tc>
          <w:tcPr>
            <w:tcW w:w="1330" w:type="pct"/>
            <w:tcBorders>
              <w:top w:val="single" w:sz="2" w:space="0" w:color="auto"/>
              <w:left w:val="nil"/>
              <w:bottom w:val="single" w:sz="2" w:space="0" w:color="auto"/>
              <w:right w:val="nil"/>
            </w:tcBorders>
            <w:hideMark/>
          </w:tcPr>
          <w:p w14:paraId="77FC194D" w14:textId="77777777" w:rsidR="00354816" w:rsidRDefault="00354816" w:rsidP="0081399F">
            <w:pPr>
              <w:spacing w:before="120"/>
            </w:pPr>
            <w:r>
              <w:t>Notes</w:t>
            </w:r>
          </w:p>
        </w:tc>
        <w:tc>
          <w:tcPr>
            <w:tcW w:w="3670" w:type="pct"/>
            <w:tcBorders>
              <w:top w:val="single" w:sz="2" w:space="0" w:color="auto"/>
              <w:left w:val="nil"/>
              <w:bottom w:val="single" w:sz="2" w:space="0" w:color="auto"/>
              <w:right w:val="nil"/>
            </w:tcBorders>
          </w:tcPr>
          <w:p w14:paraId="596EF5ED" w14:textId="6884A682" w:rsidR="0081399F" w:rsidRDefault="00354816" w:rsidP="0081399F">
            <w:pPr>
              <w:spacing w:before="120"/>
            </w:pPr>
            <w:r w:rsidRPr="003E2563">
              <w:t>This Regulatory Bulletin has been updated to</w:t>
            </w:r>
            <w:r w:rsidR="0081399F">
              <w:t>:</w:t>
            </w:r>
            <w:r w:rsidRPr="003E2563">
              <w:t xml:space="preserve"> </w:t>
            </w:r>
          </w:p>
          <w:p w14:paraId="6FB98C37" w14:textId="43F4A517" w:rsidR="003A64D7" w:rsidRDefault="0093262C">
            <w:pPr>
              <w:pStyle w:val="ListBullet"/>
              <w:spacing w:before="120"/>
              <w:ind w:left="425" w:hanging="425"/>
            </w:pPr>
            <w:r>
              <w:t>p</w:t>
            </w:r>
            <w:r w:rsidR="003A64D7">
              <w:t>rovide clarity on legislative references</w:t>
            </w:r>
          </w:p>
          <w:p w14:paraId="0A934B93" w14:textId="5E0F4B07" w:rsidR="000A4F59" w:rsidRDefault="00664B53">
            <w:pPr>
              <w:pStyle w:val="ListBullet"/>
              <w:spacing w:before="120"/>
              <w:ind w:left="425" w:hanging="425"/>
            </w:pPr>
            <w:r>
              <w:t xml:space="preserve">include </w:t>
            </w:r>
            <w:r w:rsidR="000A4F59">
              <w:t>refer</w:t>
            </w:r>
            <w:r>
              <w:t>ence</w:t>
            </w:r>
            <w:r w:rsidR="000A4F59">
              <w:t xml:space="preserve"> to </w:t>
            </w:r>
            <w:r w:rsidR="006108AB">
              <w:t>r</w:t>
            </w:r>
            <w:r w:rsidR="003A64D7">
              <w:t>egulatory d</w:t>
            </w:r>
            <w:r w:rsidR="00FA12A7">
              <w:t>ecision</w:t>
            </w:r>
            <w:r w:rsidR="003A64D7">
              <w:t>s relating to individuals</w:t>
            </w:r>
          </w:p>
          <w:p w14:paraId="1B22DB38" w14:textId="4E0792A3" w:rsidR="000A4F59" w:rsidRDefault="00664B53" w:rsidP="000A4F59">
            <w:pPr>
              <w:pStyle w:val="ListBullet"/>
              <w:spacing w:before="120"/>
              <w:ind w:left="425" w:hanging="425"/>
            </w:pPr>
            <w:r>
              <w:t xml:space="preserve">include </w:t>
            </w:r>
            <w:r w:rsidR="000A4F59">
              <w:t>refer</w:t>
            </w:r>
            <w:r>
              <w:t>ence</w:t>
            </w:r>
            <w:r w:rsidR="000A4F59">
              <w:t xml:space="preserve"> to the impact of provider non-compliance on Star Ratings</w:t>
            </w:r>
          </w:p>
          <w:p w14:paraId="2C17A244" w14:textId="0F3B046A" w:rsidR="002F2C86" w:rsidRPr="00D15B6F" w:rsidRDefault="00F257EA" w:rsidP="00266E55">
            <w:pPr>
              <w:pStyle w:val="ListBullet"/>
              <w:spacing w:before="120"/>
              <w:ind w:left="425" w:hanging="425"/>
              <w:rPr>
                <w:rFonts w:eastAsia="Times New Roman"/>
                <w:bCs/>
                <w:szCs w:val="24"/>
                <w:lang w:eastAsia="en-AU"/>
              </w:rPr>
            </w:pPr>
            <w:r>
              <w:t>include additional frequently asked questions</w:t>
            </w:r>
            <w:r w:rsidR="00A87035">
              <w:t xml:space="preserve"> </w:t>
            </w:r>
            <w:r w:rsidR="00360193">
              <w:t>relating to submissions to the Commission</w:t>
            </w:r>
            <w:r w:rsidR="005E6233">
              <w:t xml:space="preserve">, </w:t>
            </w:r>
            <w:r w:rsidR="00360193">
              <w:t>the Commission’s obligation to provide reasons</w:t>
            </w:r>
            <w:r w:rsidR="005D4558">
              <w:t xml:space="preserve"> for decisions</w:t>
            </w:r>
            <w:r w:rsidR="00AC1EF4">
              <w:t>,</w:t>
            </w:r>
            <w:r w:rsidR="005E6233">
              <w:t xml:space="preserve"> and personal information considerations for published decisions</w:t>
            </w:r>
            <w:r w:rsidR="00A037E3">
              <w:t>.</w:t>
            </w:r>
          </w:p>
        </w:tc>
      </w:tr>
      <w:tr w:rsidR="00354816" w14:paraId="6A137D3E" w14:textId="77777777" w:rsidTr="00FC0D35">
        <w:tc>
          <w:tcPr>
            <w:tcW w:w="1330" w:type="pct"/>
            <w:tcBorders>
              <w:top w:val="single" w:sz="2" w:space="0" w:color="auto"/>
              <w:left w:val="nil"/>
              <w:bottom w:val="single" w:sz="2" w:space="0" w:color="auto"/>
              <w:right w:val="nil"/>
            </w:tcBorders>
            <w:hideMark/>
          </w:tcPr>
          <w:p w14:paraId="47FD1587" w14:textId="77777777" w:rsidR="00354816" w:rsidRDefault="00354816" w:rsidP="00354816">
            <w:pPr>
              <w:spacing w:before="120"/>
            </w:pPr>
            <w:r>
              <w:rPr>
                <w:color w:val="313131"/>
                <w:shd w:val="clear" w:color="auto" w:fill="FFFFFF"/>
              </w:rPr>
              <w:lastRenderedPageBreak/>
              <w:t>To be reviewed</w:t>
            </w:r>
          </w:p>
        </w:tc>
        <w:tc>
          <w:tcPr>
            <w:tcW w:w="3670" w:type="pct"/>
            <w:tcBorders>
              <w:top w:val="single" w:sz="2" w:space="0" w:color="auto"/>
              <w:left w:val="nil"/>
              <w:bottom w:val="single" w:sz="2" w:space="0" w:color="auto"/>
              <w:right w:val="nil"/>
            </w:tcBorders>
            <w:hideMark/>
          </w:tcPr>
          <w:p w14:paraId="532FC132" w14:textId="7E50E7E4" w:rsidR="00354816" w:rsidRDefault="0095627C" w:rsidP="00354816">
            <w:pPr>
              <w:spacing w:before="120"/>
            </w:pPr>
            <w:r>
              <w:t>19 June 2024</w:t>
            </w:r>
          </w:p>
        </w:tc>
      </w:tr>
    </w:tbl>
    <w:p w14:paraId="0294C2EE" w14:textId="245B8803" w:rsidR="00FC0D35" w:rsidRDefault="00FC0D35" w:rsidP="00FC0D35">
      <w:pPr>
        <w:pStyle w:val="Subtitle"/>
      </w:pPr>
      <w:r>
        <w:t>Regulatory Bulletin</w:t>
      </w:r>
    </w:p>
    <w:p w14:paraId="2006C61B" w14:textId="1FC1760D" w:rsidR="00FC0D35" w:rsidRDefault="00547FE9" w:rsidP="00FC0D35">
      <w:pPr>
        <w:pStyle w:val="Heading1"/>
      </w:pPr>
      <w:r w:rsidRPr="00547FE9">
        <w:t>RB 2019-06: Regulatory decision-making</w:t>
      </w:r>
    </w:p>
    <w:p w14:paraId="31C5902C" w14:textId="30AB284F" w:rsidR="005A6EAA" w:rsidRPr="003E2563" w:rsidRDefault="005A6EAA" w:rsidP="005A6EAA">
      <w:pPr>
        <w:spacing w:before="120"/>
        <w:rPr>
          <w:rFonts w:ascii="Helvetica" w:eastAsia="Calibri" w:hAnsi="Helvetica" w:cs="Helvetica"/>
          <w:color w:val="313131"/>
          <w:shd w:val="clear" w:color="auto" w:fill="FFFFFF"/>
          <w:lang w:val="en-US"/>
        </w:rPr>
      </w:pPr>
      <w:r w:rsidRPr="003E2563">
        <w:rPr>
          <w:rFonts w:eastAsia="Calibri" w:cs="Times New Roman"/>
        </w:rPr>
        <w:t xml:space="preserve">This Regulatory Bulletin outlines the principles and practices that form the </w:t>
      </w:r>
      <w:r w:rsidR="00790B8C">
        <w:rPr>
          <w:rFonts w:eastAsia="Calibri" w:cs="Times New Roman"/>
        </w:rPr>
        <w:t>Aged Care Quality and Safety Commission’s (</w:t>
      </w:r>
      <w:r w:rsidRPr="00C72460">
        <w:rPr>
          <w:rFonts w:eastAsia="Calibri" w:cs="Times New Roman"/>
          <w:b/>
        </w:rPr>
        <w:t>Commission’s</w:t>
      </w:r>
      <w:r w:rsidR="00790B8C">
        <w:rPr>
          <w:rFonts w:eastAsia="Calibri" w:cs="Times New Roman"/>
        </w:rPr>
        <w:t>)</w:t>
      </w:r>
      <w:r w:rsidRPr="003E2563">
        <w:rPr>
          <w:rFonts w:eastAsia="Calibri" w:cs="Times New Roman"/>
        </w:rPr>
        <w:t xml:space="preserve"> framework for making decisions relating to its regulatory functions. It outlines how the Commission will ensure high quality and consistent decision-making under the </w:t>
      </w:r>
      <w:hyperlink r:id="rId9" w:history="1">
        <w:r w:rsidR="003B41A8" w:rsidRPr="003B41A8">
          <w:rPr>
            <w:rStyle w:val="Hyperlink"/>
            <w:rFonts w:eastAsia="Calibri" w:cs="Times New Roman"/>
            <w:i/>
          </w:rPr>
          <w:t>Aged Care Act 1997</w:t>
        </w:r>
      </w:hyperlink>
      <w:r w:rsidR="003B41A8">
        <w:rPr>
          <w:rStyle w:val="FootnoteReference"/>
          <w:rFonts w:eastAsia="Calibri" w:cs="Times New Roman"/>
          <w:i/>
        </w:rPr>
        <w:footnoteReference w:id="2"/>
      </w:r>
      <w:r w:rsidR="003B41A8">
        <w:rPr>
          <w:rFonts w:eastAsia="Calibri" w:cs="Times New Roman"/>
          <w:i/>
        </w:rPr>
        <w:t xml:space="preserve"> </w:t>
      </w:r>
      <w:r w:rsidR="003B41A8">
        <w:rPr>
          <w:rFonts w:eastAsia="Calibri" w:cs="Times New Roman"/>
        </w:rPr>
        <w:t>(</w:t>
      </w:r>
      <w:r w:rsidR="003B41A8" w:rsidRPr="00C72460">
        <w:rPr>
          <w:rFonts w:eastAsia="Calibri" w:cs="Times New Roman"/>
          <w:b/>
          <w:bCs/>
        </w:rPr>
        <w:t>Aged Care Act</w:t>
      </w:r>
      <w:r w:rsidR="003B41A8">
        <w:rPr>
          <w:rFonts w:eastAsia="Calibri" w:cs="Times New Roman"/>
        </w:rPr>
        <w:t xml:space="preserve">), </w:t>
      </w:r>
      <w:hyperlink r:id="rId10" w:history="1">
        <w:r w:rsidRPr="00D17B01">
          <w:rPr>
            <w:rStyle w:val="Hyperlink"/>
            <w:i/>
          </w:rPr>
          <w:t>Aged Care Quality and Safety Commission Act 2018</w:t>
        </w:r>
      </w:hyperlink>
      <w:r w:rsidR="00EE1A26">
        <w:rPr>
          <w:rStyle w:val="FootnoteReference"/>
          <w:rFonts w:ascii="Helvetica" w:eastAsia="Calibri" w:hAnsi="Helvetica" w:cs="Helvetica"/>
          <w:i/>
          <w:iCs/>
          <w:color w:val="0000FF"/>
          <w:u w:val="single"/>
          <w:shd w:val="clear" w:color="auto" w:fill="FFFFFF"/>
          <w:lang w:val="en-US"/>
        </w:rPr>
        <w:footnoteReference w:id="3"/>
      </w:r>
      <w:r w:rsidRPr="003E2563">
        <w:rPr>
          <w:rFonts w:ascii="Helvetica" w:eastAsia="Calibri" w:hAnsi="Helvetica" w:cs="Helvetica"/>
          <w:color w:val="313131"/>
          <w:shd w:val="clear" w:color="auto" w:fill="FFFFFF"/>
          <w:lang w:val="en-US"/>
        </w:rPr>
        <w:t xml:space="preserve"> (</w:t>
      </w:r>
      <w:r w:rsidRPr="00C72460">
        <w:rPr>
          <w:rFonts w:ascii="Helvetica" w:eastAsia="Calibri" w:hAnsi="Helvetica" w:cs="Helvetica"/>
          <w:b/>
          <w:bCs/>
          <w:color w:val="313131"/>
          <w:shd w:val="clear" w:color="auto" w:fill="FFFFFF"/>
          <w:lang w:val="en-US"/>
        </w:rPr>
        <w:t>Commission Act</w:t>
      </w:r>
      <w:r w:rsidRPr="003E2563">
        <w:rPr>
          <w:rFonts w:ascii="Helvetica" w:eastAsia="Calibri" w:hAnsi="Helvetica" w:cs="Helvetica"/>
          <w:color w:val="313131"/>
          <w:shd w:val="clear" w:color="auto" w:fill="FFFFFF"/>
          <w:lang w:val="en-US"/>
        </w:rPr>
        <w:t>)</w:t>
      </w:r>
      <w:r w:rsidRPr="003E2563">
        <w:rPr>
          <w:rFonts w:ascii="Helvetica" w:eastAsia="Calibri" w:hAnsi="Helvetica" w:cs="Helvetica"/>
          <w:color w:val="313131"/>
          <w:shd w:val="clear" w:color="auto" w:fill="FFFFFF"/>
        </w:rPr>
        <w:t xml:space="preserve"> and </w:t>
      </w:r>
      <w:hyperlink r:id="rId11" w:history="1">
        <w:r w:rsidRPr="00D17B01">
          <w:rPr>
            <w:rStyle w:val="Hyperlink"/>
          </w:rPr>
          <w:t>Aged Care Quality and Safety Commission Rules 2018</w:t>
        </w:r>
      </w:hyperlink>
      <w:r w:rsidR="00EE1A26">
        <w:rPr>
          <w:rStyle w:val="FootnoteReference"/>
          <w:rFonts w:ascii="Helvetica" w:eastAsia="Calibri" w:hAnsi="Helvetica" w:cs="Helvetica"/>
          <w:color w:val="0000FF"/>
          <w:u w:val="single"/>
          <w:shd w:val="clear" w:color="auto" w:fill="FFFFFF"/>
          <w:lang w:val="en-US"/>
        </w:rPr>
        <w:footnoteReference w:id="4"/>
      </w:r>
      <w:r w:rsidRPr="003E2563">
        <w:rPr>
          <w:rFonts w:ascii="Helvetica" w:eastAsia="Calibri" w:hAnsi="Helvetica" w:cs="Helvetica"/>
          <w:color w:val="313131"/>
          <w:shd w:val="clear" w:color="auto" w:fill="FFFFFF"/>
          <w:lang w:val="en-US"/>
        </w:rPr>
        <w:t xml:space="preserve"> (</w:t>
      </w:r>
      <w:r w:rsidRPr="00C72460">
        <w:rPr>
          <w:rFonts w:ascii="Helvetica" w:eastAsia="Calibri" w:hAnsi="Helvetica" w:cs="Helvetica"/>
          <w:b/>
          <w:shd w:val="clear" w:color="auto" w:fill="FFFFFF"/>
          <w:lang w:val="en-US"/>
        </w:rPr>
        <w:t>Commission Rules</w:t>
      </w:r>
      <w:r w:rsidRPr="00C72460">
        <w:rPr>
          <w:rFonts w:ascii="Helvetica" w:eastAsia="Calibri" w:hAnsi="Helvetica" w:cs="Helvetica"/>
          <w:shd w:val="clear" w:color="auto" w:fill="FFFFFF"/>
          <w:lang w:val="en-US"/>
        </w:rPr>
        <w:t>).</w:t>
      </w:r>
    </w:p>
    <w:p w14:paraId="4F39ED56" w14:textId="157A7135" w:rsidR="00FC0D35" w:rsidRPr="001D0B01" w:rsidRDefault="007F6653" w:rsidP="007F6653">
      <w:r w:rsidRPr="009116BE">
        <w:t xml:space="preserve">Refer to the </w:t>
      </w:r>
      <w:hyperlink r:id="rId12" w:history="1">
        <w:r w:rsidRPr="007F6653">
          <w:rPr>
            <w:rStyle w:val="Hyperlink"/>
            <w:i/>
          </w:rPr>
          <w:t>Commission’s glossary</w:t>
        </w:r>
      </w:hyperlink>
      <w:r>
        <w:rPr>
          <w:rStyle w:val="FootnoteReference"/>
          <w:i/>
          <w:color w:val="0563C1" w:themeColor="hyperlink"/>
          <w:u w:val="single"/>
        </w:rPr>
        <w:footnoteReference w:id="5"/>
      </w:r>
      <w:r w:rsidRPr="009116BE">
        <w:t xml:space="preserve"> for definitions of key terms.</w:t>
      </w:r>
    </w:p>
    <w:p w14:paraId="11B4EC40" w14:textId="77777777" w:rsidR="00FC0D35" w:rsidRDefault="00FC0D35" w:rsidP="00FC0D35">
      <w:pPr>
        <w:pStyle w:val="Heading1"/>
      </w:pPr>
      <w:r>
        <w:t>Key Points</w:t>
      </w:r>
    </w:p>
    <w:p w14:paraId="7E3F136F" w14:textId="0F4EADFB" w:rsidR="00E91ABB" w:rsidRPr="003E2563" w:rsidRDefault="00E91ABB" w:rsidP="009D529F">
      <w:pPr>
        <w:pStyle w:val="ListBullet"/>
      </w:pPr>
      <w:r w:rsidRPr="003E2563">
        <w:t xml:space="preserve">The Commission’s framework for decision-making is underpinned by the legislative purpose and objectives of the </w:t>
      </w:r>
      <w:r w:rsidR="00356186">
        <w:t xml:space="preserve">Aged Care Act and </w:t>
      </w:r>
      <w:r w:rsidRPr="003E2563">
        <w:t xml:space="preserve">Commission Act. In making decisions, decision makers will interpret the Commission Rules consistently with the </w:t>
      </w:r>
      <w:r w:rsidR="00EE6483">
        <w:t xml:space="preserve">Aged Care Act and </w:t>
      </w:r>
      <w:r w:rsidRPr="003E2563">
        <w:t xml:space="preserve">Commission Act.  </w:t>
      </w:r>
    </w:p>
    <w:p w14:paraId="54D97CA3" w14:textId="22C05F13" w:rsidR="00E91ABB" w:rsidRPr="003E2563" w:rsidRDefault="00E91ABB" w:rsidP="00E91ABB">
      <w:pPr>
        <w:pStyle w:val="ListBullet"/>
      </w:pPr>
      <w:r w:rsidRPr="003E2563">
        <w:t xml:space="preserve">Commission decision-makers are subject to requirements and limitations established by </w:t>
      </w:r>
      <w:r w:rsidR="004A0891">
        <w:t>legislation</w:t>
      </w:r>
      <w:r w:rsidRPr="003E2563">
        <w:t xml:space="preserve"> and general administrative law when making regulatory decisions.</w:t>
      </w:r>
    </w:p>
    <w:p w14:paraId="368F6809" w14:textId="10C5D30A" w:rsidR="00E91ABB" w:rsidRPr="003E2563" w:rsidRDefault="00E91ABB" w:rsidP="00E91ABB">
      <w:pPr>
        <w:pStyle w:val="ListBullet"/>
      </w:pPr>
      <w:r w:rsidRPr="003E2563">
        <w:t xml:space="preserve">The </w:t>
      </w:r>
      <w:r w:rsidR="00470B8D">
        <w:t>legislation</w:t>
      </w:r>
      <w:r w:rsidRPr="003E2563">
        <w:t xml:space="preserve"> </w:t>
      </w:r>
      <w:proofErr w:type="gramStart"/>
      <w:r w:rsidRPr="003E2563">
        <w:t>impose</w:t>
      </w:r>
      <w:proofErr w:type="gramEnd"/>
      <w:r w:rsidRPr="003E2563">
        <w:t xml:space="preserve"> specific time limits within which </w:t>
      </w:r>
      <w:r w:rsidR="008D6686">
        <w:t xml:space="preserve">the Commission must make </w:t>
      </w:r>
      <w:r w:rsidR="00F50C04">
        <w:t xml:space="preserve">certain </w:t>
      </w:r>
      <w:r w:rsidRPr="003E2563">
        <w:t>regulatory decisions. Commission decision-makers may also be subject to an obligation to provide notification of a decision within a specified timeframe.</w:t>
      </w:r>
    </w:p>
    <w:p w14:paraId="3696ED8C" w14:textId="77777777" w:rsidR="00E91ABB" w:rsidRPr="003E2563" w:rsidRDefault="00E91ABB" w:rsidP="00E91ABB">
      <w:pPr>
        <w:pStyle w:val="ListBullet"/>
      </w:pPr>
      <w:r w:rsidRPr="003E2563">
        <w:t>The types of evidence that Commission decision-makers are required to consider when making decisions varies, depending on the decision being made. The starting point will always be what the legislation requires the Commission to consider.</w:t>
      </w:r>
    </w:p>
    <w:p w14:paraId="5723EA40" w14:textId="77777777" w:rsidR="00E91ABB" w:rsidRPr="003E2563" w:rsidRDefault="00E91ABB" w:rsidP="00E91ABB">
      <w:pPr>
        <w:pStyle w:val="ListBullet"/>
      </w:pPr>
      <w:r w:rsidRPr="003E2563">
        <w:t xml:space="preserve">Commission decision-makers consider relevant information and evidence in </w:t>
      </w:r>
      <w:proofErr w:type="gramStart"/>
      <w:r w:rsidRPr="003E2563">
        <w:t>making a decision</w:t>
      </w:r>
      <w:proofErr w:type="gramEnd"/>
      <w:r w:rsidRPr="003E2563">
        <w:t>, in good faith. They provide written reasons for their decision.</w:t>
      </w:r>
    </w:p>
    <w:p w14:paraId="17DE83A7" w14:textId="651ACF36" w:rsidR="00E91ABB" w:rsidRPr="003E2563" w:rsidRDefault="00E91ABB" w:rsidP="00E91ABB">
      <w:pPr>
        <w:pStyle w:val="ListBullet"/>
      </w:pPr>
      <w:r w:rsidRPr="003E2563">
        <w:t xml:space="preserve">Commission decision-makers provide procedural fairness to </w:t>
      </w:r>
      <w:r w:rsidR="00405C3D">
        <w:t xml:space="preserve">parties (including </w:t>
      </w:r>
      <w:r w:rsidRPr="003E2563">
        <w:t>provider</w:t>
      </w:r>
      <w:r w:rsidR="00405C3D">
        <w:t>s or</w:t>
      </w:r>
      <w:r w:rsidR="00AB4E88">
        <w:t xml:space="preserve"> individual</w:t>
      </w:r>
      <w:r w:rsidR="00405C3D">
        <w:t>s</w:t>
      </w:r>
      <w:r w:rsidR="00AB4E88">
        <w:t xml:space="preserve">) </w:t>
      </w:r>
      <w:r w:rsidR="00405C3D">
        <w:t>who</w:t>
      </w:r>
      <w:r w:rsidR="001A0DD3">
        <w:t xml:space="preserve">se rights or interests (e.g. status, reputation, liberty, confidentiality, livelihood and financial interests) </w:t>
      </w:r>
      <w:r w:rsidRPr="003E2563">
        <w:t>may be</w:t>
      </w:r>
      <w:r w:rsidR="001A0DD3">
        <w:t xml:space="preserve"> negatively </w:t>
      </w:r>
      <w:r w:rsidRPr="003E2563">
        <w:t xml:space="preserve">affected by the decision. </w:t>
      </w:r>
      <w:r w:rsidR="007D25FD">
        <w:t xml:space="preserve">However, </w:t>
      </w:r>
      <w:r w:rsidR="006941BF">
        <w:t xml:space="preserve">if there is an immediate and severe risk to consumers, then </w:t>
      </w:r>
      <w:r w:rsidR="007D25FD">
        <w:t xml:space="preserve">parties may not be given an opportunity to respond </w:t>
      </w:r>
      <w:r w:rsidR="00EB038F">
        <w:t xml:space="preserve">to a </w:t>
      </w:r>
      <w:r w:rsidR="00B16373">
        <w:t xml:space="preserve">Commission </w:t>
      </w:r>
      <w:r w:rsidR="00EB038F">
        <w:t>decision that will adversely affect them.</w:t>
      </w:r>
    </w:p>
    <w:p w14:paraId="09326CAD" w14:textId="1AA677FC" w:rsidR="00FC0D35" w:rsidRPr="00366753" w:rsidRDefault="00E91ABB" w:rsidP="00E91ABB">
      <w:pPr>
        <w:pStyle w:val="ListBullet"/>
      </w:pPr>
      <w:r w:rsidRPr="003E2563">
        <w:lastRenderedPageBreak/>
        <w:t xml:space="preserve">Providers </w:t>
      </w:r>
      <w:r w:rsidR="000E68B9">
        <w:t xml:space="preserve">and individuals </w:t>
      </w:r>
      <w:r w:rsidRPr="003E2563">
        <w:t>may request reconsideration of certain regulatory decisions or seek review when a decision is made that has adversely affected them.</w:t>
      </w:r>
    </w:p>
    <w:p w14:paraId="6E7FDDE5" w14:textId="508C2A26" w:rsidR="00FC0D35" w:rsidRDefault="00A877DC" w:rsidP="00FC0D35">
      <w:pPr>
        <w:pStyle w:val="Heading1"/>
        <w:pBdr>
          <w:top w:val="single" w:sz="4" w:space="8" w:color="auto"/>
        </w:pBdr>
        <w:spacing w:before="360"/>
      </w:pPr>
      <w:r>
        <w:t>Legislative authority</w:t>
      </w:r>
    </w:p>
    <w:p w14:paraId="2D3C28F7" w14:textId="687C294B" w:rsidR="00ED7618" w:rsidRPr="003E2563" w:rsidRDefault="00ED7618" w:rsidP="00ED7618">
      <w:pPr>
        <w:rPr>
          <w:shd w:val="clear" w:color="auto" w:fill="FFFFFF"/>
        </w:rPr>
      </w:pPr>
      <w:r w:rsidRPr="003E2563">
        <w:rPr>
          <w:shd w:val="clear" w:color="auto" w:fill="FFFFFF"/>
        </w:rPr>
        <w:t xml:space="preserve">The Aged Care Quality and Safety Commissioner </w:t>
      </w:r>
      <w:r w:rsidR="007A05BD">
        <w:rPr>
          <w:shd w:val="clear" w:color="auto" w:fill="FFFFFF"/>
        </w:rPr>
        <w:t>(</w:t>
      </w:r>
      <w:r w:rsidR="007A05BD" w:rsidRPr="00C72460">
        <w:rPr>
          <w:b/>
          <w:bCs/>
          <w:shd w:val="clear" w:color="auto" w:fill="FFFFFF"/>
        </w:rPr>
        <w:t>Commissioner</w:t>
      </w:r>
      <w:r w:rsidR="007A05BD">
        <w:rPr>
          <w:shd w:val="clear" w:color="auto" w:fill="FFFFFF"/>
        </w:rPr>
        <w:t xml:space="preserve">) </w:t>
      </w:r>
      <w:r w:rsidRPr="003E2563">
        <w:rPr>
          <w:shd w:val="clear" w:color="auto" w:fill="FFFFFF"/>
        </w:rPr>
        <w:t xml:space="preserve">may delegate </w:t>
      </w:r>
      <w:r w:rsidR="00F43922">
        <w:rPr>
          <w:shd w:val="clear" w:color="auto" w:fill="FFFFFF"/>
        </w:rPr>
        <w:t>their</w:t>
      </w:r>
      <w:r w:rsidR="000A7C25" w:rsidRPr="003E2563">
        <w:rPr>
          <w:shd w:val="clear" w:color="auto" w:fill="FFFFFF"/>
        </w:rPr>
        <w:t xml:space="preserve"> </w:t>
      </w:r>
      <w:r w:rsidR="0061407F">
        <w:rPr>
          <w:shd w:val="clear" w:color="auto" w:fill="FFFFFF"/>
        </w:rPr>
        <w:t xml:space="preserve">regulatory </w:t>
      </w:r>
      <w:r w:rsidRPr="003E2563">
        <w:rPr>
          <w:shd w:val="clear" w:color="auto" w:fill="FFFFFF"/>
        </w:rPr>
        <w:t>functions or powers under the</w:t>
      </w:r>
      <w:r w:rsidR="00E55892">
        <w:rPr>
          <w:shd w:val="clear" w:color="auto" w:fill="FFFFFF"/>
        </w:rPr>
        <w:t xml:space="preserve"> Aged Care Act,</w:t>
      </w:r>
      <w:r w:rsidRPr="003E2563">
        <w:rPr>
          <w:shd w:val="clear" w:color="auto" w:fill="FFFFFF"/>
        </w:rPr>
        <w:t xml:space="preserve"> </w:t>
      </w:r>
      <w:r w:rsidRPr="003E2563">
        <w:rPr>
          <w:shd w:val="clear" w:color="auto" w:fill="FFFFFF"/>
          <w:lang w:val="en-US"/>
        </w:rPr>
        <w:t>Commission Act</w:t>
      </w:r>
      <w:r w:rsidRPr="003E2563">
        <w:rPr>
          <w:shd w:val="clear" w:color="auto" w:fill="FFFFFF"/>
        </w:rPr>
        <w:t xml:space="preserve"> and </w:t>
      </w:r>
      <w:r w:rsidRPr="003E2563">
        <w:rPr>
          <w:shd w:val="clear" w:color="auto" w:fill="FFFFFF"/>
          <w:lang w:val="en-US"/>
        </w:rPr>
        <w:t>Commission Rules</w:t>
      </w:r>
      <w:r w:rsidR="00CD6309">
        <w:rPr>
          <w:shd w:val="clear" w:color="auto" w:fill="FFFFFF"/>
          <w:lang w:val="en-US"/>
        </w:rPr>
        <w:t xml:space="preserve">, </w:t>
      </w:r>
      <w:r w:rsidR="00CD6309" w:rsidRPr="003E2563">
        <w:rPr>
          <w:shd w:val="clear" w:color="auto" w:fill="FFFFFF"/>
        </w:rPr>
        <w:t xml:space="preserve">to </w:t>
      </w:r>
      <w:r w:rsidR="00BC02D4">
        <w:rPr>
          <w:shd w:val="clear" w:color="auto" w:fill="FFFFFF"/>
        </w:rPr>
        <w:t xml:space="preserve">a member of the </w:t>
      </w:r>
      <w:r w:rsidR="00CD6309" w:rsidRPr="003E2563">
        <w:rPr>
          <w:shd w:val="clear" w:color="auto" w:fill="FFFFFF"/>
        </w:rPr>
        <w:t>staff of the Commission</w:t>
      </w:r>
      <w:r w:rsidRPr="003E2563">
        <w:rPr>
          <w:shd w:val="clear" w:color="auto" w:fill="FFFFFF"/>
        </w:rPr>
        <w:t>.</w:t>
      </w:r>
    </w:p>
    <w:p w14:paraId="77FC5827" w14:textId="54C17E36" w:rsidR="00ED7618" w:rsidRPr="003E2563" w:rsidRDefault="00A9670E" w:rsidP="00ED7618">
      <w:pPr>
        <w:rPr>
          <w:rFonts w:cs="Times New Roman"/>
          <w:lang w:val="en-US"/>
        </w:rPr>
      </w:pPr>
      <w:r>
        <w:rPr>
          <w:rFonts w:cs="Times New Roman"/>
          <w:lang w:val="en-US"/>
        </w:rPr>
        <w:t>Commission</w:t>
      </w:r>
      <w:r w:rsidR="00ED7618" w:rsidRPr="003E2563">
        <w:rPr>
          <w:rFonts w:cs="Times New Roman"/>
          <w:lang w:val="en-US"/>
        </w:rPr>
        <w:t xml:space="preserve"> decision-makers make a range of statutory decisions under the </w:t>
      </w:r>
      <w:r w:rsidR="00A17EF9">
        <w:rPr>
          <w:rFonts w:cs="Times New Roman"/>
          <w:lang w:val="en-US"/>
        </w:rPr>
        <w:t xml:space="preserve">Aged Care Act, </w:t>
      </w:r>
      <w:r w:rsidR="004D3089">
        <w:rPr>
          <w:rFonts w:cs="Times New Roman"/>
          <w:lang w:val="en-US"/>
        </w:rPr>
        <w:t xml:space="preserve">Commission Act, </w:t>
      </w:r>
      <w:r w:rsidR="00ED7618" w:rsidRPr="003E2563">
        <w:rPr>
          <w:rFonts w:cs="Times New Roman"/>
          <w:lang w:val="en-US"/>
        </w:rPr>
        <w:t xml:space="preserve">Commission Rules </w:t>
      </w:r>
      <w:r w:rsidR="00ED7618" w:rsidRPr="003E2563">
        <w:rPr>
          <w:shd w:val="clear" w:color="auto" w:fill="FFFFFF"/>
        </w:rPr>
        <w:t>and general administrative law requirements</w:t>
      </w:r>
      <w:r w:rsidR="00ED7618" w:rsidRPr="003E2563">
        <w:rPr>
          <w:rFonts w:cs="Times New Roman"/>
          <w:lang w:val="en-US"/>
        </w:rPr>
        <w:t>.</w:t>
      </w:r>
    </w:p>
    <w:p w14:paraId="56A1AF15" w14:textId="5C04B78B" w:rsidR="00FC0D35" w:rsidRDefault="00534AF1" w:rsidP="00110DFD">
      <w:pPr>
        <w:rPr>
          <w:rFonts w:cs="Times New Roman"/>
          <w:lang w:val="en-US"/>
        </w:rPr>
      </w:pPr>
      <w:bookmarkStart w:id="0" w:name="_Hlk11308698"/>
      <w:r>
        <w:rPr>
          <w:rFonts w:cs="Times New Roman"/>
          <w:lang w:val="en-US"/>
        </w:rPr>
        <w:t xml:space="preserve">The legislation </w:t>
      </w:r>
      <w:r w:rsidR="00ED7618" w:rsidRPr="003E2563">
        <w:rPr>
          <w:rFonts w:cs="Times New Roman"/>
          <w:lang w:val="en-US"/>
        </w:rPr>
        <w:t xml:space="preserve">generally sets out requirements and </w:t>
      </w:r>
      <w:r w:rsidR="00806E0B">
        <w:rPr>
          <w:rFonts w:cs="Times New Roman"/>
          <w:lang w:val="en-US"/>
        </w:rPr>
        <w:t xml:space="preserve">matters </w:t>
      </w:r>
      <w:r w:rsidR="00E77B09">
        <w:rPr>
          <w:rFonts w:cs="Times New Roman"/>
          <w:lang w:val="en-US"/>
        </w:rPr>
        <w:t xml:space="preserve">that Commission decision-makers must </w:t>
      </w:r>
      <w:proofErr w:type="gramStart"/>
      <w:r w:rsidR="00806E0B">
        <w:rPr>
          <w:rFonts w:cs="Times New Roman"/>
          <w:lang w:val="en-US"/>
        </w:rPr>
        <w:t>take into account</w:t>
      </w:r>
      <w:proofErr w:type="gramEnd"/>
      <w:r w:rsidR="00806E0B">
        <w:rPr>
          <w:rFonts w:cs="Times New Roman"/>
          <w:lang w:val="en-US"/>
        </w:rPr>
        <w:t xml:space="preserve"> </w:t>
      </w:r>
      <w:r w:rsidR="00E77B09">
        <w:rPr>
          <w:rFonts w:cs="Times New Roman"/>
          <w:lang w:val="en-US"/>
        </w:rPr>
        <w:t>when</w:t>
      </w:r>
      <w:r w:rsidR="00806E0B">
        <w:rPr>
          <w:rFonts w:cs="Times New Roman"/>
          <w:lang w:val="en-US"/>
        </w:rPr>
        <w:t xml:space="preserve"> </w:t>
      </w:r>
      <w:proofErr w:type="gramStart"/>
      <w:r w:rsidR="00806E0B">
        <w:rPr>
          <w:rFonts w:cs="Times New Roman"/>
          <w:lang w:val="en-US"/>
        </w:rPr>
        <w:t>making a decision</w:t>
      </w:r>
      <w:proofErr w:type="gramEnd"/>
      <w:r w:rsidR="00ED7618" w:rsidRPr="003E2563">
        <w:rPr>
          <w:rFonts w:cs="Times New Roman"/>
          <w:lang w:val="en-US"/>
        </w:rPr>
        <w:t>.</w:t>
      </w:r>
      <w:bookmarkEnd w:id="0"/>
    </w:p>
    <w:p w14:paraId="0B344997" w14:textId="77777777" w:rsidR="004F094F" w:rsidRDefault="004F094F" w:rsidP="004F094F">
      <w:pPr>
        <w:pBdr>
          <w:bottom w:val="single" w:sz="4" w:space="1" w:color="auto"/>
        </w:pBdr>
      </w:pPr>
    </w:p>
    <w:p w14:paraId="55955B85" w14:textId="72A36EC5" w:rsidR="00701F89" w:rsidRDefault="00191A7B" w:rsidP="00C72460">
      <w:pPr>
        <w:pStyle w:val="Heading1"/>
      </w:pPr>
      <w:r>
        <w:t>A</w:t>
      </w:r>
      <w:r w:rsidR="00017E86" w:rsidRPr="00545AD9">
        <w:t>uthority to make Commission decisions</w:t>
      </w:r>
    </w:p>
    <w:p w14:paraId="0215BC7B" w14:textId="140844E8" w:rsidR="00B12D12" w:rsidRPr="00B12D12" w:rsidRDefault="00B12D12" w:rsidP="00B12D12">
      <w:r w:rsidRPr="00B12D12">
        <w:t xml:space="preserve">The Commissioner is expressly authorised by the </w:t>
      </w:r>
      <w:r w:rsidR="001907E9">
        <w:t>legislation</w:t>
      </w:r>
      <w:r w:rsidRPr="00B12D12">
        <w:t xml:space="preserve"> to exercise certain </w:t>
      </w:r>
      <w:r w:rsidR="00A067B1">
        <w:t xml:space="preserve">functions and </w:t>
      </w:r>
      <w:r w:rsidRPr="00B12D12">
        <w:t>powers.</w:t>
      </w:r>
    </w:p>
    <w:p w14:paraId="508A00B5" w14:textId="65C59697" w:rsidR="000856D7" w:rsidRDefault="00B12D12" w:rsidP="00B12D12">
      <w:r w:rsidRPr="00B12D12">
        <w:t xml:space="preserve">To assist the Commissioner to fulfil </w:t>
      </w:r>
      <w:r w:rsidR="00D1080E">
        <w:t>their</w:t>
      </w:r>
      <w:r w:rsidRPr="00B12D12">
        <w:t xml:space="preserve"> functions, the Commission Act provides that the Commissioner may delegate, in writing, all or any of </w:t>
      </w:r>
      <w:r w:rsidR="00982E26">
        <w:t>their</w:t>
      </w:r>
      <w:r w:rsidRPr="00B12D12">
        <w:t xml:space="preserve"> regulatory functions and powers to </w:t>
      </w:r>
      <w:r w:rsidR="0037080A">
        <w:t xml:space="preserve">a member of the </w:t>
      </w:r>
      <w:r w:rsidRPr="00B12D12">
        <w:t xml:space="preserve">staff of the Commission. </w:t>
      </w:r>
    </w:p>
    <w:p w14:paraId="16EC5955" w14:textId="2CE7B7FC" w:rsidR="00B12D12" w:rsidRPr="00B12D12" w:rsidRDefault="00B12D12" w:rsidP="00B12D12">
      <w:r w:rsidRPr="00B12D12">
        <w:t xml:space="preserve">A written instrument of delegation is maintained by the Commission that authorises officers or positions to make decisions and the related category of decisions. </w:t>
      </w:r>
    </w:p>
    <w:p w14:paraId="7CA30EC3" w14:textId="2908F9B1" w:rsidR="00701F89" w:rsidRDefault="00B12D12" w:rsidP="00B12D12">
      <w:r w:rsidRPr="00B12D12">
        <w:t>The document that records a decision will identify who made that decision and their authority to make the decision.</w:t>
      </w:r>
    </w:p>
    <w:p w14:paraId="32A9D30F" w14:textId="16E01537" w:rsidR="008F2DA5" w:rsidRPr="00C72460" w:rsidRDefault="00191A7B" w:rsidP="00C72460">
      <w:pPr>
        <w:pStyle w:val="Heading1"/>
      </w:pPr>
      <w:r>
        <w:t>T</w:t>
      </w:r>
      <w:r w:rsidR="008F2DA5" w:rsidRPr="00C72460">
        <w:t>ypes of decisions made by the Commission</w:t>
      </w:r>
    </w:p>
    <w:p w14:paraId="5FC23BA3" w14:textId="61D05F7C" w:rsidR="006F4880" w:rsidRDefault="004601B1" w:rsidP="008F2DA5">
      <w:r>
        <w:t xml:space="preserve">The Commission makes </w:t>
      </w:r>
      <w:r w:rsidR="008F2DA5" w:rsidRPr="003E2563">
        <w:t>different types of decisions</w:t>
      </w:r>
      <w:r w:rsidR="00B50928">
        <w:t xml:space="preserve"> in relation </w:t>
      </w:r>
      <w:r w:rsidR="00702B41">
        <w:t>to its role as the national regulator</w:t>
      </w:r>
      <w:r w:rsidR="001E75AC">
        <w:t xml:space="preserve"> </w:t>
      </w:r>
      <w:r w:rsidR="00702B41">
        <w:t>of aged care and the primary point of contact for consumers and providers in relation to quality and safety.</w:t>
      </w:r>
      <w:r w:rsidR="001E75AC">
        <w:t xml:space="preserve"> This includes </w:t>
      </w:r>
      <w:r w:rsidR="00A765AE">
        <w:t xml:space="preserve">regulatory </w:t>
      </w:r>
      <w:r w:rsidR="009C36F1">
        <w:t xml:space="preserve">decisions </w:t>
      </w:r>
      <w:r w:rsidR="001F36D3">
        <w:t>relating to</w:t>
      </w:r>
      <w:r w:rsidR="006F4880">
        <w:t>:</w:t>
      </w:r>
    </w:p>
    <w:p w14:paraId="22B8C968" w14:textId="35F3942D" w:rsidR="00BA7953" w:rsidRDefault="00BA7953" w:rsidP="00C72460">
      <w:pPr>
        <w:pStyle w:val="ListBullet"/>
        <w:ind w:left="426" w:hanging="426"/>
      </w:pPr>
      <w:r>
        <w:t>a</w:t>
      </w:r>
      <w:r w:rsidR="006E3FCE">
        <w:t xml:space="preserve">pproving </w:t>
      </w:r>
      <w:r w:rsidR="0097393C">
        <w:t>persons as a provider of aged care</w:t>
      </w:r>
    </w:p>
    <w:p w14:paraId="16A43FA9" w14:textId="0DDB0AFB" w:rsidR="00B02BF5" w:rsidRDefault="00B02BF5" w:rsidP="00C72460">
      <w:pPr>
        <w:pStyle w:val="ListBullet"/>
        <w:ind w:left="426" w:hanging="426"/>
      </w:pPr>
      <w:r>
        <w:t xml:space="preserve">accrediting </w:t>
      </w:r>
      <w:r w:rsidR="00AB24A3">
        <w:t xml:space="preserve">residential </w:t>
      </w:r>
      <w:r w:rsidR="00CB7A67">
        <w:t>aged care services</w:t>
      </w:r>
    </w:p>
    <w:p w14:paraId="6ECC018E" w14:textId="11EC0A9E" w:rsidR="006F4880" w:rsidRDefault="00AB24A3" w:rsidP="00C72460">
      <w:pPr>
        <w:pStyle w:val="ListBullet"/>
        <w:ind w:left="426" w:hanging="426"/>
      </w:pPr>
      <w:r>
        <w:t>handling</w:t>
      </w:r>
      <w:r w:rsidR="001F36D3">
        <w:t xml:space="preserve"> complaints and information about provider responsibilities</w:t>
      </w:r>
    </w:p>
    <w:p w14:paraId="453DCEAE" w14:textId="77777777" w:rsidR="001D53D2" w:rsidRDefault="006F4880" w:rsidP="00C72460">
      <w:pPr>
        <w:pStyle w:val="ListBullet"/>
        <w:ind w:left="426" w:hanging="426"/>
      </w:pPr>
      <w:r>
        <w:t xml:space="preserve">assessing the performance of providers, in relation to </w:t>
      </w:r>
      <w:r w:rsidR="001D53D2">
        <w:t>a service, against the Aged Care Quality Standards (</w:t>
      </w:r>
      <w:r w:rsidR="001D53D2" w:rsidRPr="00C72460">
        <w:rPr>
          <w:b/>
          <w:bCs/>
        </w:rPr>
        <w:t>Quality Standards</w:t>
      </w:r>
      <w:r w:rsidR="001D53D2">
        <w:t>)</w:t>
      </w:r>
    </w:p>
    <w:p w14:paraId="3812B533" w14:textId="317CBDCB" w:rsidR="008F2DA5" w:rsidRDefault="00734794" w:rsidP="00C72460">
      <w:pPr>
        <w:pStyle w:val="ListBullet"/>
        <w:ind w:left="426" w:hanging="426"/>
      </w:pPr>
      <w:r>
        <w:lastRenderedPageBreak/>
        <w:t xml:space="preserve">taking compliance and enforcement action </w:t>
      </w:r>
      <w:r w:rsidR="00CA40D0">
        <w:t>to address</w:t>
      </w:r>
      <w:r w:rsidR="000A4F59">
        <w:t xml:space="preserve"> </w:t>
      </w:r>
      <w:r w:rsidR="00CA40D0">
        <w:t xml:space="preserve">non-compliance </w:t>
      </w:r>
      <w:r w:rsidR="000A4F59">
        <w:t xml:space="preserve">of providers, aged care workers or governing persons </w:t>
      </w:r>
      <w:r w:rsidR="00CA40D0">
        <w:t>with legislative responsibilities</w:t>
      </w:r>
    </w:p>
    <w:p w14:paraId="02AD8089" w14:textId="2FD03F65" w:rsidR="00A54971" w:rsidRDefault="00A54971" w:rsidP="00C72460">
      <w:pPr>
        <w:pStyle w:val="ListBullet"/>
        <w:ind w:left="426" w:hanging="426"/>
      </w:pPr>
      <w:proofErr w:type="gramStart"/>
      <w:r>
        <w:t>making a determination</w:t>
      </w:r>
      <w:proofErr w:type="gramEnd"/>
      <w:r>
        <w:t xml:space="preserve"> </w:t>
      </w:r>
      <w:r w:rsidR="00765C99">
        <w:t xml:space="preserve">in relation to </w:t>
      </w:r>
      <w:proofErr w:type="gramStart"/>
      <w:r w:rsidR="00765C99">
        <w:t>a key personnel</w:t>
      </w:r>
      <w:proofErr w:type="gramEnd"/>
      <w:r w:rsidR="00765C99">
        <w:t xml:space="preserve"> of an approved provider</w:t>
      </w:r>
      <w:r w:rsidR="008A76D9">
        <w:t>.</w:t>
      </w:r>
    </w:p>
    <w:p w14:paraId="155625B4" w14:textId="2AEDE1BF" w:rsidR="0041725C" w:rsidRDefault="0041725C" w:rsidP="008F2DA5">
      <w:r>
        <w:t xml:space="preserve">See </w:t>
      </w:r>
      <w:r w:rsidRPr="00CB0E7F">
        <w:rPr>
          <w:b/>
          <w:bCs/>
        </w:rPr>
        <w:t>Attachment A</w:t>
      </w:r>
      <w:r>
        <w:t xml:space="preserve"> for a list of Commission regulatory decisions under the Aged Care Act, Commission Act and Commission Rules.</w:t>
      </w:r>
    </w:p>
    <w:p w14:paraId="58550C29" w14:textId="30A4FAA7" w:rsidR="00B201C4" w:rsidRDefault="00A765AE" w:rsidP="008F2DA5">
      <w:r w:rsidRPr="00A765AE">
        <w:t xml:space="preserve">The Commission </w:t>
      </w:r>
      <w:r>
        <w:t xml:space="preserve">also </w:t>
      </w:r>
      <w:r w:rsidRPr="00A765AE">
        <w:t>makes a range of other administrative decisions that affect providers of aged care services and individuals such as aged care workers and governing persons of approved providers. Where the legislation does not specify the decision or particular matters that must be considered, Commission decision-makers review relevant information and evidence and apply a risk-based and proportionate approach consistent with the scope and purpose of the decision. In these circumstances, Commission decision-makers adhere to general administrative law principles and practices.</w:t>
      </w:r>
    </w:p>
    <w:p w14:paraId="52AE2543" w14:textId="0E4FFBDD" w:rsidR="008F2DA5" w:rsidRPr="008F2DA5" w:rsidRDefault="00C00207" w:rsidP="00C72460">
      <w:pPr>
        <w:pStyle w:val="Heading1"/>
      </w:pPr>
      <w:r>
        <w:t>T</w:t>
      </w:r>
      <w:r w:rsidR="008F2DA5" w:rsidRPr="00545AD9">
        <w:t>imeframe for mak</w:t>
      </w:r>
      <w:r w:rsidR="00297216">
        <w:t>ing</w:t>
      </w:r>
      <w:r w:rsidR="008F2DA5" w:rsidRPr="00545AD9">
        <w:t xml:space="preserve"> a regulatory decision</w:t>
      </w:r>
    </w:p>
    <w:p w14:paraId="35B465C4" w14:textId="4823E107" w:rsidR="00094603" w:rsidRDefault="008F2DA5" w:rsidP="008F2DA5">
      <w:pPr>
        <w:rPr>
          <w:lang w:val="en-US"/>
        </w:rPr>
      </w:pPr>
      <w:bookmarkStart w:id="1" w:name="_Hlk11318214"/>
      <w:r w:rsidRPr="003E2563">
        <w:rPr>
          <w:lang w:val="en-US"/>
        </w:rPr>
        <w:t xml:space="preserve">The </w:t>
      </w:r>
      <w:r w:rsidR="000F7574">
        <w:rPr>
          <w:lang w:val="en-US"/>
        </w:rPr>
        <w:t>legislation</w:t>
      </w:r>
      <w:r w:rsidRPr="003E2563">
        <w:rPr>
          <w:lang w:val="en-US"/>
        </w:rPr>
        <w:t xml:space="preserve"> </w:t>
      </w:r>
      <w:proofErr w:type="gramStart"/>
      <w:r w:rsidRPr="003E2563">
        <w:rPr>
          <w:lang w:val="en-US"/>
        </w:rPr>
        <w:t>impose</w:t>
      </w:r>
      <w:proofErr w:type="gramEnd"/>
      <w:r w:rsidRPr="003E2563">
        <w:rPr>
          <w:lang w:val="en-US"/>
        </w:rPr>
        <w:t xml:space="preserve"> specific time limits for a decision to be made for most regulatory decisions</w:t>
      </w:r>
      <w:bookmarkEnd w:id="1"/>
      <w:r w:rsidRPr="003E2563">
        <w:rPr>
          <w:lang w:val="en-US"/>
        </w:rPr>
        <w:t>. In some instances, the</w:t>
      </w:r>
      <w:r w:rsidR="00AE2D81">
        <w:rPr>
          <w:lang w:val="en-US"/>
        </w:rPr>
        <w:t xml:space="preserve"> legislation </w:t>
      </w:r>
      <w:r w:rsidRPr="003E2563">
        <w:rPr>
          <w:lang w:val="en-US"/>
        </w:rPr>
        <w:t xml:space="preserve">provide that a decision must be made ‘as soon as practicable.’ </w:t>
      </w:r>
    </w:p>
    <w:p w14:paraId="7DD84F7B" w14:textId="229994D9" w:rsidR="008F2DA5" w:rsidRPr="003E2563" w:rsidRDefault="008F2DA5" w:rsidP="008F2DA5">
      <w:pPr>
        <w:rPr>
          <w:lang w:val="en-US"/>
        </w:rPr>
      </w:pPr>
      <w:r w:rsidRPr="003E2563">
        <w:rPr>
          <w:lang w:val="en-US"/>
        </w:rPr>
        <w:t xml:space="preserve">In addition to having to </w:t>
      </w:r>
      <w:proofErr w:type="gramStart"/>
      <w:r w:rsidRPr="003E2563">
        <w:rPr>
          <w:lang w:val="en-US"/>
        </w:rPr>
        <w:t>make a decision</w:t>
      </w:r>
      <w:proofErr w:type="gramEnd"/>
      <w:r w:rsidRPr="003E2563">
        <w:rPr>
          <w:lang w:val="en-US"/>
        </w:rPr>
        <w:t xml:space="preserve"> by a certain time, </w:t>
      </w:r>
      <w:bookmarkStart w:id="2" w:name="_Hlk11318253"/>
      <w:r w:rsidRPr="003E2563">
        <w:rPr>
          <w:lang w:val="en-US"/>
        </w:rPr>
        <w:t>Commission decision-makers may also be subject to an obligation to provide notification of a decision within a specific timeframe</w:t>
      </w:r>
      <w:r w:rsidR="00023447">
        <w:rPr>
          <w:lang w:val="en-US"/>
        </w:rPr>
        <w:t>, or other time limits</w:t>
      </w:r>
      <w:r w:rsidRPr="003E2563">
        <w:rPr>
          <w:lang w:val="en-US"/>
        </w:rPr>
        <w:t>.</w:t>
      </w:r>
      <w:bookmarkEnd w:id="2"/>
      <w:r w:rsidRPr="003E2563">
        <w:rPr>
          <w:lang w:val="en-US"/>
        </w:rPr>
        <w:t xml:space="preserve">  </w:t>
      </w:r>
    </w:p>
    <w:p w14:paraId="6E6E2136" w14:textId="2911CED2" w:rsidR="008F2DA5" w:rsidRPr="008F2DA5" w:rsidRDefault="00297216" w:rsidP="00C72460">
      <w:pPr>
        <w:pStyle w:val="Heading1"/>
      </w:pPr>
      <w:r>
        <w:t>C</w:t>
      </w:r>
      <w:r w:rsidR="008F2DA5" w:rsidRPr="00545AD9">
        <w:t>onsider</w:t>
      </w:r>
      <w:r>
        <w:t>ations</w:t>
      </w:r>
      <w:r w:rsidR="008F2DA5" w:rsidRPr="00545AD9">
        <w:t xml:space="preserve"> in making a regulatory decision</w:t>
      </w:r>
    </w:p>
    <w:p w14:paraId="11FCF474" w14:textId="2B3824C2" w:rsidR="008F2DA5" w:rsidRPr="003E2563" w:rsidRDefault="008F2DA5" w:rsidP="008F2DA5">
      <w:pPr>
        <w:rPr>
          <w:lang w:val="en-US"/>
        </w:rPr>
      </w:pPr>
      <w:bookmarkStart w:id="3" w:name="_Hlk11318275"/>
      <w:r w:rsidRPr="003E2563">
        <w:rPr>
          <w:lang w:val="en-US"/>
        </w:rPr>
        <w:t xml:space="preserve">The legislation that </w:t>
      </w:r>
      <w:proofErr w:type="spellStart"/>
      <w:r w:rsidRPr="003E2563">
        <w:rPr>
          <w:lang w:val="en-US"/>
        </w:rPr>
        <w:t>authorises</w:t>
      </w:r>
      <w:proofErr w:type="spellEnd"/>
      <w:r w:rsidRPr="003E2563">
        <w:rPr>
          <w:lang w:val="en-US"/>
        </w:rPr>
        <w:t xml:space="preserve"> a decision will usually define (and limit) the considerations that can be </w:t>
      </w:r>
      <w:r w:rsidR="00CC274A" w:rsidRPr="003E2563">
        <w:rPr>
          <w:lang w:val="en-US"/>
        </w:rPr>
        <w:t>considered</w:t>
      </w:r>
      <w:r w:rsidRPr="003E2563">
        <w:rPr>
          <w:lang w:val="en-US"/>
        </w:rPr>
        <w:t xml:space="preserve">, and the purpose for which a decision can be made.  </w:t>
      </w:r>
    </w:p>
    <w:p w14:paraId="34933FA9" w14:textId="6DCACEB4" w:rsidR="008F2DA5" w:rsidRPr="003E2563" w:rsidRDefault="008F2DA5" w:rsidP="008F2DA5">
      <w:pPr>
        <w:rPr>
          <w:lang w:val="en-US"/>
        </w:rPr>
      </w:pPr>
      <w:r w:rsidRPr="003E2563">
        <w:rPr>
          <w:lang w:val="en-US"/>
        </w:rPr>
        <w:t xml:space="preserve">The types of evidence that Commission decision-makers are required to consider when making decisions vary, depending on which decision is being made. The starting point is always the legislation </w:t>
      </w:r>
      <w:bookmarkEnd w:id="3"/>
      <w:r w:rsidRPr="003E2563">
        <w:rPr>
          <w:lang w:val="en-US"/>
        </w:rPr>
        <w:t xml:space="preserve">which often sets out requirements and guidance for exercising the power. What </w:t>
      </w:r>
      <w:r w:rsidR="006F23EE">
        <w:rPr>
          <w:lang w:val="en-US"/>
        </w:rPr>
        <w:t>Commission</w:t>
      </w:r>
      <w:r w:rsidRPr="003E2563">
        <w:rPr>
          <w:lang w:val="en-US"/>
        </w:rPr>
        <w:t xml:space="preserve"> decision-maker</w:t>
      </w:r>
      <w:r w:rsidR="006F23EE">
        <w:rPr>
          <w:lang w:val="en-US"/>
        </w:rPr>
        <w:t>s</w:t>
      </w:r>
      <w:r w:rsidRPr="003E2563">
        <w:rPr>
          <w:lang w:val="en-US"/>
        </w:rPr>
        <w:t xml:space="preserve"> consider a ‘relevant matter’ will depend on the facts and circumstances of the specific case.</w:t>
      </w:r>
    </w:p>
    <w:p w14:paraId="59C71EDC" w14:textId="77777777" w:rsidR="008F2DA5" w:rsidRPr="00102513" w:rsidRDefault="008F2DA5" w:rsidP="00640A4A">
      <w:pPr>
        <w:keepNext/>
        <w:shd w:val="clear" w:color="auto" w:fill="D9D9D9" w:themeFill="background1" w:themeFillShade="D9"/>
        <w:rPr>
          <w:b/>
          <w:lang w:val="en-US"/>
        </w:rPr>
      </w:pPr>
      <w:r w:rsidRPr="00102513">
        <w:rPr>
          <w:b/>
          <w:lang w:val="en-US"/>
        </w:rPr>
        <w:t>Example:</w:t>
      </w:r>
    </w:p>
    <w:p w14:paraId="46F7C5FF" w14:textId="1868B31F" w:rsidR="008F2DA5" w:rsidRPr="003E2563" w:rsidRDefault="008F2DA5" w:rsidP="00640A4A">
      <w:pPr>
        <w:keepNext/>
        <w:shd w:val="clear" w:color="auto" w:fill="D9D9D9" w:themeFill="background1" w:themeFillShade="D9"/>
        <w:rPr>
          <w:b/>
          <w:lang w:val="en-US"/>
        </w:rPr>
      </w:pPr>
      <w:r w:rsidRPr="003E2563">
        <w:rPr>
          <w:lang w:val="en-US"/>
        </w:rPr>
        <w:t xml:space="preserve">When considering whether to re-accredit a </w:t>
      </w:r>
      <w:r w:rsidR="00651C01">
        <w:rPr>
          <w:lang w:val="en-US"/>
        </w:rPr>
        <w:t xml:space="preserve">residential </w:t>
      </w:r>
      <w:r w:rsidRPr="003E2563">
        <w:rPr>
          <w:lang w:val="en-US"/>
        </w:rPr>
        <w:t>service</w:t>
      </w:r>
      <w:r w:rsidR="00E423E1">
        <w:rPr>
          <w:lang w:val="en-US"/>
        </w:rPr>
        <w:t>,</w:t>
      </w:r>
      <w:r w:rsidRPr="003E2563">
        <w:rPr>
          <w:lang w:val="en-US"/>
        </w:rPr>
        <w:t xml:space="preserve"> the </w:t>
      </w:r>
      <w:r w:rsidR="00E423E1">
        <w:rPr>
          <w:lang w:val="en-US"/>
        </w:rPr>
        <w:t>Commission decision-maker</w:t>
      </w:r>
      <w:r w:rsidR="00E423E1" w:rsidRPr="003E2563">
        <w:rPr>
          <w:lang w:val="en-US"/>
        </w:rPr>
        <w:t xml:space="preserve"> </w:t>
      </w:r>
      <w:r w:rsidRPr="003E2563">
        <w:rPr>
          <w:lang w:val="en-US"/>
        </w:rPr>
        <w:t>is required to consider a range of matters that include:</w:t>
      </w:r>
    </w:p>
    <w:p w14:paraId="2A73ACF1" w14:textId="77777777" w:rsidR="008F2DA5" w:rsidRPr="00C72460" w:rsidRDefault="008F2DA5" w:rsidP="00C72460">
      <w:pPr>
        <w:pStyle w:val="ListBullet"/>
        <w:shd w:val="clear" w:color="auto" w:fill="D9D9D9" w:themeFill="background1" w:themeFillShade="D9"/>
        <w:ind w:left="426" w:hanging="426"/>
      </w:pPr>
      <w:r w:rsidRPr="00C72460">
        <w:t>the performance report</w:t>
      </w:r>
    </w:p>
    <w:p w14:paraId="32BE6335" w14:textId="77777777" w:rsidR="008F2DA5" w:rsidRPr="00C72460" w:rsidRDefault="008F2DA5" w:rsidP="00C72460">
      <w:pPr>
        <w:pStyle w:val="ListBullet"/>
        <w:shd w:val="clear" w:color="auto" w:fill="D9D9D9" w:themeFill="background1" w:themeFillShade="D9"/>
        <w:ind w:left="426" w:hanging="426"/>
      </w:pPr>
      <w:r w:rsidRPr="00C72460">
        <w:t>the site audit report</w:t>
      </w:r>
    </w:p>
    <w:p w14:paraId="4CF0B0EF" w14:textId="03AC7D1D" w:rsidR="008F2DA5" w:rsidRPr="00C72460" w:rsidRDefault="008F2DA5" w:rsidP="00C72460">
      <w:pPr>
        <w:pStyle w:val="ListBullet"/>
        <w:shd w:val="clear" w:color="auto" w:fill="D9D9D9" w:themeFill="background1" w:themeFillShade="D9"/>
        <w:ind w:left="426" w:hanging="426"/>
      </w:pPr>
      <w:r w:rsidRPr="00C72460">
        <w:t>the provider’s response to the audit report</w:t>
      </w:r>
    </w:p>
    <w:p w14:paraId="48C0A202" w14:textId="77777777" w:rsidR="008F2DA5" w:rsidRPr="00C72460" w:rsidRDefault="008F2DA5" w:rsidP="00C72460">
      <w:pPr>
        <w:pStyle w:val="ListBullet"/>
        <w:shd w:val="clear" w:color="auto" w:fill="D9D9D9" w:themeFill="background1" w:themeFillShade="D9"/>
        <w:ind w:left="426" w:hanging="426"/>
      </w:pPr>
      <w:r w:rsidRPr="00C72460">
        <w:t>any relevant information given to the Commissioner or the Assessment Team by a consumer or former consumer of the service, or a nominated representative</w:t>
      </w:r>
    </w:p>
    <w:p w14:paraId="2113F0C2" w14:textId="15A190F9" w:rsidR="008F2DA5" w:rsidRPr="00C72460" w:rsidRDefault="008F2DA5" w:rsidP="00C72460">
      <w:pPr>
        <w:pStyle w:val="ListBullet"/>
        <w:shd w:val="clear" w:color="auto" w:fill="D9D9D9" w:themeFill="background1" w:themeFillShade="D9"/>
        <w:ind w:left="426" w:hanging="426"/>
      </w:pPr>
      <w:r w:rsidRPr="00C72460">
        <w:lastRenderedPageBreak/>
        <w:t>any relevant information about the provider given by the Secretary of the Department of Health</w:t>
      </w:r>
      <w:r w:rsidR="00EC7027" w:rsidRPr="00C72460">
        <w:t xml:space="preserve"> and Aged Care</w:t>
      </w:r>
    </w:p>
    <w:p w14:paraId="150807A3" w14:textId="77777777" w:rsidR="008F2DA5" w:rsidRPr="00C72460" w:rsidRDefault="008F2DA5" w:rsidP="00C72460">
      <w:pPr>
        <w:pStyle w:val="ListBullet"/>
        <w:shd w:val="clear" w:color="auto" w:fill="D9D9D9" w:themeFill="background1" w:themeFillShade="D9"/>
        <w:ind w:left="426" w:hanging="426"/>
      </w:pPr>
      <w:r w:rsidRPr="00C72460">
        <w:t>whether the Commissioner is satisfied that the provider will undertake continuous improvement in relation to the service</w:t>
      </w:r>
    </w:p>
    <w:p w14:paraId="7019C4CA" w14:textId="77777777" w:rsidR="008F2DA5" w:rsidRPr="00C72460" w:rsidRDefault="008F2DA5" w:rsidP="00C72460">
      <w:pPr>
        <w:pStyle w:val="ListBullet"/>
        <w:shd w:val="clear" w:color="auto" w:fill="D9D9D9" w:themeFill="background1" w:themeFillShade="D9"/>
        <w:ind w:left="426" w:hanging="426"/>
      </w:pPr>
      <w:r w:rsidRPr="00C72460">
        <w:t>any other relevant matter.</w:t>
      </w:r>
    </w:p>
    <w:p w14:paraId="29F1994C" w14:textId="0B4874A4" w:rsidR="008F2DA5" w:rsidRPr="003E2563" w:rsidRDefault="008F2DA5" w:rsidP="00102513">
      <w:pPr>
        <w:rPr>
          <w:lang w:val="en-US"/>
        </w:rPr>
      </w:pPr>
      <w:r w:rsidRPr="003E2563">
        <w:rPr>
          <w:lang w:val="en-US"/>
        </w:rPr>
        <w:t xml:space="preserve">Where the legislation does not specify </w:t>
      </w:r>
      <w:r w:rsidR="00CC274A" w:rsidRPr="003E2563">
        <w:rPr>
          <w:lang w:val="en-US"/>
        </w:rPr>
        <w:t>matters</w:t>
      </w:r>
      <w:r w:rsidRPr="003E2563">
        <w:rPr>
          <w:lang w:val="en-US"/>
        </w:rPr>
        <w:t xml:space="preserve"> that must be considered, Commission decision-makers </w:t>
      </w:r>
      <w:r w:rsidR="00740FB4">
        <w:rPr>
          <w:lang w:val="en-US"/>
        </w:rPr>
        <w:t xml:space="preserve">will </w:t>
      </w:r>
      <w:r w:rsidRPr="003E2563">
        <w:rPr>
          <w:lang w:val="en-US"/>
        </w:rPr>
        <w:t xml:space="preserve">review </w:t>
      </w:r>
      <w:r w:rsidR="00740FB4">
        <w:rPr>
          <w:lang w:val="en-US"/>
        </w:rPr>
        <w:t xml:space="preserve">all </w:t>
      </w:r>
      <w:r w:rsidRPr="003E2563">
        <w:rPr>
          <w:lang w:val="en-US"/>
        </w:rPr>
        <w:t xml:space="preserve">relevant information and evidence consistent with the scope and purpose of the decision. In these circumstances, Commission decision-makers adhere to general administrative law principles and practices. </w:t>
      </w:r>
    </w:p>
    <w:p w14:paraId="3492B1DB" w14:textId="75AF6668" w:rsidR="008F2DA5" w:rsidRPr="003E2563" w:rsidRDefault="00FE2CB4" w:rsidP="00102513">
      <w:pPr>
        <w:rPr>
          <w:lang w:val="en-US"/>
        </w:rPr>
      </w:pPr>
      <w:r>
        <w:rPr>
          <w:lang w:val="en-US"/>
        </w:rPr>
        <w:t xml:space="preserve">General administrative law </w:t>
      </w:r>
      <w:r w:rsidR="008F2DA5" w:rsidRPr="003E2563">
        <w:rPr>
          <w:lang w:val="en-US"/>
        </w:rPr>
        <w:t xml:space="preserve">principles require Commission decision-makers to </w:t>
      </w:r>
      <w:proofErr w:type="gramStart"/>
      <w:r w:rsidR="008F2DA5" w:rsidRPr="003E2563">
        <w:rPr>
          <w:lang w:val="en-US"/>
        </w:rPr>
        <w:t>take into account</w:t>
      </w:r>
      <w:proofErr w:type="gramEnd"/>
      <w:r w:rsidR="008F2DA5" w:rsidRPr="003E2563">
        <w:rPr>
          <w:lang w:val="en-US"/>
        </w:rPr>
        <w:t xml:space="preserve"> all relevant considerations and not be guided by irrelevant considerations. Decisions must be reasonable and be made in good faith without actual or perceived bias.</w:t>
      </w:r>
    </w:p>
    <w:p w14:paraId="67428157" w14:textId="77777777" w:rsidR="00C00207" w:rsidRDefault="00C00207" w:rsidP="00C72460">
      <w:pPr>
        <w:pStyle w:val="Heading1"/>
        <w:pBdr>
          <w:top w:val="single" w:sz="4" w:space="1" w:color="auto"/>
        </w:pBdr>
      </w:pPr>
      <w:bookmarkStart w:id="4" w:name="_Hlk11246142"/>
      <w:r>
        <w:t>Frequently asked questions</w:t>
      </w:r>
    </w:p>
    <w:p w14:paraId="7ABDEFB4" w14:textId="77777777" w:rsidR="008F2DA5" w:rsidRPr="008F2DA5" w:rsidRDefault="008F2DA5" w:rsidP="008F2DA5">
      <w:pPr>
        <w:pStyle w:val="Heading2"/>
        <w:numPr>
          <w:ilvl w:val="0"/>
          <w:numId w:val="34"/>
        </w:numPr>
        <w:ind w:left="567" w:hanging="567"/>
        <w:rPr>
          <w:rFonts w:eastAsia="Calibri" w:cs="Times New Roman"/>
        </w:rPr>
      </w:pPr>
      <w:r w:rsidRPr="00545AD9">
        <w:rPr>
          <w:rFonts w:eastAsia="Calibri" w:cs="Times New Roman"/>
        </w:rPr>
        <w:t xml:space="preserve">How will procedural fairness be provided? </w:t>
      </w:r>
    </w:p>
    <w:p w14:paraId="5521A941" w14:textId="77777777" w:rsidR="006E7225" w:rsidRDefault="006E7225" w:rsidP="006E7225">
      <w:r>
        <w:t xml:space="preserve">Commission decision-makers apply fair procedures when making regulatory decisions that are appropriate to the circumstances of each decision and in accordance with legislative requirements. </w:t>
      </w:r>
    </w:p>
    <w:p w14:paraId="10A71348" w14:textId="2DAB25EE" w:rsidR="00C422EC" w:rsidRPr="008513F8" w:rsidRDefault="00106DD4" w:rsidP="00102513">
      <w:r w:rsidRPr="00106DD4">
        <w:t>Commission decision-makers will be impartial and make decisions based on sufficient and relevant evidence. Unless there is an immediate and severe risk to the safety, health or well-being of consumers, Commission decision-makers will notify providers and individuals who may be adversely affected by a decision, before making and setting out the decision.</w:t>
      </w:r>
    </w:p>
    <w:p w14:paraId="286EFF25" w14:textId="1F46BB0A" w:rsidR="00AA0584" w:rsidRPr="00106DD4" w:rsidRDefault="009E4B31" w:rsidP="00106DD4">
      <w:pPr>
        <w:pStyle w:val="Heading2"/>
        <w:numPr>
          <w:ilvl w:val="0"/>
          <w:numId w:val="34"/>
        </w:numPr>
        <w:ind w:left="567" w:hanging="567"/>
        <w:rPr>
          <w:rFonts w:eastAsia="Calibri" w:cs="Times New Roman"/>
        </w:rPr>
      </w:pPr>
      <w:r w:rsidRPr="008513F8">
        <w:rPr>
          <w:rFonts w:eastAsia="Calibri" w:cs="Times New Roman"/>
        </w:rPr>
        <w:t xml:space="preserve">Will the Commission </w:t>
      </w:r>
      <w:r w:rsidR="0080472F" w:rsidRPr="008513F8">
        <w:rPr>
          <w:rFonts w:eastAsia="Calibri" w:cs="Times New Roman"/>
        </w:rPr>
        <w:t xml:space="preserve">always </w:t>
      </w:r>
      <w:r w:rsidRPr="008513F8">
        <w:rPr>
          <w:rFonts w:eastAsia="Calibri" w:cs="Times New Roman"/>
        </w:rPr>
        <w:t>consider my submission in response to</w:t>
      </w:r>
      <w:r w:rsidR="005F6CBE" w:rsidRPr="008513F8">
        <w:rPr>
          <w:rFonts w:eastAsia="Calibri" w:cs="Times New Roman"/>
        </w:rPr>
        <w:t xml:space="preserve"> a matter that adversely impacts me</w:t>
      </w:r>
      <w:r w:rsidR="00AA0584" w:rsidRPr="008513F8">
        <w:rPr>
          <w:rFonts w:eastAsia="Calibri" w:cs="Times New Roman"/>
        </w:rPr>
        <w:t>?</w:t>
      </w:r>
    </w:p>
    <w:p w14:paraId="370888F8" w14:textId="66D081CE" w:rsidR="008B6802" w:rsidRPr="008513F8" w:rsidRDefault="006D1C5F">
      <w:pPr>
        <w:pStyle w:val="NormalWeb"/>
        <w:rPr>
          <w:rFonts w:ascii="Arial" w:eastAsiaTheme="minorHAnsi" w:hAnsi="Arial" w:cs="Arial"/>
          <w:szCs w:val="22"/>
          <w:lang w:eastAsia="en-US"/>
        </w:rPr>
      </w:pPr>
      <w:r w:rsidRPr="008513F8">
        <w:rPr>
          <w:rFonts w:ascii="Arial" w:eastAsiaTheme="minorHAnsi" w:hAnsi="Arial" w:cs="Arial"/>
          <w:szCs w:val="22"/>
          <w:lang w:eastAsia="en-US"/>
        </w:rPr>
        <w:t>P</w:t>
      </w:r>
      <w:r w:rsidR="003D4BC4" w:rsidRPr="008513F8">
        <w:rPr>
          <w:rFonts w:ascii="Arial" w:eastAsiaTheme="minorHAnsi" w:hAnsi="Arial" w:cs="Arial"/>
          <w:szCs w:val="22"/>
          <w:lang w:eastAsia="en-US"/>
        </w:rPr>
        <w:t>rior to making decision</w:t>
      </w:r>
      <w:r w:rsidR="00F5440F" w:rsidRPr="008513F8">
        <w:rPr>
          <w:rFonts w:ascii="Arial" w:eastAsiaTheme="minorHAnsi" w:hAnsi="Arial" w:cs="Arial"/>
          <w:szCs w:val="22"/>
          <w:lang w:eastAsia="en-US"/>
        </w:rPr>
        <w:t>s</w:t>
      </w:r>
      <w:r w:rsidR="00064184" w:rsidRPr="008513F8">
        <w:rPr>
          <w:rFonts w:ascii="Arial" w:eastAsiaTheme="minorHAnsi" w:hAnsi="Arial" w:cs="Arial"/>
          <w:szCs w:val="22"/>
          <w:lang w:eastAsia="en-US"/>
        </w:rPr>
        <w:t>, the Commission</w:t>
      </w:r>
      <w:r w:rsidR="00844555" w:rsidRPr="008513F8">
        <w:rPr>
          <w:rFonts w:ascii="Arial" w:eastAsiaTheme="minorHAnsi" w:hAnsi="Arial" w:cs="Arial"/>
          <w:szCs w:val="22"/>
          <w:lang w:eastAsia="en-US"/>
        </w:rPr>
        <w:t xml:space="preserve"> </w:t>
      </w:r>
      <w:r w:rsidR="00245D9F" w:rsidRPr="008513F8">
        <w:rPr>
          <w:rFonts w:ascii="Arial" w:eastAsiaTheme="minorHAnsi" w:hAnsi="Arial" w:cs="Arial"/>
          <w:szCs w:val="22"/>
          <w:lang w:eastAsia="en-US"/>
        </w:rPr>
        <w:t>will generally</w:t>
      </w:r>
      <w:r w:rsidR="00064184" w:rsidRPr="008513F8">
        <w:rPr>
          <w:rFonts w:ascii="Arial" w:eastAsiaTheme="minorHAnsi" w:hAnsi="Arial" w:cs="Arial"/>
          <w:szCs w:val="22"/>
          <w:lang w:eastAsia="en-US"/>
        </w:rPr>
        <w:t xml:space="preserve"> </w:t>
      </w:r>
      <w:r w:rsidR="006D1E74" w:rsidRPr="008513F8">
        <w:rPr>
          <w:rFonts w:ascii="Arial" w:eastAsiaTheme="minorHAnsi" w:hAnsi="Arial" w:cs="Arial"/>
          <w:szCs w:val="22"/>
          <w:lang w:eastAsia="en-US"/>
        </w:rPr>
        <w:t>invite and</w:t>
      </w:r>
      <w:r w:rsidRPr="008513F8">
        <w:rPr>
          <w:rFonts w:ascii="Arial" w:eastAsiaTheme="minorHAnsi" w:hAnsi="Arial" w:cs="Arial"/>
          <w:szCs w:val="22"/>
          <w:lang w:eastAsia="en-US"/>
        </w:rPr>
        <w:t xml:space="preserve"> </w:t>
      </w:r>
      <w:r w:rsidR="00064184" w:rsidRPr="008513F8">
        <w:rPr>
          <w:rFonts w:ascii="Arial" w:eastAsiaTheme="minorHAnsi" w:hAnsi="Arial" w:cs="Arial"/>
          <w:szCs w:val="22"/>
          <w:lang w:eastAsia="en-US"/>
        </w:rPr>
        <w:t xml:space="preserve">consider submissions </w:t>
      </w:r>
      <w:r w:rsidR="006F50EF" w:rsidRPr="008513F8">
        <w:rPr>
          <w:rFonts w:ascii="Arial" w:eastAsiaTheme="minorHAnsi" w:hAnsi="Arial" w:cs="Arial"/>
          <w:szCs w:val="22"/>
          <w:lang w:eastAsia="en-US"/>
        </w:rPr>
        <w:t>from</w:t>
      </w:r>
      <w:r w:rsidR="00064184" w:rsidRPr="008513F8">
        <w:rPr>
          <w:rFonts w:ascii="Arial" w:eastAsiaTheme="minorHAnsi" w:hAnsi="Arial" w:cs="Arial"/>
          <w:szCs w:val="22"/>
          <w:lang w:eastAsia="en-US"/>
        </w:rPr>
        <w:t xml:space="preserve"> a provider or individual who may be </w:t>
      </w:r>
      <w:r w:rsidR="00653636" w:rsidRPr="008513F8">
        <w:rPr>
          <w:rFonts w:ascii="Arial" w:eastAsiaTheme="minorHAnsi" w:hAnsi="Arial" w:cs="Arial"/>
          <w:szCs w:val="22"/>
          <w:lang w:eastAsia="en-US"/>
        </w:rPr>
        <w:t xml:space="preserve">adversely </w:t>
      </w:r>
      <w:r w:rsidR="00064184" w:rsidRPr="008513F8">
        <w:rPr>
          <w:rFonts w:ascii="Arial" w:eastAsiaTheme="minorHAnsi" w:hAnsi="Arial" w:cs="Arial"/>
          <w:szCs w:val="22"/>
          <w:lang w:eastAsia="en-US"/>
        </w:rPr>
        <w:t xml:space="preserve">affected by </w:t>
      </w:r>
      <w:r w:rsidR="003D4BC4" w:rsidRPr="008513F8">
        <w:rPr>
          <w:rFonts w:ascii="Arial" w:eastAsiaTheme="minorHAnsi" w:hAnsi="Arial" w:cs="Arial"/>
          <w:szCs w:val="22"/>
          <w:lang w:eastAsia="en-US"/>
        </w:rPr>
        <w:t>that decision.</w:t>
      </w:r>
      <w:r w:rsidRPr="008513F8">
        <w:rPr>
          <w:rFonts w:ascii="Arial" w:eastAsiaTheme="minorHAnsi" w:hAnsi="Arial" w:cs="Arial"/>
          <w:szCs w:val="22"/>
          <w:lang w:eastAsia="en-US"/>
        </w:rPr>
        <w:t xml:space="preserve"> In some cases, the legislation </w:t>
      </w:r>
      <w:r w:rsidR="006D1E74" w:rsidRPr="008513F8">
        <w:rPr>
          <w:rFonts w:ascii="Arial" w:eastAsiaTheme="minorHAnsi" w:hAnsi="Arial" w:cs="Arial"/>
          <w:szCs w:val="22"/>
          <w:lang w:eastAsia="en-US"/>
        </w:rPr>
        <w:t xml:space="preserve">would </w:t>
      </w:r>
      <w:r w:rsidRPr="008513F8">
        <w:rPr>
          <w:rFonts w:ascii="Arial" w:eastAsiaTheme="minorHAnsi" w:hAnsi="Arial" w:cs="Arial"/>
          <w:szCs w:val="22"/>
          <w:lang w:eastAsia="en-US"/>
        </w:rPr>
        <w:t>specifically require the Commission to</w:t>
      </w:r>
      <w:r w:rsidR="00924AFD" w:rsidRPr="008513F8">
        <w:rPr>
          <w:rFonts w:ascii="Arial" w:eastAsiaTheme="minorHAnsi" w:hAnsi="Arial" w:cs="Arial"/>
          <w:szCs w:val="22"/>
          <w:lang w:eastAsia="en-US"/>
        </w:rPr>
        <w:t xml:space="preserve"> invite and</w:t>
      </w:r>
      <w:r w:rsidRPr="008513F8">
        <w:rPr>
          <w:rFonts w:ascii="Arial" w:eastAsiaTheme="minorHAnsi" w:hAnsi="Arial" w:cs="Arial"/>
          <w:szCs w:val="22"/>
          <w:lang w:eastAsia="en-US"/>
        </w:rPr>
        <w:t xml:space="preserve"> consider submissions.</w:t>
      </w:r>
    </w:p>
    <w:p w14:paraId="57855C72" w14:textId="77777777" w:rsidR="006C0110" w:rsidRPr="008513F8" w:rsidRDefault="006C0110" w:rsidP="006C0110">
      <w:r w:rsidRPr="008513F8">
        <w:t>The Commission may not consider late submissions, particularly if the delay is lengthy, there is no reasonable explanation for the delay and the Commission had no prior knowledge that there would be a delay.</w:t>
      </w:r>
    </w:p>
    <w:p w14:paraId="0E71129F" w14:textId="0E4BA7B2" w:rsidR="0080472F" w:rsidRDefault="00BF66F3" w:rsidP="00106DD4">
      <w:pPr>
        <w:pStyle w:val="NormalWeb"/>
      </w:pPr>
      <w:r w:rsidRPr="008513F8">
        <w:rPr>
          <w:rFonts w:ascii="Arial" w:eastAsiaTheme="minorHAnsi" w:hAnsi="Arial" w:cs="Arial"/>
          <w:szCs w:val="22"/>
          <w:lang w:eastAsia="en-US"/>
        </w:rPr>
        <w:t>If t</w:t>
      </w:r>
      <w:r w:rsidR="00445A8C" w:rsidRPr="008513F8">
        <w:rPr>
          <w:rFonts w:ascii="Arial" w:eastAsiaTheme="minorHAnsi" w:hAnsi="Arial" w:cs="Arial"/>
          <w:szCs w:val="22"/>
          <w:lang w:eastAsia="en-US"/>
        </w:rPr>
        <w:t>here is an immediate and severe risk to the health, safety or well-being of consumers, the Commission is not required to give a provider or individual an opportunity to make submissions and provide relevant information or evidence in response to adverse material before a decision is made.</w:t>
      </w:r>
    </w:p>
    <w:p w14:paraId="749B68D3" w14:textId="7C249198" w:rsidR="00C422EC" w:rsidRPr="00106DD4" w:rsidRDefault="00C422EC" w:rsidP="00106DD4">
      <w:pPr>
        <w:pStyle w:val="Heading2"/>
        <w:numPr>
          <w:ilvl w:val="0"/>
          <w:numId w:val="34"/>
        </w:numPr>
        <w:ind w:left="567" w:hanging="567"/>
        <w:rPr>
          <w:rFonts w:eastAsia="Calibri" w:cs="Times New Roman"/>
        </w:rPr>
      </w:pPr>
      <w:r w:rsidRPr="00B84BF8">
        <w:rPr>
          <w:rFonts w:eastAsia="Calibri" w:cs="Times New Roman"/>
        </w:rPr>
        <w:lastRenderedPageBreak/>
        <w:t xml:space="preserve">Is the Commission </w:t>
      </w:r>
      <w:r w:rsidR="009E6FD8">
        <w:rPr>
          <w:rFonts w:eastAsia="Calibri" w:cs="Times New Roman"/>
        </w:rPr>
        <w:t xml:space="preserve">required </w:t>
      </w:r>
      <w:r w:rsidRPr="00B84BF8">
        <w:rPr>
          <w:rFonts w:eastAsia="Calibri" w:cs="Times New Roman"/>
        </w:rPr>
        <w:t>to provide reasons for its decision</w:t>
      </w:r>
      <w:r w:rsidR="006C7314">
        <w:rPr>
          <w:rFonts w:eastAsia="Calibri" w:cs="Times New Roman"/>
        </w:rPr>
        <w:t>s</w:t>
      </w:r>
      <w:r w:rsidRPr="00B84BF8">
        <w:rPr>
          <w:rFonts w:eastAsia="Calibri" w:cs="Times New Roman"/>
        </w:rPr>
        <w:t>?</w:t>
      </w:r>
    </w:p>
    <w:p w14:paraId="09116549" w14:textId="113A0854" w:rsidR="00C422EC" w:rsidRDefault="00C422EC" w:rsidP="00C422EC">
      <w:pPr>
        <w:rPr>
          <w:lang w:val="en-US"/>
        </w:rPr>
      </w:pPr>
      <w:r w:rsidRPr="00B84BF8">
        <w:rPr>
          <w:lang w:val="en-US"/>
        </w:rPr>
        <w:t>The Aged Care Act, Commission Act and Commission Rules require that decision-makers provide reasons for certain decisions</w:t>
      </w:r>
      <w:r w:rsidR="008C42A8">
        <w:rPr>
          <w:lang w:val="en-US"/>
        </w:rPr>
        <w:t xml:space="preserve">, </w:t>
      </w:r>
      <w:r w:rsidR="00976401">
        <w:rPr>
          <w:lang w:val="en-US"/>
        </w:rPr>
        <w:t>including</w:t>
      </w:r>
      <w:r w:rsidR="008C42A8">
        <w:rPr>
          <w:lang w:val="en-US"/>
        </w:rPr>
        <w:t xml:space="preserve"> </w:t>
      </w:r>
      <w:proofErr w:type="gramStart"/>
      <w:r w:rsidR="008C42A8">
        <w:rPr>
          <w:lang w:val="en-US"/>
        </w:rPr>
        <w:t>all of</w:t>
      </w:r>
      <w:proofErr w:type="gramEnd"/>
      <w:r w:rsidR="008C42A8">
        <w:rPr>
          <w:lang w:val="en-US"/>
        </w:rPr>
        <w:t xml:space="preserve"> its</w:t>
      </w:r>
      <w:r w:rsidRPr="00356A28">
        <w:rPr>
          <w:lang w:val="en-US"/>
        </w:rPr>
        <w:t xml:space="preserve"> regulatory decisions</w:t>
      </w:r>
      <w:r>
        <w:rPr>
          <w:lang w:val="en-US"/>
        </w:rPr>
        <w:t xml:space="preserve">. </w:t>
      </w:r>
    </w:p>
    <w:p w14:paraId="78385B29" w14:textId="3C884CC1" w:rsidR="00FB1E15" w:rsidRDefault="00B3019D" w:rsidP="009873DF">
      <w:r>
        <w:rPr>
          <w:lang w:val="en-US"/>
        </w:rPr>
        <w:t>The legislation does not always require</w:t>
      </w:r>
      <w:r w:rsidR="00C422EC" w:rsidRPr="0013333C">
        <w:rPr>
          <w:lang w:val="en-US"/>
        </w:rPr>
        <w:t xml:space="preserve"> </w:t>
      </w:r>
      <w:r w:rsidR="008B4C02">
        <w:rPr>
          <w:lang w:val="en-US"/>
        </w:rPr>
        <w:t xml:space="preserve">Commission </w:t>
      </w:r>
      <w:r w:rsidR="00C422EC" w:rsidRPr="0013333C">
        <w:rPr>
          <w:lang w:val="en-US"/>
        </w:rPr>
        <w:t>decision-maker</w:t>
      </w:r>
      <w:r w:rsidR="00437FCA">
        <w:rPr>
          <w:lang w:val="en-US"/>
        </w:rPr>
        <w:t>s</w:t>
      </w:r>
      <w:r w:rsidR="00C422EC" w:rsidRPr="0013333C">
        <w:rPr>
          <w:lang w:val="en-US"/>
        </w:rPr>
        <w:t xml:space="preserve"> to provide reasons for </w:t>
      </w:r>
      <w:r w:rsidR="009E355C">
        <w:rPr>
          <w:lang w:val="en-US"/>
        </w:rPr>
        <w:t xml:space="preserve">other types of </w:t>
      </w:r>
      <w:r w:rsidR="00C422EC" w:rsidRPr="0013333C">
        <w:rPr>
          <w:lang w:val="en-US"/>
        </w:rPr>
        <w:t>decision</w:t>
      </w:r>
      <w:r w:rsidR="007C3041">
        <w:rPr>
          <w:lang w:val="en-US"/>
        </w:rPr>
        <w:t>s</w:t>
      </w:r>
      <w:r w:rsidR="008B4C02">
        <w:rPr>
          <w:lang w:val="en-US"/>
        </w:rPr>
        <w:t>. However, f</w:t>
      </w:r>
      <w:r w:rsidR="009C4745">
        <w:rPr>
          <w:lang w:val="en-US"/>
        </w:rPr>
        <w:t>ollowing</w:t>
      </w:r>
      <w:r w:rsidR="00C422EC" w:rsidRPr="0013333C">
        <w:rPr>
          <w:lang w:val="en-US"/>
        </w:rPr>
        <w:t xml:space="preserve"> the principles of good administration</w:t>
      </w:r>
      <w:r w:rsidR="009C4745">
        <w:rPr>
          <w:lang w:val="en-US"/>
        </w:rPr>
        <w:t xml:space="preserve">, </w:t>
      </w:r>
      <w:r w:rsidR="00C422EC" w:rsidRPr="0013333C">
        <w:rPr>
          <w:lang w:val="en-US"/>
        </w:rPr>
        <w:t xml:space="preserve">a </w:t>
      </w:r>
      <w:r w:rsidR="00EE685C">
        <w:rPr>
          <w:lang w:val="en-US"/>
        </w:rPr>
        <w:t xml:space="preserve">Commission </w:t>
      </w:r>
      <w:r w:rsidR="00C422EC" w:rsidRPr="0013333C">
        <w:rPr>
          <w:lang w:val="en-US"/>
        </w:rPr>
        <w:t xml:space="preserve">decision-maker </w:t>
      </w:r>
      <w:r w:rsidR="00EE685C">
        <w:rPr>
          <w:lang w:val="en-US"/>
        </w:rPr>
        <w:t xml:space="preserve">will </w:t>
      </w:r>
      <w:r w:rsidR="00C422EC" w:rsidRPr="0013333C">
        <w:rPr>
          <w:lang w:val="en-US"/>
        </w:rPr>
        <w:t xml:space="preserve">give reasons for </w:t>
      </w:r>
      <w:r w:rsidR="00A054E1">
        <w:rPr>
          <w:lang w:val="en-US"/>
        </w:rPr>
        <w:t xml:space="preserve">decisions </w:t>
      </w:r>
      <w:r w:rsidR="00E04DBD">
        <w:rPr>
          <w:lang w:val="en-US"/>
        </w:rPr>
        <w:t xml:space="preserve">where it will have </w:t>
      </w:r>
      <w:r w:rsidR="00A054E1" w:rsidRPr="005B0700">
        <w:t xml:space="preserve">an adverse impact on a </w:t>
      </w:r>
      <w:r w:rsidR="00DC527B">
        <w:t>provider or individual</w:t>
      </w:r>
      <w:r w:rsidR="0071444B">
        <w:t xml:space="preserve"> and </w:t>
      </w:r>
      <w:r w:rsidR="00E04DBD">
        <w:t xml:space="preserve">where it </w:t>
      </w:r>
      <w:r w:rsidR="00A054E1" w:rsidRPr="005B0700">
        <w:t xml:space="preserve">may be reviewed or appealed. </w:t>
      </w:r>
    </w:p>
    <w:p w14:paraId="786AC2A7" w14:textId="3DEDD6BD" w:rsidR="00E84B2F" w:rsidRPr="0013333C" w:rsidRDefault="006A072A" w:rsidP="008C42A8">
      <w:pPr>
        <w:rPr>
          <w:lang w:val="en-US"/>
        </w:rPr>
      </w:pPr>
      <w:r>
        <w:t>P</w:t>
      </w:r>
      <w:r w:rsidR="00FB1E15">
        <w:t>roviding</w:t>
      </w:r>
      <w:r>
        <w:t xml:space="preserve"> a</w:t>
      </w:r>
      <w:r w:rsidR="00FB1E15">
        <w:t xml:space="preserve"> reason for </w:t>
      </w:r>
      <w:r>
        <w:t xml:space="preserve">Commission </w:t>
      </w:r>
      <w:r w:rsidR="00FB1E15">
        <w:t>decision</w:t>
      </w:r>
      <w:r>
        <w:t>s enables the affected</w:t>
      </w:r>
      <w:r w:rsidR="009873DF">
        <w:rPr>
          <w:lang w:val="en-US"/>
        </w:rPr>
        <w:t xml:space="preserve"> provider or individual</w:t>
      </w:r>
      <w:r w:rsidR="00557DEE">
        <w:rPr>
          <w:lang w:val="en-US"/>
        </w:rPr>
        <w:t xml:space="preserve"> </w:t>
      </w:r>
      <w:r w:rsidR="008D1319">
        <w:rPr>
          <w:lang w:val="en-US"/>
        </w:rPr>
        <w:t>to:</w:t>
      </w:r>
    </w:p>
    <w:p w14:paraId="711FDA1C" w14:textId="61D35F6B" w:rsidR="00E84B2F" w:rsidRDefault="00C422EC" w:rsidP="00E84B2F">
      <w:pPr>
        <w:pStyle w:val="ListBullet"/>
        <w:ind w:left="426" w:hanging="426"/>
      </w:pPr>
      <w:r w:rsidRPr="00C72460">
        <w:t xml:space="preserve">understand the reasons, evidence and facts that the decision-maker relied on when making the decision </w:t>
      </w:r>
    </w:p>
    <w:p w14:paraId="70348FB9" w14:textId="2FF889CD" w:rsidR="009441CE" w:rsidRPr="003E2563" w:rsidRDefault="00C422EC" w:rsidP="00C72460">
      <w:pPr>
        <w:pStyle w:val="ListBullet"/>
        <w:ind w:left="426" w:hanging="426"/>
      </w:pPr>
      <w:r w:rsidRPr="00C72460">
        <w:t>decide if they want to ask for a reconsideration or seek review of the decision, where applicable</w:t>
      </w:r>
      <w:r w:rsidR="00D15899" w:rsidRPr="00C72460">
        <w:t>.</w:t>
      </w:r>
    </w:p>
    <w:p w14:paraId="6FC860F2" w14:textId="77777777" w:rsidR="008F2DA5" w:rsidRPr="008F2DA5" w:rsidRDefault="008F2DA5" w:rsidP="008F2DA5">
      <w:pPr>
        <w:pStyle w:val="Heading2"/>
        <w:numPr>
          <w:ilvl w:val="0"/>
          <w:numId w:val="34"/>
        </w:numPr>
        <w:ind w:left="567" w:hanging="567"/>
        <w:rPr>
          <w:rFonts w:eastAsia="Calibri" w:cs="Times New Roman"/>
        </w:rPr>
      </w:pPr>
      <w:r w:rsidRPr="00545AD9">
        <w:rPr>
          <w:rFonts w:eastAsia="Calibri" w:cs="Times New Roman"/>
        </w:rPr>
        <w:t>What if I don’t agree with a regulatory decision?</w:t>
      </w:r>
    </w:p>
    <w:p w14:paraId="753C22B1" w14:textId="61AE6CBC" w:rsidR="008F2DA5" w:rsidRPr="003E2563" w:rsidRDefault="008F2DA5" w:rsidP="00102513">
      <w:r w:rsidRPr="003E2563">
        <w:t xml:space="preserve">Some decisions of the Commission are subject to review. If </w:t>
      </w:r>
      <w:r w:rsidR="00A31D9C">
        <w:t>a</w:t>
      </w:r>
      <w:r w:rsidRPr="003E2563">
        <w:t xml:space="preserve"> provider </w:t>
      </w:r>
      <w:r w:rsidR="008013CD" w:rsidRPr="008013CD">
        <w:t>or</w:t>
      </w:r>
      <w:r w:rsidR="008013CD">
        <w:t xml:space="preserve"> </w:t>
      </w:r>
      <w:r w:rsidR="00523139">
        <w:t xml:space="preserve">individual </w:t>
      </w:r>
      <w:r w:rsidRPr="003E2563">
        <w:t xml:space="preserve">wishes to seek review of a decision, mechanisms available include the Commission’s internal reconsideration process or external review by the Administrative Appeals Tribunal, Federal Court or the Commonwealth Ombudsman. </w:t>
      </w:r>
    </w:p>
    <w:p w14:paraId="1F0BC708" w14:textId="7B8E5DEE" w:rsidR="008F2DA5" w:rsidRDefault="008F2DA5" w:rsidP="00102513">
      <w:r w:rsidRPr="003E2563">
        <w:t xml:space="preserve">More about the reconsideration and review processes can be found in the </w:t>
      </w:r>
      <w:hyperlink r:id="rId13" w:history="1">
        <w:r w:rsidRPr="001A4CE9">
          <w:rPr>
            <w:rStyle w:val="Hyperlink"/>
          </w:rPr>
          <w:t>Regulatory Bulletin Reconsideration of regulatory decisions</w:t>
        </w:r>
        <w:r w:rsidR="00280EBD" w:rsidRPr="001A4CE9">
          <w:rPr>
            <w:rStyle w:val="Hyperlink"/>
            <w:vertAlign w:val="superscript"/>
          </w:rPr>
          <w:footnoteReference w:id="6"/>
        </w:r>
      </w:hyperlink>
      <w:r w:rsidRPr="001A4CE9">
        <w:t xml:space="preserve"> </w:t>
      </w:r>
      <w:r w:rsidRPr="003E2563">
        <w:t xml:space="preserve">on the </w:t>
      </w:r>
      <w:r w:rsidRPr="003E2563">
        <w:rPr>
          <w:rFonts w:eastAsia="Calibri"/>
        </w:rPr>
        <w:t>Commission’s website</w:t>
      </w:r>
      <w:r w:rsidRPr="003E2563">
        <w:t>.</w:t>
      </w:r>
    </w:p>
    <w:p w14:paraId="20365819" w14:textId="510683D0" w:rsidR="00EA576E" w:rsidRDefault="006C2DC1" w:rsidP="00EA576E">
      <w:r w:rsidRPr="006C2DC1">
        <w:t>If you would like to make a complaint about a service provided by the Commission you can lodge a complaint about us by phone, email or post.</w:t>
      </w:r>
      <w:r w:rsidR="00EA576E">
        <w:t xml:space="preserve"> Information about </w:t>
      </w:r>
      <w:r w:rsidR="0085306C">
        <w:t>how to make a complaint about us</w:t>
      </w:r>
      <w:r w:rsidR="00EA576E" w:rsidRPr="003E2563">
        <w:t xml:space="preserve"> can be found on the </w:t>
      </w:r>
      <w:hyperlink r:id="rId14" w:history="1">
        <w:r w:rsidR="00EA576E" w:rsidRPr="0085306C">
          <w:rPr>
            <w:rStyle w:val="Hyperlink"/>
            <w:rFonts w:eastAsia="Calibri"/>
          </w:rPr>
          <w:t>Commission’s website</w:t>
        </w:r>
      </w:hyperlink>
      <w:r w:rsidR="0085306C">
        <w:rPr>
          <w:rStyle w:val="FootnoteReference"/>
          <w:rFonts w:eastAsia="Calibri"/>
        </w:rPr>
        <w:footnoteReference w:id="7"/>
      </w:r>
      <w:r w:rsidR="00EA576E" w:rsidRPr="003E2563">
        <w:t>.</w:t>
      </w:r>
    </w:p>
    <w:p w14:paraId="21DF3295" w14:textId="77777777" w:rsidR="008F2DA5" w:rsidRPr="008F2DA5" w:rsidRDefault="008F2DA5" w:rsidP="008F2DA5">
      <w:pPr>
        <w:pStyle w:val="Heading2"/>
        <w:numPr>
          <w:ilvl w:val="0"/>
          <w:numId w:val="34"/>
        </w:numPr>
        <w:ind w:left="567" w:hanging="567"/>
        <w:rPr>
          <w:rFonts w:eastAsia="Calibri" w:cs="Times New Roman"/>
        </w:rPr>
      </w:pPr>
      <w:r w:rsidRPr="008F2DA5">
        <w:rPr>
          <w:rFonts w:eastAsia="Calibri" w:cs="Times New Roman"/>
        </w:rPr>
        <w:t xml:space="preserve">What decisions are made public? </w:t>
      </w:r>
    </w:p>
    <w:bookmarkEnd w:id="4"/>
    <w:p w14:paraId="1E554D3C" w14:textId="03151130" w:rsidR="005A4BAF" w:rsidRDefault="008F2DA5" w:rsidP="00102513">
      <w:r w:rsidRPr="00E34496">
        <w:t>A range of decisions about the performance of services is published on the Commission’s website</w:t>
      </w:r>
      <w:r w:rsidR="005A4BAF">
        <w:t xml:space="preserve">, in a </w:t>
      </w:r>
      <w:hyperlink r:id="rId15" w:history="1">
        <w:r w:rsidR="007734C7" w:rsidRPr="007734C7">
          <w:rPr>
            <w:rStyle w:val="Hyperlink"/>
          </w:rPr>
          <w:t>Non-compliance register</w:t>
        </w:r>
      </w:hyperlink>
      <w:r w:rsidR="007734C7">
        <w:rPr>
          <w:rStyle w:val="FootnoteReference"/>
        </w:rPr>
        <w:footnoteReference w:id="8"/>
      </w:r>
      <w:r w:rsidR="007734C7">
        <w:t xml:space="preserve"> and in a </w:t>
      </w:r>
      <w:hyperlink r:id="rId16" w:history="1">
        <w:r w:rsidR="007734C7" w:rsidRPr="005045FD">
          <w:rPr>
            <w:rStyle w:val="Hyperlink"/>
          </w:rPr>
          <w:t>Banning order</w:t>
        </w:r>
        <w:r w:rsidR="00DE5EDD">
          <w:rPr>
            <w:rStyle w:val="Hyperlink"/>
          </w:rPr>
          <w:t>s</w:t>
        </w:r>
        <w:r w:rsidR="007734C7" w:rsidRPr="005045FD">
          <w:rPr>
            <w:rStyle w:val="Hyperlink"/>
          </w:rPr>
          <w:t xml:space="preserve"> register</w:t>
        </w:r>
      </w:hyperlink>
      <w:r w:rsidR="005045FD">
        <w:rPr>
          <w:rStyle w:val="FootnoteReference"/>
        </w:rPr>
        <w:footnoteReference w:id="9"/>
      </w:r>
      <w:r w:rsidR="007734C7">
        <w:t>.</w:t>
      </w:r>
      <w:r w:rsidR="005A6962">
        <w:t xml:space="preserve"> Non</w:t>
      </w:r>
      <w:r w:rsidR="00B53E8F">
        <w:t>-</w:t>
      </w:r>
      <w:r w:rsidR="005A6962">
        <w:t xml:space="preserve">compliance decisions </w:t>
      </w:r>
      <w:r w:rsidR="001F1B21">
        <w:t xml:space="preserve">are also </w:t>
      </w:r>
      <w:r w:rsidR="005A212E">
        <w:t>published</w:t>
      </w:r>
      <w:r w:rsidR="002650ED">
        <w:t xml:space="preserve"> on </w:t>
      </w:r>
      <w:hyperlink r:id="rId17" w:history="1">
        <w:r w:rsidR="002650ED" w:rsidRPr="00852168">
          <w:rPr>
            <w:rStyle w:val="Hyperlink"/>
          </w:rPr>
          <w:t xml:space="preserve">My </w:t>
        </w:r>
        <w:r w:rsidR="003F4F1C" w:rsidRPr="00852168">
          <w:rPr>
            <w:rStyle w:val="Hyperlink"/>
          </w:rPr>
          <w:t>A</w:t>
        </w:r>
        <w:r w:rsidR="002650ED" w:rsidRPr="00852168">
          <w:rPr>
            <w:rStyle w:val="Hyperlink"/>
          </w:rPr>
          <w:t xml:space="preserve">ged </w:t>
        </w:r>
        <w:r w:rsidR="003F4F1C" w:rsidRPr="00852168">
          <w:rPr>
            <w:rStyle w:val="Hyperlink"/>
          </w:rPr>
          <w:t>C</w:t>
        </w:r>
        <w:r w:rsidR="002650ED" w:rsidRPr="00852168">
          <w:rPr>
            <w:rStyle w:val="Hyperlink"/>
          </w:rPr>
          <w:t xml:space="preserve">are </w:t>
        </w:r>
        <w:r w:rsidR="003F4F1C" w:rsidRPr="00852168">
          <w:rPr>
            <w:rStyle w:val="Hyperlink"/>
          </w:rPr>
          <w:t>website</w:t>
        </w:r>
      </w:hyperlink>
      <w:r w:rsidR="003F4F1C">
        <w:t xml:space="preserve"> </w:t>
      </w:r>
      <w:r w:rsidR="001F1B21">
        <w:t>and inform</w:t>
      </w:r>
      <w:r w:rsidR="006E013A">
        <w:t xml:space="preserve"> a provider’s</w:t>
      </w:r>
      <w:r w:rsidR="00125F73">
        <w:t xml:space="preserve"> </w:t>
      </w:r>
      <w:r w:rsidR="00687378">
        <w:t>Star Ratings.</w:t>
      </w:r>
    </w:p>
    <w:p w14:paraId="1B6333CA" w14:textId="6346DF08" w:rsidR="00F17E44" w:rsidRDefault="00F17E44" w:rsidP="00F17E44">
      <w:r>
        <w:t>The Commission has obligations under the Commission Act to not include personal information in published decisions about an aged care service.</w:t>
      </w:r>
      <w:r w:rsidR="00B6743F">
        <w:t xml:space="preserve"> </w:t>
      </w:r>
      <w:r>
        <w:t xml:space="preserve">However, the Commission Rules states that the Commission may publish personal information of individuals who have been given a banning order, in the </w:t>
      </w:r>
      <w:hyperlink r:id="rId18" w:history="1">
        <w:r w:rsidRPr="005045FD">
          <w:rPr>
            <w:rStyle w:val="Hyperlink"/>
          </w:rPr>
          <w:t>Banning order</w:t>
        </w:r>
        <w:r>
          <w:rPr>
            <w:rStyle w:val="Hyperlink"/>
          </w:rPr>
          <w:t>s</w:t>
        </w:r>
        <w:r w:rsidRPr="005045FD">
          <w:rPr>
            <w:rStyle w:val="Hyperlink"/>
          </w:rPr>
          <w:t xml:space="preserve"> register</w:t>
        </w:r>
      </w:hyperlink>
      <w:r>
        <w:t xml:space="preserve">. </w:t>
      </w:r>
    </w:p>
    <w:p w14:paraId="47C67C09" w14:textId="77777777" w:rsidR="00F17E44" w:rsidRDefault="00F17E44" w:rsidP="00F17E44">
      <w:r>
        <w:lastRenderedPageBreak/>
        <w:t xml:space="preserve">At all times, the Commission has obligations under the Commission Act to not make a record of, use, or disclose ‘protected information’ (which includes personal information) to another person where the disclosure is prohibited. The </w:t>
      </w:r>
      <w:hyperlink r:id="rId19" w:history="1">
        <w:r w:rsidRPr="00DC030E">
          <w:rPr>
            <w:rStyle w:val="Hyperlink"/>
            <w:i/>
            <w:iCs/>
          </w:rPr>
          <w:t>Privacy Act 1988</w:t>
        </w:r>
      </w:hyperlink>
      <w:r>
        <w:t xml:space="preserve"> and Australian Privacy Principles set out further obligations around the handling of personal information.</w:t>
      </w:r>
    </w:p>
    <w:p w14:paraId="40EDD51C" w14:textId="7DA450AC" w:rsidR="00DD4510" w:rsidRDefault="00DD4510" w:rsidP="00102513">
      <w:r>
        <w:t xml:space="preserve">For more information about the types of </w:t>
      </w:r>
      <w:r w:rsidR="00833883">
        <w:t>decisions</w:t>
      </w:r>
      <w:r>
        <w:t xml:space="preserve"> </w:t>
      </w:r>
      <w:r w:rsidR="006D0334">
        <w:t xml:space="preserve">and information </w:t>
      </w:r>
      <w:r>
        <w:t>the Commission publishes about provider</w:t>
      </w:r>
      <w:r w:rsidR="00B81626">
        <w:t>s</w:t>
      </w:r>
      <w:r>
        <w:t xml:space="preserve"> refer to the </w:t>
      </w:r>
      <w:hyperlink r:id="rId20" w:history="1">
        <w:r w:rsidRPr="00247EBB">
          <w:rPr>
            <w:rStyle w:val="Hyperlink"/>
          </w:rPr>
          <w:t>Commission’s Regulatory Bulletin on Publication of provider performance informatio</w:t>
        </w:r>
        <w:r w:rsidR="001A4CE9">
          <w:rPr>
            <w:rStyle w:val="Hyperlink"/>
          </w:rPr>
          <w:t>n</w:t>
        </w:r>
        <w:r w:rsidR="001A4CE9">
          <w:rPr>
            <w:rStyle w:val="FootnoteReference"/>
            <w:color w:val="0563C1" w:themeColor="hyperlink"/>
            <w:u w:val="single"/>
          </w:rPr>
          <w:footnoteReference w:id="10"/>
        </w:r>
      </w:hyperlink>
      <w:r>
        <w:t>.</w:t>
      </w:r>
    </w:p>
    <w:p w14:paraId="05FB8005" w14:textId="77777777" w:rsidR="00FC0D35" w:rsidRDefault="00FC0D35" w:rsidP="00FC0D35">
      <w:pPr>
        <w:pStyle w:val="Heading1"/>
      </w:pPr>
      <w:r>
        <w:t>Need to know more?</w:t>
      </w:r>
    </w:p>
    <w:p w14:paraId="22A180E8" w14:textId="63A9B317" w:rsidR="006338ED" w:rsidRPr="00C72460" w:rsidRDefault="00FC0D35" w:rsidP="00FC0D35">
      <w:pPr>
        <w:rPr>
          <w:rFonts w:cs="Times New Roman"/>
          <w:bCs/>
        </w:rPr>
      </w:pPr>
      <w:r w:rsidRPr="00C72460">
        <w:rPr>
          <w:bCs/>
        </w:rPr>
        <w:t xml:space="preserve">If you have any questions </w:t>
      </w:r>
      <w:r w:rsidR="002407DF" w:rsidRPr="00C72460">
        <w:rPr>
          <w:bCs/>
        </w:rPr>
        <w:t>or feedback on this Bulletin</w:t>
      </w:r>
      <w:r w:rsidR="00DE6B55" w:rsidRPr="00C72460">
        <w:rPr>
          <w:bCs/>
        </w:rPr>
        <w:t>,</w:t>
      </w:r>
      <w:r w:rsidR="002407DF" w:rsidRPr="00C72460">
        <w:rPr>
          <w:bCs/>
        </w:rPr>
        <w:t xml:space="preserve"> </w:t>
      </w:r>
      <w:r w:rsidR="006E5554" w:rsidRPr="00C72460">
        <w:rPr>
          <w:bCs/>
        </w:rPr>
        <w:t>send an</w:t>
      </w:r>
      <w:r w:rsidRPr="00C72460">
        <w:rPr>
          <w:bCs/>
        </w:rPr>
        <w:t xml:space="preserve"> email </w:t>
      </w:r>
      <w:r w:rsidR="006E5554" w:rsidRPr="00C72460">
        <w:rPr>
          <w:bCs/>
        </w:rPr>
        <w:t>t</w:t>
      </w:r>
      <w:r w:rsidRPr="00C72460">
        <w:rPr>
          <w:bCs/>
        </w:rPr>
        <w:t xml:space="preserve">o: </w:t>
      </w:r>
      <w:hyperlink r:id="rId21" w:history="1">
        <w:r w:rsidR="00C663AD" w:rsidRPr="00C72460">
          <w:rPr>
            <w:rStyle w:val="Hyperlink"/>
            <w:bCs/>
          </w:rPr>
          <w:t>info@agedcarequality.gov.au</w:t>
        </w:r>
      </w:hyperlink>
      <w:r w:rsidR="006E5554" w:rsidRPr="00C72460">
        <w:rPr>
          <w:rStyle w:val="Hyperlink"/>
          <w:bCs/>
        </w:rPr>
        <w:t xml:space="preserve"> </w:t>
      </w:r>
    </w:p>
    <w:p w14:paraId="463359B1" w14:textId="44F9E630" w:rsidR="0080605C" w:rsidRPr="00C72460" w:rsidRDefault="00FC0D35" w:rsidP="00FC0D35">
      <w:pPr>
        <w:rPr>
          <w:bCs/>
        </w:rPr>
      </w:pPr>
      <w:r w:rsidRPr="00C72460">
        <w:rPr>
          <w:rFonts w:cs="Times New Roman"/>
          <w:bCs/>
        </w:rPr>
        <w:t xml:space="preserve">Stay up to date with Regulatory Bulletin releases by </w:t>
      </w:r>
      <w:hyperlink r:id="rId22" w:history="1">
        <w:r w:rsidR="005A6318" w:rsidRPr="00C72460">
          <w:rPr>
            <w:rStyle w:val="Hyperlink"/>
            <w:rFonts w:cs="Times New Roman"/>
            <w:bCs/>
          </w:rPr>
          <w:t>subscribing to the Commission’s newsletter</w:t>
        </w:r>
        <w:r w:rsidR="005A6318" w:rsidRPr="00C72460">
          <w:rPr>
            <w:rStyle w:val="FootnoteReference"/>
            <w:rFonts w:cs="Times New Roman"/>
            <w:bCs/>
            <w:color w:val="0563C1" w:themeColor="hyperlink"/>
            <w:u w:val="single"/>
          </w:rPr>
          <w:footnoteReference w:id="11"/>
        </w:r>
      </w:hyperlink>
      <w:r w:rsidRPr="00C72460">
        <w:rPr>
          <w:rFonts w:cs="Times New Roman"/>
          <w:bCs/>
        </w:rPr>
        <w:t>.</w:t>
      </w:r>
    </w:p>
    <w:p w14:paraId="12976B43" w14:textId="3B04A794" w:rsidR="0080605C" w:rsidRDefault="0080605C">
      <w:pPr>
        <w:spacing w:before="0" w:after="160" w:line="259" w:lineRule="auto"/>
        <w:rPr>
          <w:bCs/>
        </w:rPr>
      </w:pPr>
      <w:r>
        <w:rPr>
          <w:bCs/>
        </w:rPr>
        <w:br w:type="page"/>
      </w:r>
    </w:p>
    <w:p w14:paraId="0FB00D22" w14:textId="727D3218" w:rsidR="00144ECF" w:rsidRDefault="0025020F" w:rsidP="00144ECF">
      <w:pPr>
        <w:pStyle w:val="Heading1"/>
      </w:pPr>
      <w:r>
        <w:lastRenderedPageBreak/>
        <w:t>Attachment A</w:t>
      </w:r>
    </w:p>
    <w:p w14:paraId="28DF728F" w14:textId="0E39018E" w:rsidR="0025020F" w:rsidRDefault="0025020F" w:rsidP="00C72460">
      <w:pPr>
        <w:spacing w:after="240"/>
        <w:rPr>
          <w:rFonts w:ascii="Fira Sans" w:eastAsia="SimSun" w:hAnsi="Fira Sans"/>
          <w:b/>
          <w:sz w:val="22"/>
          <w:szCs w:val="24"/>
        </w:rPr>
      </w:pPr>
      <w:r>
        <w:t>Tables A, B and C</w:t>
      </w:r>
      <w:r w:rsidR="0041725C">
        <w:t xml:space="preserve"> set out the Commission regulatory decisions under the Aged Care Act, Commission Act and Commission Rules respectively.</w:t>
      </w:r>
    </w:p>
    <w:p w14:paraId="08557BEF" w14:textId="11CAB71C" w:rsidR="0080605C" w:rsidRPr="005542C3" w:rsidRDefault="0080605C" w:rsidP="0080605C">
      <w:pPr>
        <w:widowControl w:val="0"/>
        <w:spacing w:before="0" w:line="22" w:lineRule="atLeast"/>
        <w:rPr>
          <w:rFonts w:eastAsia="SimSun"/>
          <w:b/>
          <w:sz w:val="22"/>
          <w:szCs w:val="24"/>
        </w:rPr>
      </w:pPr>
      <w:r w:rsidRPr="005542C3">
        <w:rPr>
          <w:rFonts w:eastAsia="SimSun"/>
          <w:b/>
          <w:sz w:val="22"/>
          <w:szCs w:val="24"/>
        </w:rPr>
        <w:t xml:space="preserve">Table A: Regulatory decisions within the Aged Care Act </w:t>
      </w:r>
    </w:p>
    <w:tbl>
      <w:tblPr>
        <w:tblStyle w:val="TableGrid2"/>
        <w:tblW w:w="978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8"/>
        <w:gridCol w:w="3493"/>
      </w:tblGrid>
      <w:tr w:rsidR="0080605C" w:rsidRPr="005542C3" w14:paraId="07E8C945" w14:textId="77777777" w:rsidTr="005B0700">
        <w:tc>
          <w:tcPr>
            <w:tcW w:w="5103" w:type="dxa"/>
            <w:tcBorders>
              <w:top w:val="single" w:sz="4" w:space="0" w:color="auto"/>
              <w:bottom w:val="single" w:sz="4" w:space="0" w:color="auto"/>
            </w:tcBorders>
            <w:shd w:val="clear" w:color="auto" w:fill="00577D"/>
          </w:tcPr>
          <w:p w14:paraId="5280309A" w14:textId="77777777" w:rsidR="0080605C" w:rsidRPr="005542C3" w:rsidRDefault="0080605C" w:rsidP="005B0700">
            <w:pPr>
              <w:spacing w:before="60" w:after="60" w:line="22" w:lineRule="atLeast"/>
              <w:rPr>
                <w:b/>
                <w:color w:val="FFFFFF"/>
                <w:sz w:val="22"/>
                <w:szCs w:val="24"/>
              </w:rPr>
            </w:pPr>
            <w:r w:rsidRPr="005542C3">
              <w:rPr>
                <w:b/>
                <w:color w:val="FFFFFF"/>
                <w:sz w:val="22"/>
                <w:szCs w:val="24"/>
              </w:rPr>
              <w:t>Type of Regulatory Decision</w:t>
            </w:r>
          </w:p>
        </w:tc>
        <w:tc>
          <w:tcPr>
            <w:tcW w:w="2835" w:type="dxa"/>
            <w:tcBorders>
              <w:top w:val="single" w:sz="4" w:space="0" w:color="auto"/>
              <w:bottom w:val="single" w:sz="4" w:space="0" w:color="auto"/>
            </w:tcBorders>
            <w:shd w:val="clear" w:color="auto" w:fill="00577D"/>
          </w:tcPr>
          <w:p w14:paraId="1AD5674E" w14:textId="77777777" w:rsidR="0080605C" w:rsidRPr="005542C3" w:rsidRDefault="0080605C" w:rsidP="005B0700">
            <w:pPr>
              <w:spacing w:before="60" w:after="60" w:line="22" w:lineRule="atLeast"/>
              <w:rPr>
                <w:b/>
                <w:color w:val="FFFFFF"/>
                <w:sz w:val="22"/>
                <w:szCs w:val="24"/>
              </w:rPr>
            </w:pPr>
            <w:r w:rsidRPr="005542C3">
              <w:rPr>
                <w:b/>
                <w:color w:val="FFFFFF"/>
                <w:sz w:val="22"/>
                <w:szCs w:val="24"/>
              </w:rPr>
              <w:t xml:space="preserve">Relevant section </w:t>
            </w:r>
          </w:p>
        </w:tc>
      </w:tr>
      <w:tr w:rsidR="0080605C" w:rsidRPr="00694F59" w14:paraId="20AC96A9" w14:textId="77777777" w:rsidTr="005B0700">
        <w:tc>
          <w:tcPr>
            <w:tcW w:w="5103" w:type="dxa"/>
            <w:tcBorders>
              <w:top w:val="single" w:sz="4" w:space="0" w:color="auto"/>
              <w:bottom w:val="single" w:sz="4" w:space="0" w:color="auto"/>
            </w:tcBorders>
          </w:tcPr>
          <w:p w14:paraId="087E1CCF" w14:textId="77777777" w:rsidR="0080605C" w:rsidRPr="005B0700" w:rsidRDefault="0080605C" w:rsidP="005B0700">
            <w:pPr>
              <w:spacing w:before="60" w:after="60" w:line="22" w:lineRule="atLeast"/>
              <w:rPr>
                <w:sz w:val="22"/>
                <w:szCs w:val="24"/>
              </w:rPr>
            </w:pPr>
            <w:r w:rsidRPr="005B0700">
              <w:rPr>
                <w:sz w:val="22"/>
                <w:szCs w:val="24"/>
              </w:rPr>
              <w:t xml:space="preserve">A decision to </w:t>
            </w:r>
            <w:proofErr w:type="gramStart"/>
            <w:r w:rsidRPr="005B0700">
              <w:rPr>
                <w:sz w:val="22"/>
                <w:szCs w:val="24"/>
              </w:rPr>
              <w:t>make a determination</w:t>
            </w:r>
            <w:proofErr w:type="gramEnd"/>
            <w:r w:rsidRPr="005B0700">
              <w:rPr>
                <w:sz w:val="22"/>
                <w:szCs w:val="24"/>
              </w:rPr>
              <w:t xml:space="preserve"> in relation to an individual who is one of the key personnel of an approved provider</w:t>
            </w:r>
          </w:p>
        </w:tc>
        <w:tc>
          <w:tcPr>
            <w:tcW w:w="2835" w:type="dxa"/>
            <w:tcBorders>
              <w:top w:val="single" w:sz="4" w:space="0" w:color="auto"/>
              <w:bottom w:val="single" w:sz="4" w:space="0" w:color="auto"/>
            </w:tcBorders>
          </w:tcPr>
          <w:p w14:paraId="6923E246" w14:textId="77777777" w:rsidR="0080605C" w:rsidRPr="005B0700" w:rsidRDefault="0080605C" w:rsidP="005B0700">
            <w:pPr>
              <w:spacing w:before="60" w:after="60" w:line="22" w:lineRule="atLeast"/>
              <w:rPr>
                <w:sz w:val="22"/>
                <w:szCs w:val="24"/>
              </w:rPr>
            </w:pPr>
            <w:r w:rsidRPr="005B0700">
              <w:rPr>
                <w:sz w:val="22"/>
                <w:szCs w:val="24"/>
              </w:rPr>
              <w:t>section 10A-2, Div 10A, Part 2.1</w:t>
            </w:r>
          </w:p>
        </w:tc>
      </w:tr>
      <w:tr w:rsidR="0080605C" w:rsidRPr="00694F59" w14:paraId="37A8AF21" w14:textId="77777777" w:rsidTr="005B0700">
        <w:tc>
          <w:tcPr>
            <w:tcW w:w="5103" w:type="dxa"/>
            <w:tcBorders>
              <w:top w:val="single" w:sz="4" w:space="0" w:color="auto"/>
              <w:bottom w:val="single" w:sz="4" w:space="0" w:color="auto"/>
            </w:tcBorders>
          </w:tcPr>
          <w:p w14:paraId="181C9535" w14:textId="77777777" w:rsidR="0080605C" w:rsidRPr="005B0700" w:rsidRDefault="0080605C" w:rsidP="005B0700">
            <w:pPr>
              <w:spacing w:before="60" w:after="60" w:line="22" w:lineRule="atLeast"/>
              <w:rPr>
                <w:sz w:val="22"/>
                <w:szCs w:val="24"/>
              </w:rPr>
            </w:pPr>
            <w:r w:rsidRPr="005B0700">
              <w:rPr>
                <w:sz w:val="22"/>
                <w:szCs w:val="24"/>
              </w:rPr>
              <w:t xml:space="preserve">A decision to make or not to </w:t>
            </w:r>
            <w:proofErr w:type="gramStart"/>
            <w:r w:rsidRPr="005B0700">
              <w:rPr>
                <w:sz w:val="22"/>
                <w:szCs w:val="24"/>
              </w:rPr>
              <w:t>make a determination</w:t>
            </w:r>
            <w:proofErr w:type="gramEnd"/>
            <w:r w:rsidRPr="005B0700">
              <w:rPr>
                <w:sz w:val="22"/>
                <w:szCs w:val="24"/>
              </w:rPr>
              <w:t xml:space="preserve"> that certain responsibilities relating to the governing body of an approved provider do not apply</w:t>
            </w:r>
          </w:p>
        </w:tc>
        <w:tc>
          <w:tcPr>
            <w:tcW w:w="2835" w:type="dxa"/>
            <w:tcBorders>
              <w:top w:val="single" w:sz="4" w:space="0" w:color="auto"/>
              <w:bottom w:val="single" w:sz="4" w:space="0" w:color="auto"/>
            </w:tcBorders>
          </w:tcPr>
          <w:p w14:paraId="1B94D47E" w14:textId="77777777" w:rsidR="0080605C" w:rsidRPr="005B0700" w:rsidRDefault="0080605C" w:rsidP="005B0700">
            <w:pPr>
              <w:spacing w:before="60" w:after="60" w:line="22" w:lineRule="atLeast"/>
              <w:rPr>
                <w:sz w:val="22"/>
                <w:szCs w:val="24"/>
              </w:rPr>
            </w:pPr>
            <w:r w:rsidRPr="005B0700">
              <w:rPr>
                <w:sz w:val="22"/>
                <w:szCs w:val="24"/>
              </w:rPr>
              <w:t>section 63-1E, Div 63, Part 4.3</w:t>
            </w:r>
          </w:p>
        </w:tc>
      </w:tr>
      <w:tr w:rsidR="0080605C" w:rsidRPr="00694F59" w14:paraId="36FDB50F" w14:textId="77777777" w:rsidTr="005B0700">
        <w:tc>
          <w:tcPr>
            <w:tcW w:w="5103" w:type="dxa"/>
            <w:tcBorders>
              <w:top w:val="single" w:sz="4" w:space="0" w:color="auto"/>
              <w:bottom w:val="single" w:sz="4" w:space="0" w:color="auto"/>
            </w:tcBorders>
          </w:tcPr>
          <w:p w14:paraId="5D535828" w14:textId="77777777" w:rsidR="0080605C" w:rsidRPr="005B0700" w:rsidRDefault="0080605C" w:rsidP="005B0700">
            <w:pPr>
              <w:spacing w:before="60" w:after="60" w:line="22" w:lineRule="atLeast"/>
              <w:rPr>
                <w:sz w:val="22"/>
                <w:szCs w:val="24"/>
              </w:rPr>
            </w:pPr>
            <w:r w:rsidRPr="005B0700">
              <w:rPr>
                <w:sz w:val="22"/>
                <w:szCs w:val="24"/>
              </w:rPr>
              <w:t>A decision to vary or revoke a determination made under subsection 63-1</w:t>
            </w:r>
            <w:proofErr w:type="gramStart"/>
            <w:r w:rsidRPr="005B0700">
              <w:rPr>
                <w:sz w:val="22"/>
                <w:szCs w:val="24"/>
              </w:rPr>
              <w:t>E(</w:t>
            </w:r>
            <w:proofErr w:type="gramEnd"/>
            <w:r w:rsidRPr="005B0700">
              <w:rPr>
                <w:sz w:val="22"/>
                <w:szCs w:val="24"/>
              </w:rPr>
              <w:t>3) of the Aged Care Act in relation to an approved provider</w:t>
            </w:r>
          </w:p>
        </w:tc>
        <w:tc>
          <w:tcPr>
            <w:tcW w:w="2835" w:type="dxa"/>
            <w:tcBorders>
              <w:top w:val="single" w:sz="4" w:space="0" w:color="auto"/>
              <w:bottom w:val="single" w:sz="4" w:space="0" w:color="auto"/>
            </w:tcBorders>
          </w:tcPr>
          <w:p w14:paraId="6169E832" w14:textId="77777777" w:rsidR="0080605C" w:rsidRPr="005B0700" w:rsidRDefault="0080605C" w:rsidP="005B0700">
            <w:pPr>
              <w:spacing w:before="60" w:after="60" w:line="22" w:lineRule="atLeast"/>
              <w:rPr>
                <w:sz w:val="22"/>
                <w:szCs w:val="24"/>
              </w:rPr>
            </w:pPr>
            <w:r w:rsidRPr="005B0700">
              <w:rPr>
                <w:sz w:val="22"/>
                <w:szCs w:val="24"/>
              </w:rPr>
              <w:t>section 63-1F, Div 63, Part 4.3</w:t>
            </w:r>
          </w:p>
        </w:tc>
      </w:tr>
    </w:tbl>
    <w:p w14:paraId="3E17D3B2" w14:textId="77777777" w:rsidR="0080605C" w:rsidRPr="005B0700" w:rsidRDefault="0080605C" w:rsidP="0080605C">
      <w:pPr>
        <w:widowControl w:val="0"/>
        <w:spacing w:before="0" w:line="22" w:lineRule="atLeast"/>
        <w:rPr>
          <w:rFonts w:eastAsia="SimSun"/>
          <w:b/>
          <w:sz w:val="22"/>
          <w:szCs w:val="24"/>
        </w:rPr>
      </w:pPr>
    </w:p>
    <w:p w14:paraId="332125F0" w14:textId="77777777" w:rsidR="0080605C" w:rsidRPr="005B0700" w:rsidRDefault="0080605C" w:rsidP="0080605C">
      <w:pPr>
        <w:widowControl w:val="0"/>
        <w:spacing w:before="0" w:line="22" w:lineRule="atLeast"/>
        <w:rPr>
          <w:rFonts w:eastAsia="SimSun"/>
          <w:b/>
          <w:sz w:val="22"/>
          <w:szCs w:val="24"/>
        </w:rPr>
      </w:pPr>
      <w:r w:rsidRPr="005B0700">
        <w:rPr>
          <w:rFonts w:eastAsia="SimSun"/>
          <w:b/>
          <w:sz w:val="22"/>
          <w:szCs w:val="24"/>
        </w:rPr>
        <w:t xml:space="preserve">Table B: Regulatory decisions within the Commission Act </w:t>
      </w:r>
    </w:p>
    <w:tbl>
      <w:tblPr>
        <w:tblStyle w:val="TableGrid3"/>
        <w:tblW w:w="978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260"/>
      </w:tblGrid>
      <w:tr w:rsidR="0080605C" w:rsidRPr="00694F59" w14:paraId="019742A5" w14:textId="77777777" w:rsidTr="005B0700">
        <w:trPr>
          <w:tblHeader/>
        </w:trPr>
        <w:tc>
          <w:tcPr>
            <w:tcW w:w="5103" w:type="dxa"/>
            <w:tcBorders>
              <w:top w:val="single" w:sz="4" w:space="0" w:color="auto"/>
              <w:bottom w:val="single" w:sz="4" w:space="0" w:color="auto"/>
            </w:tcBorders>
            <w:shd w:val="clear" w:color="auto" w:fill="00577D"/>
          </w:tcPr>
          <w:p w14:paraId="19B92C9A" w14:textId="77777777" w:rsidR="0080605C" w:rsidRPr="005B0700" w:rsidRDefault="0080605C" w:rsidP="005B0700">
            <w:pPr>
              <w:spacing w:before="60" w:after="60" w:line="22" w:lineRule="atLeast"/>
              <w:rPr>
                <w:b/>
                <w:color w:val="FFFFFF"/>
                <w:sz w:val="22"/>
                <w:szCs w:val="24"/>
              </w:rPr>
            </w:pPr>
            <w:r w:rsidRPr="005B0700">
              <w:rPr>
                <w:b/>
                <w:color w:val="FFFFFF"/>
                <w:sz w:val="22"/>
                <w:szCs w:val="24"/>
              </w:rPr>
              <w:t>Type of Regulatory Decision</w:t>
            </w:r>
          </w:p>
        </w:tc>
        <w:tc>
          <w:tcPr>
            <w:tcW w:w="2551" w:type="dxa"/>
            <w:tcBorders>
              <w:top w:val="single" w:sz="4" w:space="0" w:color="auto"/>
              <w:bottom w:val="single" w:sz="4" w:space="0" w:color="auto"/>
            </w:tcBorders>
            <w:shd w:val="clear" w:color="auto" w:fill="00577D"/>
          </w:tcPr>
          <w:p w14:paraId="6FF0BD33" w14:textId="77777777" w:rsidR="0080605C" w:rsidRPr="005B0700" w:rsidRDefault="0080605C" w:rsidP="005B0700">
            <w:pPr>
              <w:spacing w:before="60" w:after="60" w:line="22" w:lineRule="atLeast"/>
              <w:rPr>
                <w:b/>
                <w:color w:val="FFFFFF"/>
                <w:sz w:val="22"/>
                <w:szCs w:val="24"/>
              </w:rPr>
            </w:pPr>
            <w:r w:rsidRPr="005B0700">
              <w:rPr>
                <w:b/>
                <w:color w:val="FFFFFF"/>
                <w:sz w:val="22"/>
                <w:szCs w:val="24"/>
              </w:rPr>
              <w:t xml:space="preserve">Relevant section </w:t>
            </w:r>
          </w:p>
        </w:tc>
      </w:tr>
      <w:tr w:rsidR="0080605C" w:rsidRPr="00694F59" w14:paraId="6E24EFA2" w14:textId="77777777" w:rsidTr="005B0700">
        <w:tc>
          <w:tcPr>
            <w:tcW w:w="5103" w:type="dxa"/>
            <w:tcBorders>
              <w:top w:val="single" w:sz="4" w:space="0" w:color="auto"/>
              <w:bottom w:val="single" w:sz="4" w:space="0" w:color="auto"/>
            </w:tcBorders>
          </w:tcPr>
          <w:p w14:paraId="22E463D3" w14:textId="77777777" w:rsidR="0080605C" w:rsidRPr="005B0700" w:rsidRDefault="0080605C" w:rsidP="005B0700">
            <w:pPr>
              <w:spacing w:before="60" w:after="60" w:line="22" w:lineRule="atLeast"/>
              <w:rPr>
                <w:sz w:val="22"/>
                <w:szCs w:val="24"/>
              </w:rPr>
            </w:pPr>
            <w:r w:rsidRPr="005B0700">
              <w:rPr>
                <w:sz w:val="22"/>
                <w:szCs w:val="24"/>
              </w:rPr>
              <w:t>A decision to approve or not approve a person as a provider of aged care</w:t>
            </w:r>
          </w:p>
        </w:tc>
        <w:tc>
          <w:tcPr>
            <w:tcW w:w="2551" w:type="dxa"/>
            <w:tcBorders>
              <w:top w:val="single" w:sz="4" w:space="0" w:color="auto"/>
              <w:bottom w:val="single" w:sz="4" w:space="0" w:color="auto"/>
            </w:tcBorders>
          </w:tcPr>
          <w:p w14:paraId="2ED64BC1" w14:textId="77777777" w:rsidR="0080605C" w:rsidRPr="005B0700" w:rsidRDefault="0080605C" w:rsidP="005B0700">
            <w:pPr>
              <w:spacing w:before="60" w:after="60" w:line="22" w:lineRule="atLeast"/>
              <w:rPr>
                <w:sz w:val="22"/>
                <w:szCs w:val="24"/>
              </w:rPr>
            </w:pPr>
            <w:r w:rsidRPr="005B0700">
              <w:rPr>
                <w:sz w:val="22"/>
                <w:szCs w:val="24"/>
              </w:rPr>
              <w:t xml:space="preserve">section 63D, Div 2, Part 7A </w:t>
            </w:r>
          </w:p>
        </w:tc>
      </w:tr>
      <w:tr w:rsidR="0080605C" w:rsidRPr="00694F59" w14:paraId="0393429E" w14:textId="77777777" w:rsidTr="005B0700">
        <w:tc>
          <w:tcPr>
            <w:tcW w:w="5103" w:type="dxa"/>
            <w:tcBorders>
              <w:top w:val="single" w:sz="4" w:space="0" w:color="auto"/>
              <w:bottom w:val="single" w:sz="4" w:space="0" w:color="auto"/>
            </w:tcBorders>
          </w:tcPr>
          <w:p w14:paraId="1A0A0B1C" w14:textId="77777777" w:rsidR="0080605C" w:rsidRPr="005B0700" w:rsidRDefault="0080605C" w:rsidP="005B0700">
            <w:pPr>
              <w:spacing w:before="60" w:after="60" w:line="22" w:lineRule="atLeast"/>
              <w:rPr>
                <w:sz w:val="22"/>
                <w:szCs w:val="24"/>
              </w:rPr>
            </w:pPr>
            <w:r w:rsidRPr="005B0700">
              <w:rPr>
                <w:sz w:val="22"/>
                <w:szCs w:val="24"/>
              </w:rPr>
              <w:t>A decision to revoke or not to revoke the approval of an approved provider following a request from the provider</w:t>
            </w:r>
          </w:p>
        </w:tc>
        <w:tc>
          <w:tcPr>
            <w:tcW w:w="2551" w:type="dxa"/>
            <w:tcBorders>
              <w:top w:val="single" w:sz="4" w:space="0" w:color="auto"/>
              <w:bottom w:val="single" w:sz="4" w:space="0" w:color="auto"/>
            </w:tcBorders>
          </w:tcPr>
          <w:p w14:paraId="0E58E699" w14:textId="77777777" w:rsidR="0080605C" w:rsidRPr="005B0700" w:rsidRDefault="0080605C" w:rsidP="005B0700">
            <w:pPr>
              <w:spacing w:before="60" w:after="60" w:line="22" w:lineRule="atLeast"/>
              <w:rPr>
                <w:sz w:val="22"/>
                <w:szCs w:val="24"/>
              </w:rPr>
            </w:pPr>
            <w:r w:rsidRPr="005B0700">
              <w:rPr>
                <w:sz w:val="22"/>
                <w:szCs w:val="24"/>
              </w:rPr>
              <w:t>section 63H, Div 4, Part 7A</w:t>
            </w:r>
          </w:p>
        </w:tc>
      </w:tr>
      <w:tr w:rsidR="0080605C" w:rsidRPr="00694F59" w14:paraId="3EFBA3D1" w14:textId="77777777" w:rsidTr="005B0700">
        <w:tc>
          <w:tcPr>
            <w:tcW w:w="5103" w:type="dxa"/>
            <w:tcBorders>
              <w:top w:val="single" w:sz="4" w:space="0" w:color="auto"/>
              <w:bottom w:val="single" w:sz="4" w:space="0" w:color="auto"/>
            </w:tcBorders>
          </w:tcPr>
          <w:p w14:paraId="436F625E" w14:textId="77777777" w:rsidR="0080605C" w:rsidRPr="005B0700" w:rsidRDefault="0080605C" w:rsidP="005B0700">
            <w:pPr>
              <w:spacing w:before="60" w:after="60" w:line="22" w:lineRule="atLeast"/>
              <w:rPr>
                <w:sz w:val="22"/>
                <w:szCs w:val="24"/>
              </w:rPr>
            </w:pPr>
            <w:r w:rsidRPr="005B0700">
              <w:rPr>
                <w:sz w:val="22"/>
                <w:szCs w:val="24"/>
              </w:rPr>
              <w:t>A decision to revoke approval of an approved provider if satisfied of certain matters</w:t>
            </w:r>
          </w:p>
        </w:tc>
        <w:tc>
          <w:tcPr>
            <w:tcW w:w="2551" w:type="dxa"/>
            <w:tcBorders>
              <w:top w:val="single" w:sz="4" w:space="0" w:color="auto"/>
              <w:bottom w:val="single" w:sz="4" w:space="0" w:color="auto"/>
            </w:tcBorders>
          </w:tcPr>
          <w:p w14:paraId="231D881E" w14:textId="77777777" w:rsidR="0080605C" w:rsidRPr="005B0700" w:rsidRDefault="0080605C" w:rsidP="005B0700">
            <w:pPr>
              <w:spacing w:before="60" w:after="60" w:line="22" w:lineRule="atLeast"/>
              <w:rPr>
                <w:sz w:val="22"/>
                <w:szCs w:val="24"/>
              </w:rPr>
            </w:pPr>
            <w:r w:rsidRPr="005B0700">
              <w:rPr>
                <w:sz w:val="22"/>
                <w:szCs w:val="24"/>
              </w:rPr>
              <w:t>section 63J, Div 4, Part 7A</w:t>
            </w:r>
          </w:p>
        </w:tc>
      </w:tr>
      <w:tr w:rsidR="0080605C" w:rsidRPr="00694F59" w14:paraId="7E61B905" w14:textId="77777777" w:rsidTr="005B0700">
        <w:tc>
          <w:tcPr>
            <w:tcW w:w="5103" w:type="dxa"/>
            <w:tcBorders>
              <w:top w:val="single" w:sz="4" w:space="0" w:color="auto"/>
              <w:bottom w:val="single" w:sz="4" w:space="0" w:color="auto"/>
            </w:tcBorders>
          </w:tcPr>
          <w:p w14:paraId="56C85640" w14:textId="77777777" w:rsidR="0080605C" w:rsidRPr="005B0700" w:rsidRDefault="0080605C" w:rsidP="005B0700">
            <w:pPr>
              <w:spacing w:before="60" w:after="60" w:line="22" w:lineRule="atLeast"/>
              <w:rPr>
                <w:bCs/>
                <w:sz w:val="22"/>
              </w:rPr>
            </w:pPr>
            <w:r w:rsidRPr="005B0700">
              <w:rPr>
                <w:bCs/>
                <w:sz w:val="22"/>
              </w:rPr>
              <w:t>A decision to impose sanctions for non-compliance with aged care responsibilities</w:t>
            </w:r>
          </w:p>
        </w:tc>
        <w:tc>
          <w:tcPr>
            <w:tcW w:w="2551" w:type="dxa"/>
            <w:tcBorders>
              <w:top w:val="single" w:sz="4" w:space="0" w:color="auto"/>
              <w:bottom w:val="single" w:sz="4" w:space="0" w:color="auto"/>
            </w:tcBorders>
          </w:tcPr>
          <w:p w14:paraId="5EA1C079" w14:textId="77777777" w:rsidR="0080605C" w:rsidRPr="005B0700" w:rsidRDefault="0080605C" w:rsidP="005B0700">
            <w:pPr>
              <w:spacing w:before="60" w:after="60" w:line="22" w:lineRule="atLeast"/>
              <w:rPr>
                <w:sz w:val="22"/>
                <w:szCs w:val="24"/>
              </w:rPr>
            </w:pPr>
            <w:r w:rsidRPr="005B0700">
              <w:rPr>
                <w:sz w:val="22"/>
                <w:szCs w:val="24"/>
              </w:rPr>
              <w:t>section 63N, Div 2, Part 7B</w:t>
            </w:r>
          </w:p>
        </w:tc>
      </w:tr>
      <w:tr w:rsidR="0080605C" w:rsidRPr="00694F59" w14:paraId="07EC8EF5" w14:textId="77777777" w:rsidTr="005B0700">
        <w:tc>
          <w:tcPr>
            <w:tcW w:w="5103" w:type="dxa"/>
            <w:tcBorders>
              <w:top w:val="single" w:sz="4" w:space="0" w:color="auto"/>
              <w:bottom w:val="single" w:sz="4" w:space="0" w:color="auto"/>
            </w:tcBorders>
          </w:tcPr>
          <w:p w14:paraId="0603F792" w14:textId="77777777" w:rsidR="0080605C" w:rsidRPr="005B0700" w:rsidRDefault="0080605C" w:rsidP="005B0700">
            <w:pPr>
              <w:spacing w:before="60" w:after="60" w:line="22" w:lineRule="atLeast"/>
              <w:rPr>
                <w:sz w:val="22"/>
                <w:szCs w:val="24"/>
              </w:rPr>
            </w:pPr>
            <w:r w:rsidRPr="005B0700">
              <w:rPr>
                <w:sz w:val="22"/>
                <w:szCs w:val="24"/>
              </w:rPr>
              <w:t>A decision to notify a provider of intention to impose sanctions on the provider in relation to non-compliance</w:t>
            </w:r>
          </w:p>
        </w:tc>
        <w:tc>
          <w:tcPr>
            <w:tcW w:w="2551" w:type="dxa"/>
            <w:tcBorders>
              <w:top w:val="single" w:sz="4" w:space="0" w:color="auto"/>
              <w:bottom w:val="single" w:sz="4" w:space="0" w:color="auto"/>
            </w:tcBorders>
          </w:tcPr>
          <w:p w14:paraId="613D4E2A" w14:textId="77777777" w:rsidR="0080605C" w:rsidRPr="005B0700" w:rsidRDefault="0080605C" w:rsidP="005B0700">
            <w:pPr>
              <w:spacing w:before="60" w:after="60" w:line="22" w:lineRule="atLeast"/>
              <w:rPr>
                <w:sz w:val="22"/>
                <w:szCs w:val="24"/>
              </w:rPr>
            </w:pPr>
            <w:r w:rsidRPr="005B0700">
              <w:rPr>
                <w:sz w:val="22"/>
                <w:szCs w:val="24"/>
              </w:rPr>
              <w:t>section 63S, Div 3, Part 7B</w:t>
            </w:r>
          </w:p>
        </w:tc>
      </w:tr>
      <w:tr w:rsidR="0080605C" w:rsidRPr="00694F59" w14:paraId="499130D2" w14:textId="77777777" w:rsidTr="005B0700">
        <w:tc>
          <w:tcPr>
            <w:tcW w:w="5103" w:type="dxa"/>
            <w:tcBorders>
              <w:top w:val="single" w:sz="4" w:space="0" w:color="auto"/>
              <w:bottom w:val="single" w:sz="4" w:space="0" w:color="auto"/>
            </w:tcBorders>
          </w:tcPr>
          <w:p w14:paraId="1934FD7C" w14:textId="77777777" w:rsidR="0080605C" w:rsidRPr="005B0700" w:rsidRDefault="0080605C" w:rsidP="005B0700">
            <w:pPr>
              <w:widowControl w:val="0"/>
              <w:spacing w:before="60" w:after="60" w:line="22" w:lineRule="atLeast"/>
              <w:rPr>
                <w:sz w:val="22"/>
                <w:szCs w:val="24"/>
              </w:rPr>
            </w:pPr>
            <w:r w:rsidRPr="005B0700">
              <w:rPr>
                <w:sz w:val="22"/>
                <w:szCs w:val="24"/>
              </w:rPr>
              <w:t xml:space="preserve">A decision to require a provider to give an undertaking to remedy non-compliance </w:t>
            </w:r>
          </w:p>
        </w:tc>
        <w:tc>
          <w:tcPr>
            <w:tcW w:w="2551" w:type="dxa"/>
            <w:tcBorders>
              <w:top w:val="single" w:sz="4" w:space="0" w:color="auto"/>
              <w:bottom w:val="single" w:sz="4" w:space="0" w:color="auto"/>
            </w:tcBorders>
          </w:tcPr>
          <w:p w14:paraId="20ED4588" w14:textId="77777777" w:rsidR="0080605C" w:rsidRPr="005B0700" w:rsidRDefault="0080605C" w:rsidP="005B0700">
            <w:pPr>
              <w:spacing w:before="60" w:after="60" w:line="22" w:lineRule="atLeast"/>
              <w:rPr>
                <w:sz w:val="22"/>
                <w:szCs w:val="24"/>
              </w:rPr>
            </w:pPr>
            <w:r w:rsidRPr="005B0700">
              <w:rPr>
                <w:sz w:val="22"/>
                <w:szCs w:val="24"/>
              </w:rPr>
              <w:t>section 63T, Div 3, Part 7B</w:t>
            </w:r>
          </w:p>
        </w:tc>
      </w:tr>
      <w:tr w:rsidR="0080605C" w:rsidRPr="00694F59" w14:paraId="5E67469E" w14:textId="77777777" w:rsidTr="005B0700">
        <w:tc>
          <w:tcPr>
            <w:tcW w:w="5103" w:type="dxa"/>
            <w:tcBorders>
              <w:top w:val="single" w:sz="4" w:space="0" w:color="auto"/>
              <w:bottom w:val="single" w:sz="4" w:space="0" w:color="auto"/>
            </w:tcBorders>
          </w:tcPr>
          <w:p w14:paraId="620ACDE4" w14:textId="77777777" w:rsidR="0080605C" w:rsidRPr="005B0700" w:rsidRDefault="0080605C" w:rsidP="005B0700">
            <w:pPr>
              <w:spacing w:before="60" w:after="60" w:line="22" w:lineRule="atLeast"/>
              <w:rPr>
                <w:sz w:val="22"/>
                <w:szCs w:val="24"/>
              </w:rPr>
            </w:pPr>
            <w:r w:rsidRPr="005B0700">
              <w:rPr>
                <w:sz w:val="22"/>
                <w:szCs w:val="24"/>
              </w:rPr>
              <w:t>A decision to require a provider to agree to certain matters if revocation of approval is being considered</w:t>
            </w:r>
          </w:p>
        </w:tc>
        <w:tc>
          <w:tcPr>
            <w:tcW w:w="2551" w:type="dxa"/>
            <w:tcBorders>
              <w:top w:val="single" w:sz="4" w:space="0" w:color="auto"/>
              <w:bottom w:val="single" w:sz="4" w:space="0" w:color="auto"/>
            </w:tcBorders>
          </w:tcPr>
          <w:p w14:paraId="5389895B" w14:textId="77777777" w:rsidR="0080605C" w:rsidRPr="005B0700" w:rsidRDefault="0080605C" w:rsidP="005B0700">
            <w:pPr>
              <w:spacing w:before="60" w:after="60" w:line="22" w:lineRule="atLeast"/>
              <w:rPr>
                <w:sz w:val="22"/>
                <w:szCs w:val="24"/>
              </w:rPr>
            </w:pPr>
            <w:r w:rsidRPr="005B0700">
              <w:rPr>
                <w:sz w:val="22"/>
                <w:szCs w:val="24"/>
              </w:rPr>
              <w:t>section 63U, Div 3, Part 7B</w:t>
            </w:r>
          </w:p>
        </w:tc>
      </w:tr>
      <w:tr w:rsidR="0080605C" w:rsidRPr="00694F59" w14:paraId="4206F1DE" w14:textId="77777777" w:rsidTr="005B0700">
        <w:tc>
          <w:tcPr>
            <w:tcW w:w="5103" w:type="dxa"/>
            <w:tcBorders>
              <w:top w:val="single" w:sz="4" w:space="0" w:color="auto"/>
              <w:bottom w:val="single" w:sz="4" w:space="0" w:color="auto"/>
            </w:tcBorders>
          </w:tcPr>
          <w:p w14:paraId="3B0CFE14" w14:textId="77777777" w:rsidR="0080605C" w:rsidRPr="005B0700" w:rsidRDefault="0080605C" w:rsidP="005B0700">
            <w:pPr>
              <w:spacing w:before="60" w:after="60" w:line="22" w:lineRule="atLeast"/>
              <w:rPr>
                <w:sz w:val="22"/>
                <w:szCs w:val="24"/>
              </w:rPr>
            </w:pPr>
            <w:r w:rsidRPr="005B0700">
              <w:rPr>
                <w:sz w:val="22"/>
                <w:szCs w:val="24"/>
              </w:rPr>
              <w:t>A decision to lift or not to lift a sanction imposed on an approved provider</w:t>
            </w:r>
          </w:p>
        </w:tc>
        <w:tc>
          <w:tcPr>
            <w:tcW w:w="2551" w:type="dxa"/>
            <w:tcBorders>
              <w:top w:val="single" w:sz="4" w:space="0" w:color="auto"/>
              <w:bottom w:val="single" w:sz="4" w:space="0" w:color="auto"/>
            </w:tcBorders>
          </w:tcPr>
          <w:p w14:paraId="7C7C2791" w14:textId="77777777" w:rsidR="0080605C" w:rsidRPr="005B0700" w:rsidRDefault="0080605C" w:rsidP="005B0700">
            <w:pPr>
              <w:spacing w:before="60" w:after="60" w:line="22" w:lineRule="atLeast"/>
              <w:rPr>
                <w:sz w:val="22"/>
                <w:szCs w:val="24"/>
              </w:rPr>
            </w:pPr>
            <w:r w:rsidRPr="005B0700">
              <w:rPr>
                <w:sz w:val="22"/>
                <w:szCs w:val="24"/>
              </w:rPr>
              <w:t>section 63X, Div 4, Part 7B</w:t>
            </w:r>
          </w:p>
        </w:tc>
      </w:tr>
      <w:tr w:rsidR="0080605C" w:rsidRPr="00694F59" w14:paraId="06530B55" w14:textId="77777777" w:rsidTr="005B0700">
        <w:tc>
          <w:tcPr>
            <w:tcW w:w="5103" w:type="dxa"/>
            <w:tcBorders>
              <w:top w:val="single" w:sz="4" w:space="0" w:color="auto"/>
              <w:bottom w:val="single" w:sz="4" w:space="0" w:color="auto"/>
            </w:tcBorders>
          </w:tcPr>
          <w:p w14:paraId="1F79A5CC" w14:textId="77777777" w:rsidR="0080605C" w:rsidRPr="005B0700" w:rsidRDefault="0080605C" w:rsidP="005B0700">
            <w:pPr>
              <w:spacing w:before="60" w:after="60" w:line="22" w:lineRule="atLeast"/>
              <w:rPr>
                <w:sz w:val="22"/>
                <w:szCs w:val="24"/>
              </w:rPr>
            </w:pPr>
            <w:r w:rsidRPr="005B0700">
              <w:rPr>
                <w:sz w:val="22"/>
                <w:szCs w:val="24"/>
              </w:rPr>
              <w:t>A decision to issue, vary or revoke a compliance notice</w:t>
            </w:r>
          </w:p>
        </w:tc>
        <w:tc>
          <w:tcPr>
            <w:tcW w:w="2551" w:type="dxa"/>
            <w:tcBorders>
              <w:top w:val="single" w:sz="4" w:space="0" w:color="auto"/>
              <w:bottom w:val="single" w:sz="4" w:space="0" w:color="auto"/>
            </w:tcBorders>
          </w:tcPr>
          <w:p w14:paraId="18DA35EA" w14:textId="77777777" w:rsidR="0080605C" w:rsidRPr="005B0700" w:rsidRDefault="0080605C" w:rsidP="005B0700">
            <w:pPr>
              <w:spacing w:before="60" w:after="60" w:line="22" w:lineRule="atLeast"/>
              <w:rPr>
                <w:sz w:val="22"/>
                <w:szCs w:val="24"/>
              </w:rPr>
            </w:pPr>
            <w:r w:rsidRPr="005B0700">
              <w:rPr>
                <w:sz w:val="22"/>
                <w:szCs w:val="24"/>
              </w:rPr>
              <w:t>section 74EE, Div 2A, Part 8A</w:t>
            </w:r>
          </w:p>
        </w:tc>
      </w:tr>
      <w:tr w:rsidR="0080605C" w:rsidRPr="00694F59" w14:paraId="2889A6D7" w14:textId="77777777" w:rsidTr="005B0700">
        <w:tc>
          <w:tcPr>
            <w:tcW w:w="5103" w:type="dxa"/>
            <w:tcBorders>
              <w:top w:val="single" w:sz="4" w:space="0" w:color="auto"/>
              <w:bottom w:val="single" w:sz="4" w:space="0" w:color="auto"/>
            </w:tcBorders>
          </w:tcPr>
          <w:p w14:paraId="3AE66DA2" w14:textId="77777777" w:rsidR="0080605C" w:rsidRPr="005B0700" w:rsidRDefault="0080605C" w:rsidP="005B0700">
            <w:pPr>
              <w:spacing w:before="60" w:after="60" w:line="22" w:lineRule="atLeast"/>
              <w:rPr>
                <w:sz w:val="22"/>
                <w:szCs w:val="24"/>
              </w:rPr>
            </w:pPr>
            <w:r w:rsidRPr="005B0700">
              <w:rPr>
                <w:sz w:val="22"/>
                <w:szCs w:val="24"/>
              </w:rPr>
              <w:t xml:space="preserve">A decision to make a banning order against an individual who is or was an aged care worker, or who is or was a governing person, of an approved provider </w:t>
            </w:r>
          </w:p>
        </w:tc>
        <w:tc>
          <w:tcPr>
            <w:tcW w:w="2551" w:type="dxa"/>
            <w:tcBorders>
              <w:top w:val="single" w:sz="4" w:space="0" w:color="auto"/>
              <w:bottom w:val="single" w:sz="4" w:space="0" w:color="auto"/>
            </w:tcBorders>
          </w:tcPr>
          <w:p w14:paraId="3508AAB5" w14:textId="77777777" w:rsidR="0080605C" w:rsidRPr="005B0700" w:rsidRDefault="0080605C" w:rsidP="005B0700">
            <w:pPr>
              <w:spacing w:before="60" w:after="60" w:line="22" w:lineRule="atLeast"/>
              <w:rPr>
                <w:sz w:val="22"/>
                <w:szCs w:val="24"/>
              </w:rPr>
            </w:pPr>
            <w:r w:rsidRPr="005B0700">
              <w:rPr>
                <w:sz w:val="22"/>
                <w:szCs w:val="24"/>
              </w:rPr>
              <w:t>section 74GB, Div 4, Part 8A</w:t>
            </w:r>
          </w:p>
        </w:tc>
      </w:tr>
      <w:tr w:rsidR="0080605C" w:rsidRPr="00694F59" w14:paraId="6821DD67" w14:textId="77777777" w:rsidTr="005B0700">
        <w:tc>
          <w:tcPr>
            <w:tcW w:w="5103" w:type="dxa"/>
            <w:tcBorders>
              <w:top w:val="single" w:sz="4" w:space="0" w:color="auto"/>
              <w:bottom w:val="single" w:sz="4" w:space="0" w:color="auto"/>
            </w:tcBorders>
          </w:tcPr>
          <w:p w14:paraId="43D24BB7" w14:textId="77777777" w:rsidR="0080605C" w:rsidRPr="005B0700" w:rsidRDefault="0080605C" w:rsidP="005B0700">
            <w:pPr>
              <w:spacing w:before="60" w:after="60" w:line="22" w:lineRule="atLeast"/>
              <w:rPr>
                <w:sz w:val="22"/>
                <w:szCs w:val="24"/>
              </w:rPr>
            </w:pPr>
            <w:r w:rsidRPr="005B0700">
              <w:rPr>
                <w:sz w:val="22"/>
                <w:szCs w:val="24"/>
              </w:rPr>
              <w:t>A decision to make a banning order against an individual who has not previously been an aged care worker, or a governing person, of an approved provider</w:t>
            </w:r>
          </w:p>
        </w:tc>
        <w:tc>
          <w:tcPr>
            <w:tcW w:w="2551" w:type="dxa"/>
            <w:tcBorders>
              <w:top w:val="single" w:sz="4" w:space="0" w:color="auto"/>
              <w:bottom w:val="single" w:sz="4" w:space="0" w:color="auto"/>
            </w:tcBorders>
          </w:tcPr>
          <w:p w14:paraId="75AF7B80" w14:textId="77777777" w:rsidR="0080605C" w:rsidRPr="005B0700" w:rsidRDefault="0080605C" w:rsidP="005B0700">
            <w:pPr>
              <w:spacing w:before="60" w:after="60" w:line="22" w:lineRule="atLeast"/>
              <w:rPr>
                <w:sz w:val="22"/>
                <w:szCs w:val="24"/>
              </w:rPr>
            </w:pPr>
            <w:r w:rsidRPr="005B0700">
              <w:rPr>
                <w:sz w:val="22"/>
                <w:szCs w:val="24"/>
              </w:rPr>
              <w:t>section 74GB, Div 4, Part 8A</w:t>
            </w:r>
          </w:p>
        </w:tc>
      </w:tr>
      <w:tr w:rsidR="0080605C" w:rsidRPr="00694F59" w14:paraId="607C5958" w14:textId="77777777" w:rsidTr="005B0700">
        <w:tc>
          <w:tcPr>
            <w:tcW w:w="5103" w:type="dxa"/>
            <w:tcBorders>
              <w:top w:val="single" w:sz="4" w:space="0" w:color="auto"/>
              <w:bottom w:val="single" w:sz="4" w:space="0" w:color="auto"/>
            </w:tcBorders>
          </w:tcPr>
          <w:p w14:paraId="763794A7" w14:textId="77777777" w:rsidR="0080605C" w:rsidRPr="005B0700" w:rsidRDefault="0080605C" w:rsidP="005B0700">
            <w:pPr>
              <w:spacing w:before="60" w:after="60" w:line="22" w:lineRule="atLeast"/>
              <w:rPr>
                <w:sz w:val="22"/>
                <w:szCs w:val="24"/>
              </w:rPr>
            </w:pPr>
            <w:r w:rsidRPr="005B0700">
              <w:rPr>
                <w:sz w:val="22"/>
                <w:szCs w:val="24"/>
              </w:rPr>
              <w:t>A decision to, on own initiative, vary or revoke a banning order made against an individual</w:t>
            </w:r>
          </w:p>
        </w:tc>
        <w:tc>
          <w:tcPr>
            <w:tcW w:w="2551" w:type="dxa"/>
            <w:tcBorders>
              <w:top w:val="single" w:sz="4" w:space="0" w:color="auto"/>
              <w:bottom w:val="single" w:sz="4" w:space="0" w:color="auto"/>
            </w:tcBorders>
          </w:tcPr>
          <w:p w14:paraId="4D4EBB82" w14:textId="77777777" w:rsidR="0080605C" w:rsidRPr="005B0700" w:rsidRDefault="0080605C" w:rsidP="005B0700">
            <w:pPr>
              <w:spacing w:before="60" w:after="60" w:line="22" w:lineRule="atLeast"/>
              <w:rPr>
                <w:sz w:val="22"/>
                <w:szCs w:val="24"/>
              </w:rPr>
            </w:pPr>
            <w:r w:rsidRPr="005B0700">
              <w:rPr>
                <w:sz w:val="22"/>
                <w:szCs w:val="24"/>
              </w:rPr>
              <w:t>section 74GF, Div 4, Part 8A</w:t>
            </w:r>
          </w:p>
        </w:tc>
      </w:tr>
      <w:tr w:rsidR="0080605C" w:rsidRPr="00694F59" w14:paraId="5C73D184" w14:textId="77777777" w:rsidTr="005B0700">
        <w:tc>
          <w:tcPr>
            <w:tcW w:w="5103" w:type="dxa"/>
            <w:tcBorders>
              <w:top w:val="single" w:sz="4" w:space="0" w:color="auto"/>
              <w:left w:val="nil"/>
              <w:bottom w:val="single" w:sz="4" w:space="0" w:color="auto"/>
              <w:right w:val="nil"/>
            </w:tcBorders>
          </w:tcPr>
          <w:p w14:paraId="1D7C6D1F" w14:textId="77777777" w:rsidR="0080605C" w:rsidRPr="005B0700" w:rsidRDefault="0080605C" w:rsidP="005B0700">
            <w:pPr>
              <w:spacing w:before="60" w:after="60" w:line="22" w:lineRule="atLeast"/>
              <w:rPr>
                <w:sz w:val="22"/>
                <w:szCs w:val="24"/>
              </w:rPr>
            </w:pPr>
            <w:r w:rsidRPr="005B0700">
              <w:rPr>
                <w:sz w:val="22"/>
                <w:szCs w:val="24"/>
              </w:rPr>
              <w:lastRenderedPageBreak/>
              <w:t>A decision to, on an individual’s application, vary or revoke a banning order made against that individual</w:t>
            </w:r>
          </w:p>
        </w:tc>
        <w:tc>
          <w:tcPr>
            <w:tcW w:w="2551" w:type="dxa"/>
            <w:tcBorders>
              <w:top w:val="single" w:sz="4" w:space="0" w:color="auto"/>
              <w:left w:val="nil"/>
              <w:bottom w:val="single" w:sz="4" w:space="0" w:color="auto"/>
              <w:right w:val="nil"/>
            </w:tcBorders>
          </w:tcPr>
          <w:p w14:paraId="4973042B" w14:textId="77777777" w:rsidR="0080605C" w:rsidRPr="005B0700" w:rsidRDefault="0080605C" w:rsidP="005B0700">
            <w:pPr>
              <w:spacing w:before="60" w:after="60" w:line="22" w:lineRule="atLeast"/>
              <w:rPr>
                <w:sz w:val="22"/>
                <w:szCs w:val="24"/>
              </w:rPr>
            </w:pPr>
            <w:r w:rsidRPr="005B0700">
              <w:rPr>
                <w:sz w:val="22"/>
                <w:szCs w:val="24"/>
              </w:rPr>
              <w:t>section 74GG, Div 4, Part 8A</w:t>
            </w:r>
          </w:p>
        </w:tc>
      </w:tr>
      <w:tr w:rsidR="0080605C" w:rsidRPr="00694F59" w14:paraId="031DA9C7" w14:textId="77777777" w:rsidTr="005B0700">
        <w:tblPrEx>
          <w:tblBorders>
            <w:left w:val="single" w:sz="4" w:space="0" w:color="auto"/>
            <w:right w:val="single" w:sz="4" w:space="0" w:color="auto"/>
            <w:insideH w:val="single" w:sz="4" w:space="0" w:color="auto"/>
            <w:insideV w:val="single" w:sz="4" w:space="0" w:color="auto"/>
          </w:tblBorders>
        </w:tblPrEx>
        <w:tc>
          <w:tcPr>
            <w:tcW w:w="5103" w:type="dxa"/>
            <w:tcBorders>
              <w:top w:val="nil"/>
              <w:left w:val="nil"/>
              <w:bottom w:val="single" w:sz="4" w:space="0" w:color="auto"/>
              <w:right w:val="nil"/>
            </w:tcBorders>
          </w:tcPr>
          <w:p w14:paraId="6239A45F" w14:textId="77777777" w:rsidR="0080605C" w:rsidRPr="005B0700" w:rsidRDefault="0080605C" w:rsidP="005B0700">
            <w:pPr>
              <w:spacing w:before="60" w:after="60" w:line="22" w:lineRule="atLeast"/>
              <w:rPr>
                <w:sz w:val="22"/>
                <w:szCs w:val="24"/>
              </w:rPr>
            </w:pPr>
            <w:r w:rsidRPr="005B0700">
              <w:rPr>
                <w:sz w:val="22"/>
                <w:szCs w:val="24"/>
              </w:rPr>
              <w:t>A decision to, on an individual’s application, not to vary or revoke a banning order made against that individual</w:t>
            </w:r>
          </w:p>
        </w:tc>
        <w:tc>
          <w:tcPr>
            <w:tcW w:w="2551" w:type="dxa"/>
            <w:tcBorders>
              <w:top w:val="nil"/>
              <w:left w:val="nil"/>
              <w:bottom w:val="single" w:sz="4" w:space="0" w:color="auto"/>
              <w:right w:val="nil"/>
            </w:tcBorders>
          </w:tcPr>
          <w:p w14:paraId="5863AE2C" w14:textId="77777777" w:rsidR="0080605C" w:rsidRPr="005B0700" w:rsidRDefault="0080605C" w:rsidP="005B0700">
            <w:pPr>
              <w:spacing w:before="60" w:after="60" w:line="22" w:lineRule="atLeast"/>
              <w:rPr>
                <w:sz w:val="22"/>
                <w:szCs w:val="24"/>
              </w:rPr>
            </w:pPr>
            <w:r w:rsidRPr="005B0700">
              <w:rPr>
                <w:sz w:val="22"/>
                <w:szCs w:val="24"/>
              </w:rPr>
              <w:t>section 74GG, Div 4, Part 8A</w:t>
            </w:r>
          </w:p>
        </w:tc>
      </w:tr>
      <w:tr w:rsidR="0080605C" w:rsidRPr="00694F59" w14:paraId="1D879700" w14:textId="77777777" w:rsidTr="005B0700">
        <w:tc>
          <w:tcPr>
            <w:tcW w:w="5103" w:type="dxa"/>
            <w:tcBorders>
              <w:top w:val="single" w:sz="4" w:space="0" w:color="auto"/>
              <w:left w:val="nil"/>
              <w:bottom w:val="single" w:sz="4" w:space="0" w:color="auto"/>
              <w:right w:val="nil"/>
            </w:tcBorders>
          </w:tcPr>
          <w:p w14:paraId="2406D7F7" w14:textId="77777777" w:rsidR="0080605C" w:rsidRPr="005B0700" w:rsidRDefault="0080605C" w:rsidP="005B0700">
            <w:pPr>
              <w:spacing w:before="60" w:after="60" w:line="22" w:lineRule="atLeast"/>
              <w:rPr>
                <w:sz w:val="22"/>
                <w:szCs w:val="24"/>
              </w:rPr>
            </w:pPr>
            <w:r w:rsidRPr="005B0700">
              <w:rPr>
                <w:sz w:val="22"/>
                <w:szCs w:val="24"/>
              </w:rPr>
              <w:t>A decision, on an individual’s application, to vary or revoke a condition to which a banning order made against that individual is subject and/or to specify one or more new conditions to which the order is to be subject</w:t>
            </w:r>
          </w:p>
        </w:tc>
        <w:tc>
          <w:tcPr>
            <w:tcW w:w="2551" w:type="dxa"/>
            <w:tcBorders>
              <w:top w:val="single" w:sz="4" w:space="0" w:color="auto"/>
              <w:left w:val="nil"/>
              <w:bottom w:val="single" w:sz="4" w:space="0" w:color="auto"/>
              <w:right w:val="nil"/>
            </w:tcBorders>
          </w:tcPr>
          <w:p w14:paraId="3597D9B4" w14:textId="77777777" w:rsidR="0080605C" w:rsidRPr="005B0700" w:rsidRDefault="0080605C" w:rsidP="005B0700">
            <w:pPr>
              <w:spacing w:before="60" w:after="60" w:line="22" w:lineRule="atLeast"/>
              <w:rPr>
                <w:sz w:val="22"/>
                <w:szCs w:val="24"/>
              </w:rPr>
            </w:pPr>
            <w:r w:rsidRPr="005B0700">
              <w:rPr>
                <w:sz w:val="22"/>
                <w:szCs w:val="24"/>
              </w:rPr>
              <w:t>section 74GH, Div 4, Part 8A</w:t>
            </w:r>
          </w:p>
        </w:tc>
      </w:tr>
      <w:tr w:rsidR="0080605C" w:rsidRPr="00694F59" w14:paraId="5B528E31" w14:textId="77777777" w:rsidTr="005B0700">
        <w:tblPrEx>
          <w:tblBorders>
            <w:left w:val="single" w:sz="4" w:space="0" w:color="auto"/>
            <w:right w:val="single" w:sz="4" w:space="0" w:color="auto"/>
            <w:insideH w:val="single" w:sz="4" w:space="0" w:color="auto"/>
            <w:insideV w:val="single" w:sz="4" w:space="0" w:color="auto"/>
          </w:tblBorders>
        </w:tblPrEx>
        <w:tc>
          <w:tcPr>
            <w:tcW w:w="5103" w:type="dxa"/>
            <w:tcBorders>
              <w:top w:val="single" w:sz="4" w:space="0" w:color="auto"/>
              <w:left w:val="nil"/>
              <w:bottom w:val="single" w:sz="4" w:space="0" w:color="auto"/>
              <w:right w:val="nil"/>
            </w:tcBorders>
          </w:tcPr>
          <w:p w14:paraId="75B88ED9" w14:textId="77777777" w:rsidR="0080605C" w:rsidRPr="005B0700" w:rsidRDefault="0080605C" w:rsidP="005B0700">
            <w:pPr>
              <w:spacing w:before="60" w:after="60" w:line="22" w:lineRule="atLeast"/>
              <w:rPr>
                <w:sz w:val="22"/>
                <w:szCs w:val="24"/>
              </w:rPr>
            </w:pPr>
            <w:r w:rsidRPr="005B0700">
              <w:rPr>
                <w:sz w:val="22"/>
                <w:szCs w:val="24"/>
              </w:rPr>
              <w:t>A decision, on an individual’s application, not to vary or revoke a condition to which a banning order made against that individual is subject and/or not to specify one or more new conditions to which the order is to be subject</w:t>
            </w:r>
          </w:p>
        </w:tc>
        <w:tc>
          <w:tcPr>
            <w:tcW w:w="2551" w:type="dxa"/>
            <w:tcBorders>
              <w:top w:val="single" w:sz="4" w:space="0" w:color="auto"/>
              <w:left w:val="nil"/>
              <w:bottom w:val="single" w:sz="4" w:space="0" w:color="auto"/>
              <w:right w:val="nil"/>
            </w:tcBorders>
          </w:tcPr>
          <w:p w14:paraId="444D0F58" w14:textId="77777777" w:rsidR="0080605C" w:rsidRPr="005B0700" w:rsidRDefault="0080605C" w:rsidP="005B0700">
            <w:pPr>
              <w:spacing w:before="60" w:after="60" w:line="22" w:lineRule="atLeast"/>
              <w:rPr>
                <w:sz w:val="22"/>
                <w:szCs w:val="24"/>
              </w:rPr>
            </w:pPr>
            <w:r w:rsidRPr="005B0700">
              <w:rPr>
                <w:sz w:val="22"/>
                <w:szCs w:val="24"/>
              </w:rPr>
              <w:t>section 74GH, Div 4, Part 8A</w:t>
            </w:r>
          </w:p>
        </w:tc>
      </w:tr>
    </w:tbl>
    <w:p w14:paraId="0925C4DF" w14:textId="77777777" w:rsidR="0080605C" w:rsidRPr="005B0700" w:rsidRDefault="0080605C" w:rsidP="0080605C">
      <w:pPr>
        <w:spacing w:before="0" w:after="0" w:line="22" w:lineRule="atLeast"/>
        <w:rPr>
          <w:rFonts w:eastAsia="SimSun" w:cs="Times New Roman"/>
          <w:sz w:val="22"/>
        </w:rPr>
      </w:pPr>
    </w:p>
    <w:p w14:paraId="08FE550A" w14:textId="77777777" w:rsidR="0080605C" w:rsidRPr="005B0700" w:rsidRDefault="0080605C" w:rsidP="0080605C">
      <w:pPr>
        <w:spacing w:before="0" w:after="200" w:line="22" w:lineRule="atLeast"/>
        <w:rPr>
          <w:rFonts w:eastAsia="SimSun"/>
          <w:b/>
          <w:sz w:val="22"/>
          <w:szCs w:val="24"/>
        </w:rPr>
      </w:pPr>
      <w:r w:rsidRPr="005B0700">
        <w:rPr>
          <w:rFonts w:eastAsia="SimSun"/>
          <w:b/>
          <w:sz w:val="22"/>
          <w:szCs w:val="24"/>
        </w:rPr>
        <w:t>Table C: Regulatory decisions within the Commission</w:t>
      </w:r>
      <w:r w:rsidRPr="005B0700">
        <w:rPr>
          <w:rFonts w:eastAsia="SimSun"/>
          <w:sz w:val="22"/>
        </w:rPr>
        <w:t xml:space="preserve"> </w:t>
      </w:r>
      <w:r w:rsidRPr="005B0700">
        <w:rPr>
          <w:rFonts w:eastAsia="SimSun"/>
          <w:b/>
          <w:sz w:val="22"/>
          <w:szCs w:val="24"/>
        </w:rPr>
        <w:t>Rules</w:t>
      </w:r>
    </w:p>
    <w:tbl>
      <w:tblPr>
        <w:tblStyle w:val="TableGrid3"/>
        <w:tblW w:w="978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260"/>
      </w:tblGrid>
      <w:tr w:rsidR="0080605C" w:rsidRPr="00694F59" w14:paraId="7CC026EF" w14:textId="77777777" w:rsidTr="005B0700">
        <w:trPr>
          <w:tblHeader/>
        </w:trPr>
        <w:tc>
          <w:tcPr>
            <w:tcW w:w="5103" w:type="dxa"/>
            <w:tcBorders>
              <w:top w:val="single" w:sz="4" w:space="0" w:color="auto"/>
              <w:bottom w:val="single" w:sz="4" w:space="0" w:color="auto"/>
            </w:tcBorders>
            <w:shd w:val="clear" w:color="auto" w:fill="00577D"/>
          </w:tcPr>
          <w:p w14:paraId="201112B0" w14:textId="77777777" w:rsidR="0080605C" w:rsidRPr="005B0700" w:rsidRDefault="0080605C" w:rsidP="005B0700">
            <w:pPr>
              <w:spacing w:before="60" w:after="60" w:line="22" w:lineRule="atLeast"/>
              <w:rPr>
                <w:b/>
                <w:color w:val="FFFFFF"/>
                <w:sz w:val="22"/>
                <w:szCs w:val="24"/>
              </w:rPr>
            </w:pPr>
            <w:r w:rsidRPr="005B0700">
              <w:rPr>
                <w:b/>
                <w:color w:val="FFFFFF"/>
                <w:sz w:val="22"/>
                <w:szCs w:val="24"/>
              </w:rPr>
              <w:t>Type of Regulatory Decision</w:t>
            </w:r>
          </w:p>
        </w:tc>
        <w:tc>
          <w:tcPr>
            <w:tcW w:w="2551" w:type="dxa"/>
            <w:tcBorders>
              <w:top w:val="single" w:sz="4" w:space="0" w:color="auto"/>
              <w:bottom w:val="single" w:sz="4" w:space="0" w:color="auto"/>
            </w:tcBorders>
            <w:shd w:val="clear" w:color="auto" w:fill="00577D"/>
          </w:tcPr>
          <w:p w14:paraId="4A06AA4D" w14:textId="77777777" w:rsidR="0080605C" w:rsidRPr="005B0700" w:rsidRDefault="0080605C" w:rsidP="005B0700">
            <w:pPr>
              <w:spacing w:before="60" w:after="60" w:line="22" w:lineRule="atLeast"/>
              <w:rPr>
                <w:b/>
                <w:color w:val="FFFFFF"/>
                <w:sz w:val="22"/>
                <w:szCs w:val="24"/>
              </w:rPr>
            </w:pPr>
            <w:r w:rsidRPr="005B0700">
              <w:rPr>
                <w:b/>
                <w:color w:val="FFFFFF"/>
                <w:sz w:val="22"/>
                <w:szCs w:val="24"/>
              </w:rPr>
              <w:t xml:space="preserve">Relevant section </w:t>
            </w:r>
          </w:p>
        </w:tc>
      </w:tr>
      <w:tr w:rsidR="0080605C" w:rsidRPr="00694F59" w14:paraId="7F640BA5" w14:textId="77777777" w:rsidTr="005B0700">
        <w:tc>
          <w:tcPr>
            <w:tcW w:w="5103" w:type="dxa"/>
            <w:tcBorders>
              <w:top w:val="single" w:sz="4" w:space="0" w:color="auto"/>
              <w:bottom w:val="single" w:sz="4" w:space="0" w:color="auto"/>
            </w:tcBorders>
          </w:tcPr>
          <w:p w14:paraId="72A28C4B" w14:textId="77777777" w:rsidR="0080605C" w:rsidRPr="005B0700" w:rsidRDefault="0080605C" w:rsidP="005B0700">
            <w:pPr>
              <w:spacing w:before="60" w:after="60" w:line="22" w:lineRule="atLeast"/>
              <w:rPr>
                <w:sz w:val="22"/>
                <w:szCs w:val="24"/>
              </w:rPr>
            </w:pPr>
            <w:r w:rsidRPr="005B0700">
              <w:rPr>
                <w:sz w:val="22"/>
                <w:szCs w:val="24"/>
              </w:rPr>
              <w:t>A decision to take no further action in relation to an issue raised in a complaint</w:t>
            </w:r>
          </w:p>
        </w:tc>
        <w:tc>
          <w:tcPr>
            <w:tcW w:w="2551" w:type="dxa"/>
            <w:tcBorders>
              <w:top w:val="single" w:sz="4" w:space="0" w:color="auto"/>
              <w:bottom w:val="single" w:sz="4" w:space="0" w:color="auto"/>
            </w:tcBorders>
          </w:tcPr>
          <w:p w14:paraId="60ED019F" w14:textId="77777777" w:rsidR="0080605C" w:rsidRPr="005B0700" w:rsidRDefault="0080605C" w:rsidP="005B0700">
            <w:pPr>
              <w:spacing w:before="60" w:after="60" w:line="22" w:lineRule="atLeast"/>
              <w:rPr>
                <w:sz w:val="22"/>
                <w:szCs w:val="24"/>
              </w:rPr>
            </w:pPr>
            <w:r w:rsidRPr="005B0700">
              <w:rPr>
                <w:sz w:val="22"/>
                <w:szCs w:val="24"/>
              </w:rPr>
              <w:t>section 13, Div 4, Pt 2</w:t>
            </w:r>
          </w:p>
        </w:tc>
      </w:tr>
      <w:tr w:rsidR="0080605C" w:rsidRPr="00694F59" w14:paraId="1E842373" w14:textId="77777777" w:rsidTr="005B0700">
        <w:tc>
          <w:tcPr>
            <w:tcW w:w="5103" w:type="dxa"/>
            <w:tcBorders>
              <w:top w:val="single" w:sz="4" w:space="0" w:color="auto"/>
              <w:bottom w:val="single" w:sz="4" w:space="0" w:color="auto"/>
            </w:tcBorders>
          </w:tcPr>
          <w:p w14:paraId="3C1FC5CF" w14:textId="77777777" w:rsidR="0080605C" w:rsidRPr="005B0700" w:rsidRDefault="0080605C" w:rsidP="005B0700">
            <w:pPr>
              <w:spacing w:before="60" w:after="60" w:line="22" w:lineRule="atLeast"/>
              <w:rPr>
                <w:sz w:val="22"/>
                <w:szCs w:val="24"/>
              </w:rPr>
            </w:pPr>
            <w:r w:rsidRPr="005B0700">
              <w:rPr>
                <w:sz w:val="22"/>
                <w:szCs w:val="24"/>
              </w:rPr>
              <w:t>A decision to undertake a resolution process in relation to an issue raised in a complaint or provider responsibility information</w:t>
            </w:r>
          </w:p>
        </w:tc>
        <w:tc>
          <w:tcPr>
            <w:tcW w:w="2551" w:type="dxa"/>
            <w:tcBorders>
              <w:top w:val="single" w:sz="4" w:space="0" w:color="auto"/>
              <w:bottom w:val="single" w:sz="4" w:space="0" w:color="auto"/>
            </w:tcBorders>
          </w:tcPr>
          <w:p w14:paraId="29F45C42" w14:textId="77777777" w:rsidR="0080605C" w:rsidRPr="005B0700" w:rsidRDefault="0080605C" w:rsidP="005B0700">
            <w:pPr>
              <w:spacing w:before="60" w:after="60" w:line="22" w:lineRule="atLeast"/>
              <w:rPr>
                <w:sz w:val="22"/>
                <w:szCs w:val="24"/>
              </w:rPr>
            </w:pPr>
            <w:r w:rsidRPr="005B0700">
              <w:rPr>
                <w:sz w:val="22"/>
                <w:szCs w:val="24"/>
              </w:rPr>
              <w:t>section 15, Div 4, Pt 2</w:t>
            </w:r>
          </w:p>
        </w:tc>
      </w:tr>
      <w:tr w:rsidR="0080605C" w:rsidRPr="00694F59" w14:paraId="5A59B372" w14:textId="77777777" w:rsidTr="005B0700">
        <w:tc>
          <w:tcPr>
            <w:tcW w:w="5103" w:type="dxa"/>
            <w:tcBorders>
              <w:top w:val="single" w:sz="4" w:space="0" w:color="auto"/>
              <w:bottom w:val="single" w:sz="4" w:space="0" w:color="auto"/>
            </w:tcBorders>
          </w:tcPr>
          <w:p w14:paraId="4E50B397" w14:textId="77777777" w:rsidR="0080605C" w:rsidRPr="005B0700" w:rsidRDefault="0080605C" w:rsidP="005B0700">
            <w:pPr>
              <w:spacing w:before="60" w:after="60" w:line="22" w:lineRule="atLeast"/>
              <w:rPr>
                <w:sz w:val="22"/>
                <w:szCs w:val="24"/>
              </w:rPr>
            </w:pPr>
            <w:r w:rsidRPr="005B0700">
              <w:rPr>
                <w:sz w:val="22"/>
                <w:szCs w:val="24"/>
              </w:rPr>
              <w:t>A decision to end a resolution process in relation to an issue raised in a complaint or provider responsibility information</w:t>
            </w:r>
          </w:p>
        </w:tc>
        <w:tc>
          <w:tcPr>
            <w:tcW w:w="2551" w:type="dxa"/>
            <w:tcBorders>
              <w:top w:val="single" w:sz="4" w:space="0" w:color="auto"/>
              <w:bottom w:val="single" w:sz="4" w:space="0" w:color="auto"/>
            </w:tcBorders>
          </w:tcPr>
          <w:p w14:paraId="09068645" w14:textId="77777777" w:rsidR="0080605C" w:rsidRPr="005B0700" w:rsidRDefault="0080605C" w:rsidP="005B0700">
            <w:pPr>
              <w:spacing w:before="60" w:after="60" w:line="22" w:lineRule="atLeast"/>
              <w:rPr>
                <w:sz w:val="22"/>
                <w:szCs w:val="24"/>
              </w:rPr>
            </w:pPr>
            <w:r w:rsidRPr="005B0700">
              <w:rPr>
                <w:sz w:val="22"/>
                <w:szCs w:val="24"/>
              </w:rPr>
              <w:t>section 17, Div 4, Pt 2</w:t>
            </w:r>
          </w:p>
        </w:tc>
      </w:tr>
      <w:tr w:rsidR="0080605C" w:rsidRPr="00694F59" w14:paraId="70662086" w14:textId="77777777" w:rsidTr="005B0700">
        <w:tc>
          <w:tcPr>
            <w:tcW w:w="5103" w:type="dxa"/>
            <w:tcBorders>
              <w:top w:val="single" w:sz="4" w:space="0" w:color="auto"/>
              <w:bottom w:val="single" w:sz="4" w:space="0" w:color="auto"/>
            </w:tcBorders>
          </w:tcPr>
          <w:p w14:paraId="3E4606F6" w14:textId="77777777" w:rsidR="0080605C" w:rsidRPr="005B0700" w:rsidRDefault="0080605C" w:rsidP="005B0700">
            <w:pPr>
              <w:spacing w:before="60" w:after="60" w:line="22" w:lineRule="atLeast"/>
              <w:rPr>
                <w:sz w:val="22"/>
                <w:szCs w:val="24"/>
              </w:rPr>
            </w:pPr>
            <w:r w:rsidRPr="005B0700">
              <w:rPr>
                <w:sz w:val="22"/>
                <w:szCs w:val="24"/>
              </w:rPr>
              <w:t>A decision to direct a provider to take specified action to meet its responsibilities in relation to an issue raised in a complaint or provider responsibility information</w:t>
            </w:r>
          </w:p>
        </w:tc>
        <w:tc>
          <w:tcPr>
            <w:tcW w:w="2551" w:type="dxa"/>
            <w:tcBorders>
              <w:top w:val="single" w:sz="4" w:space="0" w:color="auto"/>
              <w:bottom w:val="single" w:sz="4" w:space="0" w:color="auto"/>
            </w:tcBorders>
          </w:tcPr>
          <w:p w14:paraId="1F85F073" w14:textId="77777777" w:rsidR="0080605C" w:rsidRPr="005B0700" w:rsidRDefault="0080605C" w:rsidP="005B0700">
            <w:pPr>
              <w:spacing w:before="60" w:after="60" w:line="22" w:lineRule="atLeast"/>
              <w:rPr>
                <w:sz w:val="22"/>
                <w:szCs w:val="24"/>
              </w:rPr>
            </w:pPr>
            <w:r w:rsidRPr="005B0700">
              <w:rPr>
                <w:sz w:val="22"/>
                <w:szCs w:val="24"/>
              </w:rPr>
              <w:t>section 19 Div 5, Pt 2</w:t>
            </w:r>
          </w:p>
        </w:tc>
      </w:tr>
      <w:tr w:rsidR="0080605C" w:rsidRPr="00694F59" w14:paraId="573DD330" w14:textId="77777777" w:rsidTr="005B0700">
        <w:tc>
          <w:tcPr>
            <w:tcW w:w="5103" w:type="dxa"/>
            <w:tcBorders>
              <w:top w:val="single" w:sz="4" w:space="0" w:color="auto"/>
              <w:bottom w:val="single" w:sz="4" w:space="0" w:color="auto"/>
            </w:tcBorders>
          </w:tcPr>
          <w:p w14:paraId="18FAB017" w14:textId="77777777" w:rsidR="0080605C" w:rsidRPr="005B0700" w:rsidRDefault="0080605C" w:rsidP="005B0700">
            <w:pPr>
              <w:spacing w:before="60" w:after="60" w:line="22" w:lineRule="atLeast"/>
              <w:rPr>
                <w:sz w:val="22"/>
                <w:szCs w:val="24"/>
              </w:rPr>
            </w:pPr>
            <w:r w:rsidRPr="005B0700">
              <w:rPr>
                <w:sz w:val="22"/>
                <w:szCs w:val="24"/>
              </w:rPr>
              <w:t>A decision to accredit or not to accredit a commencing service</w:t>
            </w:r>
          </w:p>
        </w:tc>
        <w:tc>
          <w:tcPr>
            <w:tcW w:w="2551" w:type="dxa"/>
            <w:tcBorders>
              <w:top w:val="single" w:sz="4" w:space="0" w:color="auto"/>
              <w:bottom w:val="single" w:sz="4" w:space="0" w:color="auto"/>
            </w:tcBorders>
          </w:tcPr>
          <w:p w14:paraId="64421C20" w14:textId="77777777" w:rsidR="0080605C" w:rsidRPr="005B0700" w:rsidRDefault="0080605C" w:rsidP="005B0700">
            <w:pPr>
              <w:spacing w:before="60" w:after="60" w:line="22" w:lineRule="atLeast"/>
              <w:rPr>
                <w:sz w:val="22"/>
                <w:szCs w:val="24"/>
              </w:rPr>
            </w:pPr>
            <w:r w:rsidRPr="005B0700">
              <w:rPr>
                <w:sz w:val="22"/>
                <w:szCs w:val="24"/>
              </w:rPr>
              <w:t xml:space="preserve">section 29, Div 3, Pt 3 </w:t>
            </w:r>
          </w:p>
        </w:tc>
      </w:tr>
      <w:tr w:rsidR="0080605C" w:rsidRPr="00694F59" w14:paraId="5AF77F96" w14:textId="77777777" w:rsidTr="005B0700">
        <w:tc>
          <w:tcPr>
            <w:tcW w:w="5103" w:type="dxa"/>
            <w:tcBorders>
              <w:top w:val="single" w:sz="4" w:space="0" w:color="auto"/>
              <w:bottom w:val="single" w:sz="4" w:space="0" w:color="auto"/>
            </w:tcBorders>
          </w:tcPr>
          <w:p w14:paraId="79DBB0ED" w14:textId="77777777" w:rsidR="0080605C" w:rsidRPr="005B0700" w:rsidRDefault="0080605C" w:rsidP="005B0700">
            <w:pPr>
              <w:spacing w:before="60" w:after="60" w:line="22" w:lineRule="atLeast"/>
              <w:rPr>
                <w:sz w:val="22"/>
                <w:szCs w:val="24"/>
              </w:rPr>
            </w:pPr>
            <w:r w:rsidRPr="005B0700">
              <w:rPr>
                <w:sz w:val="22"/>
                <w:szCs w:val="24"/>
              </w:rPr>
              <w:t>A decision to re-accredit or not re-accredit a recommencing service</w:t>
            </w:r>
          </w:p>
        </w:tc>
        <w:tc>
          <w:tcPr>
            <w:tcW w:w="2551" w:type="dxa"/>
            <w:tcBorders>
              <w:top w:val="single" w:sz="4" w:space="0" w:color="auto"/>
              <w:bottom w:val="single" w:sz="4" w:space="0" w:color="auto"/>
            </w:tcBorders>
          </w:tcPr>
          <w:p w14:paraId="7C1F61CA" w14:textId="77777777" w:rsidR="0080605C" w:rsidRPr="005B0700" w:rsidRDefault="0080605C" w:rsidP="005B0700">
            <w:pPr>
              <w:spacing w:before="60" w:after="60" w:line="22" w:lineRule="atLeast"/>
              <w:rPr>
                <w:sz w:val="22"/>
                <w:szCs w:val="24"/>
              </w:rPr>
            </w:pPr>
            <w:r w:rsidRPr="005B0700">
              <w:rPr>
                <w:sz w:val="22"/>
                <w:szCs w:val="24"/>
              </w:rPr>
              <w:t xml:space="preserve">section 29, Div 3, Pt 3 </w:t>
            </w:r>
          </w:p>
        </w:tc>
      </w:tr>
      <w:tr w:rsidR="0080605C" w:rsidRPr="00694F59" w14:paraId="0F03DA50" w14:textId="77777777" w:rsidTr="005B0700">
        <w:tc>
          <w:tcPr>
            <w:tcW w:w="5103" w:type="dxa"/>
            <w:tcBorders>
              <w:top w:val="single" w:sz="4" w:space="0" w:color="auto"/>
              <w:bottom w:val="single" w:sz="4" w:space="0" w:color="auto"/>
            </w:tcBorders>
          </w:tcPr>
          <w:p w14:paraId="63E68B69" w14:textId="77777777" w:rsidR="0080605C" w:rsidRPr="005B0700" w:rsidRDefault="0080605C" w:rsidP="005B0700">
            <w:pPr>
              <w:spacing w:before="60" w:after="60" w:line="22" w:lineRule="atLeast"/>
              <w:rPr>
                <w:sz w:val="22"/>
                <w:szCs w:val="24"/>
              </w:rPr>
            </w:pPr>
            <w:r w:rsidRPr="005B0700">
              <w:rPr>
                <w:sz w:val="22"/>
                <w:szCs w:val="24"/>
              </w:rPr>
              <w:t xml:space="preserve">A decision to re-accredit or not re-accredit a residential service (other than a recommencing service), including the period of accreditation </w:t>
            </w:r>
          </w:p>
        </w:tc>
        <w:tc>
          <w:tcPr>
            <w:tcW w:w="2551" w:type="dxa"/>
            <w:tcBorders>
              <w:top w:val="single" w:sz="4" w:space="0" w:color="auto"/>
              <w:bottom w:val="single" w:sz="4" w:space="0" w:color="auto"/>
            </w:tcBorders>
          </w:tcPr>
          <w:p w14:paraId="1E7F26E5" w14:textId="77777777" w:rsidR="0080605C" w:rsidRPr="005B0700" w:rsidRDefault="0080605C" w:rsidP="005B0700">
            <w:pPr>
              <w:spacing w:before="60" w:after="60" w:line="22" w:lineRule="atLeast"/>
              <w:rPr>
                <w:sz w:val="22"/>
                <w:szCs w:val="24"/>
              </w:rPr>
            </w:pPr>
            <w:r w:rsidRPr="005B0700">
              <w:rPr>
                <w:sz w:val="22"/>
                <w:szCs w:val="24"/>
              </w:rPr>
              <w:t>section 41, Div 3, Pt 3</w:t>
            </w:r>
          </w:p>
        </w:tc>
      </w:tr>
      <w:tr w:rsidR="0080605C" w:rsidRPr="00694F59" w14:paraId="152EE5A0" w14:textId="77777777" w:rsidTr="005B0700">
        <w:tc>
          <w:tcPr>
            <w:tcW w:w="5103" w:type="dxa"/>
            <w:tcBorders>
              <w:top w:val="single" w:sz="4" w:space="0" w:color="auto"/>
              <w:bottom w:val="single" w:sz="4" w:space="0" w:color="auto"/>
            </w:tcBorders>
          </w:tcPr>
          <w:p w14:paraId="21DAEE9B" w14:textId="77777777" w:rsidR="0080605C" w:rsidRPr="005B0700" w:rsidRDefault="0080605C" w:rsidP="005B0700">
            <w:pPr>
              <w:spacing w:before="60" w:after="60" w:line="22" w:lineRule="atLeast"/>
              <w:rPr>
                <w:sz w:val="22"/>
                <w:szCs w:val="24"/>
              </w:rPr>
            </w:pPr>
            <w:r w:rsidRPr="005B0700">
              <w:rPr>
                <w:sz w:val="22"/>
                <w:szCs w:val="24"/>
              </w:rPr>
              <w:t>A decision to revoke the accreditation of an accredited service</w:t>
            </w:r>
          </w:p>
        </w:tc>
        <w:tc>
          <w:tcPr>
            <w:tcW w:w="2551" w:type="dxa"/>
            <w:tcBorders>
              <w:top w:val="single" w:sz="4" w:space="0" w:color="auto"/>
              <w:bottom w:val="single" w:sz="4" w:space="0" w:color="auto"/>
            </w:tcBorders>
          </w:tcPr>
          <w:p w14:paraId="670064FB" w14:textId="77777777" w:rsidR="0080605C" w:rsidRPr="005B0700" w:rsidRDefault="0080605C" w:rsidP="005B0700">
            <w:pPr>
              <w:spacing w:before="60" w:after="60" w:line="22" w:lineRule="atLeast"/>
              <w:rPr>
                <w:sz w:val="22"/>
                <w:szCs w:val="24"/>
              </w:rPr>
            </w:pPr>
            <w:r w:rsidRPr="005B0700">
              <w:rPr>
                <w:sz w:val="22"/>
                <w:szCs w:val="24"/>
              </w:rPr>
              <w:t>section 44, Div 3, Pt 3</w:t>
            </w:r>
          </w:p>
        </w:tc>
      </w:tr>
      <w:tr w:rsidR="0080605C" w:rsidRPr="00694F59" w14:paraId="7F791AB2" w14:textId="77777777" w:rsidTr="005B0700">
        <w:tc>
          <w:tcPr>
            <w:tcW w:w="5103" w:type="dxa"/>
            <w:tcBorders>
              <w:top w:val="single" w:sz="4" w:space="0" w:color="auto"/>
              <w:bottom w:val="single" w:sz="4" w:space="0" w:color="auto"/>
            </w:tcBorders>
          </w:tcPr>
          <w:p w14:paraId="432BE8F1" w14:textId="77777777" w:rsidR="0080605C" w:rsidRPr="005B0700" w:rsidRDefault="0080605C" w:rsidP="005B0700">
            <w:pPr>
              <w:spacing w:before="60" w:after="60" w:line="22" w:lineRule="atLeast"/>
              <w:rPr>
                <w:sz w:val="22"/>
                <w:szCs w:val="24"/>
              </w:rPr>
            </w:pPr>
            <w:r w:rsidRPr="005B0700">
              <w:rPr>
                <w:sz w:val="22"/>
                <w:szCs w:val="24"/>
              </w:rPr>
              <w:t>A decision to direct a provider to revise its plan for continuous improvement.</w:t>
            </w:r>
          </w:p>
        </w:tc>
        <w:tc>
          <w:tcPr>
            <w:tcW w:w="2551" w:type="dxa"/>
            <w:tcBorders>
              <w:top w:val="single" w:sz="4" w:space="0" w:color="auto"/>
              <w:bottom w:val="single" w:sz="4" w:space="0" w:color="auto"/>
            </w:tcBorders>
          </w:tcPr>
          <w:p w14:paraId="069439C6" w14:textId="77777777" w:rsidR="0080605C" w:rsidRPr="005B0700" w:rsidRDefault="0080605C" w:rsidP="005B0700">
            <w:pPr>
              <w:spacing w:before="60" w:after="60" w:line="22" w:lineRule="atLeast"/>
              <w:rPr>
                <w:sz w:val="22"/>
                <w:szCs w:val="24"/>
              </w:rPr>
            </w:pPr>
            <w:r w:rsidRPr="005B0700">
              <w:rPr>
                <w:sz w:val="22"/>
                <w:szCs w:val="24"/>
              </w:rPr>
              <w:t>section 63A, Div 4, Pt 5</w:t>
            </w:r>
          </w:p>
        </w:tc>
      </w:tr>
      <w:tr w:rsidR="0080605C" w:rsidRPr="00694F59" w14:paraId="3243F268" w14:textId="77777777" w:rsidTr="005B0700">
        <w:tc>
          <w:tcPr>
            <w:tcW w:w="5103" w:type="dxa"/>
            <w:tcBorders>
              <w:top w:val="single" w:sz="4" w:space="0" w:color="auto"/>
              <w:bottom w:val="single" w:sz="4" w:space="0" w:color="auto"/>
            </w:tcBorders>
          </w:tcPr>
          <w:p w14:paraId="64022096" w14:textId="77777777" w:rsidR="0080605C" w:rsidRPr="005B0700" w:rsidRDefault="0080605C" w:rsidP="005B0700">
            <w:pPr>
              <w:spacing w:before="60" w:after="60" w:line="22" w:lineRule="atLeast"/>
              <w:rPr>
                <w:sz w:val="22"/>
                <w:szCs w:val="24"/>
              </w:rPr>
            </w:pPr>
            <w:r w:rsidRPr="005B0700">
              <w:rPr>
                <w:sz w:val="22"/>
                <w:szCs w:val="24"/>
              </w:rPr>
              <w:t>A decision, following a review audit, to revoke or not revoke and vary the accreditation of an accredited service</w:t>
            </w:r>
          </w:p>
        </w:tc>
        <w:tc>
          <w:tcPr>
            <w:tcW w:w="2551" w:type="dxa"/>
            <w:tcBorders>
              <w:top w:val="single" w:sz="4" w:space="0" w:color="auto"/>
              <w:bottom w:val="single" w:sz="4" w:space="0" w:color="auto"/>
            </w:tcBorders>
          </w:tcPr>
          <w:p w14:paraId="40A9197F" w14:textId="77777777" w:rsidR="0080605C" w:rsidRPr="005B0700" w:rsidRDefault="0080605C" w:rsidP="005B0700">
            <w:pPr>
              <w:spacing w:before="60" w:after="60" w:line="22" w:lineRule="atLeast"/>
              <w:rPr>
                <w:sz w:val="22"/>
                <w:szCs w:val="24"/>
              </w:rPr>
            </w:pPr>
            <w:r w:rsidRPr="005B0700">
              <w:rPr>
                <w:sz w:val="22"/>
                <w:szCs w:val="24"/>
              </w:rPr>
              <w:t xml:space="preserve">section 77, Div 6, Pt 5 </w:t>
            </w:r>
          </w:p>
        </w:tc>
      </w:tr>
      <w:tr w:rsidR="0080605C" w:rsidRPr="00694F59" w14:paraId="6953421D" w14:textId="77777777" w:rsidTr="005B0700">
        <w:tc>
          <w:tcPr>
            <w:tcW w:w="5103" w:type="dxa"/>
            <w:tcBorders>
              <w:top w:val="single" w:sz="4" w:space="0" w:color="auto"/>
              <w:bottom w:val="single" w:sz="4" w:space="0" w:color="auto"/>
            </w:tcBorders>
          </w:tcPr>
          <w:p w14:paraId="73B74E61" w14:textId="77777777" w:rsidR="0080605C" w:rsidRPr="005B0700" w:rsidRDefault="0080605C" w:rsidP="005B0700">
            <w:pPr>
              <w:spacing w:before="60" w:after="60" w:line="22" w:lineRule="atLeast"/>
              <w:contextualSpacing/>
              <w:rPr>
                <w:sz w:val="22"/>
                <w:szCs w:val="24"/>
              </w:rPr>
            </w:pPr>
            <w:r w:rsidRPr="005B0700">
              <w:rPr>
                <w:sz w:val="22"/>
                <w:szCs w:val="24"/>
              </w:rPr>
              <w:t>A decision in relation to an additional information notice under s15</w:t>
            </w:r>
            <w:proofErr w:type="gramStart"/>
            <w:r w:rsidRPr="005B0700">
              <w:rPr>
                <w:sz w:val="22"/>
                <w:szCs w:val="24"/>
              </w:rPr>
              <w:t>NE(</w:t>
            </w:r>
            <w:proofErr w:type="gramEnd"/>
            <w:r w:rsidRPr="005B0700">
              <w:rPr>
                <w:sz w:val="22"/>
                <w:szCs w:val="24"/>
              </w:rPr>
              <w:t xml:space="preserve">5) of the </w:t>
            </w:r>
            <w:proofErr w:type="gramStart"/>
            <w:r w:rsidRPr="005B0700">
              <w:rPr>
                <w:sz w:val="22"/>
                <w:szCs w:val="24"/>
              </w:rPr>
              <w:t>Quality of Care</w:t>
            </w:r>
            <w:proofErr w:type="gramEnd"/>
            <w:r w:rsidRPr="005B0700">
              <w:rPr>
                <w:sz w:val="22"/>
                <w:szCs w:val="24"/>
              </w:rPr>
              <w:t xml:space="preserve"> Principles 2014 (SIRS)</w:t>
            </w:r>
          </w:p>
        </w:tc>
        <w:tc>
          <w:tcPr>
            <w:tcW w:w="2551" w:type="dxa"/>
            <w:tcBorders>
              <w:top w:val="single" w:sz="4" w:space="0" w:color="auto"/>
              <w:bottom w:val="single" w:sz="4" w:space="0" w:color="auto"/>
            </w:tcBorders>
          </w:tcPr>
          <w:p w14:paraId="5A46CDD5" w14:textId="77777777" w:rsidR="0080605C" w:rsidRPr="005B0700" w:rsidRDefault="0080605C" w:rsidP="005B0700">
            <w:pPr>
              <w:spacing w:before="60" w:after="60" w:line="22" w:lineRule="atLeast"/>
              <w:rPr>
                <w:sz w:val="22"/>
                <w:szCs w:val="24"/>
              </w:rPr>
            </w:pPr>
            <w:r w:rsidRPr="005B0700">
              <w:rPr>
                <w:sz w:val="22"/>
                <w:szCs w:val="24"/>
              </w:rPr>
              <w:t>section 95C, Div 2, Pt 6A</w:t>
            </w:r>
          </w:p>
        </w:tc>
      </w:tr>
      <w:tr w:rsidR="0080605C" w:rsidRPr="00694F59" w14:paraId="01117D3E" w14:textId="77777777" w:rsidTr="005B0700">
        <w:tc>
          <w:tcPr>
            <w:tcW w:w="5103" w:type="dxa"/>
            <w:tcBorders>
              <w:top w:val="single" w:sz="4" w:space="0" w:color="auto"/>
              <w:bottom w:val="single" w:sz="4" w:space="0" w:color="auto"/>
            </w:tcBorders>
          </w:tcPr>
          <w:p w14:paraId="3A1C354B" w14:textId="77777777" w:rsidR="0080605C" w:rsidRPr="005B0700" w:rsidRDefault="0080605C" w:rsidP="005B0700">
            <w:pPr>
              <w:spacing w:before="60" w:after="60" w:line="22" w:lineRule="atLeast"/>
              <w:contextualSpacing/>
              <w:rPr>
                <w:sz w:val="22"/>
                <w:szCs w:val="24"/>
              </w:rPr>
            </w:pPr>
            <w:r w:rsidRPr="005B0700">
              <w:rPr>
                <w:sz w:val="22"/>
                <w:szCs w:val="24"/>
              </w:rPr>
              <w:t>A decision that a specified reportable incident is not required to be notified under the SIRS</w:t>
            </w:r>
          </w:p>
        </w:tc>
        <w:tc>
          <w:tcPr>
            <w:tcW w:w="2551" w:type="dxa"/>
            <w:tcBorders>
              <w:top w:val="single" w:sz="4" w:space="0" w:color="auto"/>
              <w:bottom w:val="single" w:sz="4" w:space="0" w:color="auto"/>
            </w:tcBorders>
          </w:tcPr>
          <w:p w14:paraId="67354128" w14:textId="77777777" w:rsidR="0080605C" w:rsidRPr="005B0700" w:rsidRDefault="0080605C" w:rsidP="005B0700">
            <w:pPr>
              <w:spacing w:before="60" w:after="60" w:line="22" w:lineRule="atLeast"/>
              <w:rPr>
                <w:sz w:val="22"/>
                <w:szCs w:val="24"/>
              </w:rPr>
            </w:pPr>
            <w:r w:rsidRPr="005B0700">
              <w:rPr>
                <w:sz w:val="22"/>
                <w:szCs w:val="24"/>
              </w:rPr>
              <w:t>section 95D, Div 2, Pt 6A</w:t>
            </w:r>
          </w:p>
        </w:tc>
      </w:tr>
    </w:tbl>
    <w:p w14:paraId="3C9DAF29" w14:textId="77777777" w:rsidR="00E47B06" w:rsidRPr="00C1360D" w:rsidRDefault="00E47B06" w:rsidP="007024C7"/>
    <w:sectPr w:rsidR="00E47B06" w:rsidRPr="00C1360D" w:rsidSect="006F1923">
      <w:headerReference w:type="default" r:id="rId23"/>
      <w:footerReference w:type="default" r:id="rId24"/>
      <w:pgSz w:w="11906" w:h="16838"/>
      <w:pgMar w:top="170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3F228" w14:textId="77777777" w:rsidR="007729B9" w:rsidRDefault="007729B9" w:rsidP="006F1923">
      <w:pPr>
        <w:spacing w:before="0" w:after="0"/>
      </w:pPr>
      <w:r>
        <w:separator/>
      </w:r>
    </w:p>
  </w:endnote>
  <w:endnote w:type="continuationSeparator" w:id="0">
    <w:p w14:paraId="532ADD31" w14:textId="77777777" w:rsidR="007729B9" w:rsidRDefault="007729B9" w:rsidP="006F1923">
      <w:pPr>
        <w:spacing w:before="0" w:after="0"/>
      </w:pPr>
      <w:r>
        <w:continuationSeparator/>
      </w:r>
    </w:p>
  </w:endnote>
  <w:endnote w:type="continuationNotice" w:id="1">
    <w:p w14:paraId="44BFE0B1" w14:textId="77777777" w:rsidR="007729B9" w:rsidRDefault="007729B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5377" w14:textId="42008964" w:rsidR="006B28CF" w:rsidRPr="00A64068" w:rsidRDefault="00CD25AA" w:rsidP="00E47B06">
    <w:pPr>
      <w:pStyle w:val="Footer"/>
      <w:tabs>
        <w:tab w:val="clear" w:pos="4513"/>
        <w:tab w:val="clear" w:pos="9026"/>
        <w:tab w:val="right" w:pos="9923"/>
      </w:tabs>
      <w:rPr>
        <w:rFonts w:eastAsia="Calibri"/>
        <w:sz w:val="16"/>
        <w:szCs w:val="16"/>
      </w:rPr>
    </w:pPr>
    <w:r w:rsidRPr="00CD25AA">
      <w:rPr>
        <w:rFonts w:eastAsia="Calibri"/>
        <w:sz w:val="16"/>
        <w:szCs w:val="16"/>
      </w:rPr>
      <w:t>Regulatory decision-making</w:t>
    </w:r>
    <w:r w:rsidR="006B28CF" w:rsidRPr="00A64068">
      <w:rPr>
        <w:rFonts w:eastAsia="Calibri"/>
        <w:sz w:val="16"/>
        <w:szCs w:val="16"/>
      </w:rPr>
      <w:tab/>
    </w:r>
    <w:r w:rsidR="00755E44">
      <w:rPr>
        <w:rFonts w:eastAsia="Calibri"/>
        <w:sz w:val="16"/>
        <w:szCs w:val="16"/>
      </w:rPr>
      <w:t>FRM-ACC-060</w:t>
    </w:r>
    <w:r>
      <w:rPr>
        <w:rFonts w:eastAsia="Calibri"/>
        <w:sz w:val="16"/>
        <w:szCs w:val="16"/>
      </w:rPr>
      <w:t>6</w:t>
    </w:r>
    <w:r w:rsidR="006B28CF" w:rsidRPr="00A64068">
      <w:rPr>
        <w:rFonts w:eastAsia="Calibri"/>
        <w:sz w:val="16"/>
        <w:szCs w:val="16"/>
      </w:rPr>
      <w:t xml:space="preserve"> v</w:t>
    </w:r>
    <w:r w:rsidR="006B28CF" w:rsidRPr="00A64068">
      <w:rPr>
        <w:rFonts w:eastAsia="Calibri"/>
        <w:sz w:val="16"/>
        <w:szCs w:val="16"/>
      </w:rPr>
      <w:fldChar w:fldCharType="begin"/>
    </w:r>
    <w:r w:rsidR="006B28CF" w:rsidRPr="00A64068">
      <w:rPr>
        <w:rFonts w:eastAsia="Calibri"/>
        <w:sz w:val="16"/>
        <w:szCs w:val="16"/>
      </w:rPr>
      <w:instrText xml:space="preserve"> REF version_number  \* MERGEFORMAT </w:instrText>
    </w:r>
    <w:r w:rsidR="006B28CF" w:rsidRPr="00A64068">
      <w:rPr>
        <w:rFonts w:eastAsia="Calibri"/>
        <w:sz w:val="16"/>
        <w:szCs w:val="16"/>
      </w:rPr>
      <w:fldChar w:fldCharType="separate"/>
    </w:r>
    <w:r w:rsidR="00A0005E">
      <w:rPr>
        <w:sz w:val="16"/>
        <w:szCs w:val="16"/>
      </w:rPr>
      <w:t>3</w:t>
    </w:r>
    <w:r w:rsidR="006B28CF" w:rsidRPr="00A64068">
      <w:rPr>
        <w:sz w:val="16"/>
        <w:szCs w:val="16"/>
      </w:rPr>
      <w:t>.</w:t>
    </w:r>
    <w:r w:rsidR="006B28CF" w:rsidRPr="00A64068">
      <w:rPr>
        <w:rFonts w:eastAsia="Calibri"/>
        <w:sz w:val="16"/>
        <w:szCs w:val="16"/>
      </w:rPr>
      <w:fldChar w:fldCharType="end"/>
    </w:r>
    <w:r w:rsidR="00603617">
      <w:rPr>
        <w:rFonts w:eastAsia="Calibri"/>
        <w:sz w:val="16"/>
        <w:szCs w:val="16"/>
      </w:rPr>
      <w:t>2</w:t>
    </w:r>
  </w:p>
  <w:p w14:paraId="6EA6CA01" w14:textId="7DA3D1F6" w:rsidR="006B28CF" w:rsidRPr="00E47B06" w:rsidRDefault="006B28CF" w:rsidP="00E47B06">
    <w:pPr>
      <w:pStyle w:val="Footer"/>
      <w:tabs>
        <w:tab w:val="clear" w:pos="4513"/>
        <w:tab w:val="clear" w:pos="9026"/>
        <w:tab w:val="right" w:pos="9923"/>
      </w:tabs>
      <w:rPr>
        <w:sz w:val="16"/>
        <w:szCs w:val="16"/>
      </w:rPr>
    </w:pPr>
    <w:r w:rsidRPr="00C74995">
      <w:rPr>
        <w:rFonts w:eastAsia="Calibri" w:cs="Times New Roman"/>
        <w:sz w:val="16"/>
        <w:szCs w:val="16"/>
      </w:rPr>
      <w:tab/>
      <w:t xml:space="preserve">Page </w:t>
    </w:r>
    <w:r w:rsidRPr="00C74995">
      <w:rPr>
        <w:rFonts w:eastAsia="Calibri" w:cs="Times New Roman"/>
        <w:sz w:val="16"/>
        <w:szCs w:val="16"/>
      </w:rPr>
      <w:fldChar w:fldCharType="begin"/>
    </w:r>
    <w:r w:rsidRPr="00C74995">
      <w:rPr>
        <w:rFonts w:eastAsia="Calibri" w:cs="Times New Roman"/>
        <w:sz w:val="16"/>
        <w:szCs w:val="16"/>
      </w:rPr>
      <w:instrText xml:space="preserve"> PAGE  \* Arabic  \* MERGEFORMAT </w:instrText>
    </w:r>
    <w:r w:rsidRPr="00C74995">
      <w:rPr>
        <w:rFonts w:eastAsia="Calibri" w:cs="Times New Roman"/>
        <w:sz w:val="16"/>
        <w:szCs w:val="16"/>
      </w:rPr>
      <w:fldChar w:fldCharType="separate"/>
    </w:r>
    <w:r w:rsidR="00DE6B55">
      <w:rPr>
        <w:rFonts w:eastAsia="Calibri" w:cs="Times New Roman"/>
        <w:noProof/>
        <w:sz w:val="16"/>
        <w:szCs w:val="16"/>
      </w:rPr>
      <w:t>14</w:t>
    </w:r>
    <w:r w:rsidRPr="00C74995">
      <w:rPr>
        <w:rFonts w:eastAsia="Calibri" w:cs="Times New Roman"/>
        <w:sz w:val="16"/>
        <w:szCs w:val="16"/>
      </w:rPr>
      <w:fldChar w:fldCharType="end"/>
    </w:r>
    <w:r w:rsidRPr="00C74995">
      <w:rPr>
        <w:rFonts w:eastAsia="Calibri" w:cs="Times New Roman"/>
        <w:sz w:val="16"/>
        <w:szCs w:val="16"/>
      </w:rPr>
      <w:t xml:space="preserve"> of </w:t>
    </w:r>
    <w:r w:rsidRPr="00C74995">
      <w:rPr>
        <w:rFonts w:eastAsia="Calibri" w:cs="Times New Roman"/>
        <w:sz w:val="16"/>
        <w:szCs w:val="16"/>
      </w:rPr>
      <w:fldChar w:fldCharType="begin"/>
    </w:r>
    <w:r w:rsidRPr="00C74995">
      <w:rPr>
        <w:rFonts w:eastAsia="Calibri" w:cs="Times New Roman"/>
        <w:sz w:val="16"/>
        <w:szCs w:val="16"/>
      </w:rPr>
      <w:instrText xml:space="preserve"> NUMPAGES  \* Arabic  \* MERGEFORMAT </w:instrText>
    </w:r>
    <w:r w:rsidRPr="00C74995">
      <w:rPr>
        <w:rFonts w:eastAsia="Calibri" w:cs="Times New Roman"/>
        <w:sz w:val="16"/>
        <w:szCs w:val="16"/>
      </w:rPr>
      <w:fldChar w:fldCharType="separate"/>
    </w:r>
    <w:r w:rsidR="00DE6B55">
      <w:rPr>
        <w:rFonts w:eastAsia="Calibri" w:cs="Times New Roman"/>
        <w:noProof/>
        <w:sz w:val="16"/>
        <w:szCs w:val="16"/>
      </w:rPr>
      <w:t>14</w:t>
    </w:r>
    <w:r w:rsidRPr="00C74995">
      <w:rPr>
        <w:rFonts w:eastAsia="Calibri" w:cs="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58505" w14:textId="77777777" w:rsidR="007729B9" w:rsidRDefault="007729B9" w:rsidP="006F1923">
      <w:pPr>
        <w:spacing w:before="0" w:after="0"/>
      </w:pPr>
      <w:r>
        <w:separator/>
      </w:r>
    </w:p>
  </w:footnote>
  <w:footnote w:type="continuationSeparator" w:id="0">
    <w:p w14:paraId="2E2E0E36" w14:textId="77777777" w:rsidR="007729B9" w:rsidRDefault="007729B9" w:rsidP="006F1923">
      <w:pPr>
        <w:spacing w:before="0" w:after="0"/>
      </w:pPr>
      <w:r>
        <w:continuationSeparator/>
      </w:r>
    </w:p>
  </w:footnote>
  <w:footnote w:type="continuationNotice" w:id="1">
    <w:p w14:paraId="3FD9DDE1" w14:textId="77777777" w:rsidR="007729B9" w:rsidRDefault="007729B9">
      <w:pPr>
        <w:spacing w:before="0" w:after="0"/>
      </w:pPr>
    </w:p>
  </w:footnote>
  <w:footnote w:id="2">
    <w:p w14:paraId="2B5992BE" w14:textId="0454E564" w:rsidR="003B41A8" w:rsidRDefault="003B41A8">
      <w:pPr>
        <w:pStyle w:val="FootnoteText"/>
      </w:pPr>
      <w:r>
        <w:rPr>
          <w:rStyle w:val="FootnoteReference"/>
        </w:rPr>
        <w:footnoteRef/>
      </w:r>
      <w:r>
        <w:t xml:space="preserve"> </w:t>
      </w:r>
      <w:hyperlink r:id="rId1" w:history="1">
        <w:r w:rsidR="0028594A" w:rsidRPr="008721F3">
          <w:rPr>
            <w:rStyle w:val="Hyperlink"/>
          </w:rPr>
          <w:t>https://www.legislation.gov.au/Series/C2004A05206</w:t>
        </w:r>
      </w:hyperlink>
      <w:r w:rsidR="0028594A">
        <w:t xml:space="preserve"> </w:t>
      </w:r>
    </w:p>
  </w:footnote>
  <w:footnote w:id="3">
    <w:p w14:paraId="486DA508" w14:textId="0B609C65" w:rsidR="00EE1A26" w:rsidRDefault="00EE1A26">
      <w:pPr>
        <w:pStyle w:val="FootnoteText"/>
      </w:pPr>
      <w:r>
        <w:rPr>
          <w:rStyle w:val="FootnoteReference"/>
        </w:rPr>
        <w:footnoteRef/>
      </w:r>
      <w:r>
        <w:t xml:space="preserve"> </w:t>
      </w:r>
      <w:hyperlink r:id="rId2" w:history="1">
        <w:r w:rsidR="00687606">
          <w:rPr>
            <w:rStyle w:val="Hyperlink"/>
          </w:rPr>
          <w:t>https://www.legislation.gov.au/Series/C2018A00149</w:t>
        </w:r>
      </w:hyperlink>
    </w:p>
  </w:footnote>
  <w:footnote w:id="4">
    <w:p w14:paraId="588F2C27" w14:textId="15150F1E" w:rsidR="00EE1A26" w:rsidRDefault="00EE1A26">
      <w:pPr>
        <w:pStyle w:val="FootnoteText"/>
      </w:pPr>
      <w:r>
        <w:rPr>
          <w:rStyle w:val="FootnoteReference"/>
        </w:rPr>
        <w:footnoteRef/>
      </w:r>
      <w:r>
        <w:t xml:space="preserve"> </w:t>
      </w:r>
      <w:hyperlink r:id="rId3" w:history="1">
        <w:r>
          <w:rPr>
            <w:rStyle w:val="Hyperlink"/>
          </w:rPr>
          <w:t>https://www.legislation.gov.au/Series/F2018L01837</w:t>
        </w:r>
      </w:hyperlink>
    </w:p>
  </w:footnote>
  <w:footnote w:id="5">
    <w:p w14:paraId="7881500C" w14:textId="77777777" w:rsidR="007F6653" w:rsidRDefault="007F6653" w:rsidP="007F6653">
      <w:pPr>
        <w:pStyle w:val="FootnoteText"/>
      </w:pPr>
      <w:r>
        <w:rPr>
          <w:rStyle w:val="FootnoteReference"/>
        </w:rPr>
        <w:footnoteRef/>
      </w:r>
      <w:r>
        <w:t xml:space="preserve"> </w:t>
      </w:r>
      <w:hyperlink r:id="rId4" w:history="1">
        <w:r>
          <w:rPr>
            <w:rStyle w:val="Hyperlink"/>
          </w:rPr>
          <w:t>https://www.agedcarequality.gov.au/resources/aged-care-quality-and-safety-commission-glossary</w:t>
        </w:r>
      </w:hyperlink>
    </w:p>
  </w:footnote>
  <w:footnote w:id="6">
    <w:p w14:paraId="2CFE0EFF" w14:textId="475A0FB9" w:rsidR="00280EBD" w:rsidRDefault="00280EBD">
      <w:pPr>
        <w:pStyle w:val="FootnoteText"/>
      </w:pPr>
      <w:r>
        <w:rPr>
          <w:rStyle w:val="FootnoteReference"/>
        </w:rPr>
        <w:footnoteRef/>
      </w:r>
      <w:r>
        <w:t xml:space="preserve"> </w:t>
      </w:r>
      <w:hyperlink r:id="rId5" w:history="1">
        <w:r>
          <w:rPr>
            <w:rStyle w:val="Hyperlink"/>
          </w:rPr>
          <w:t>https://www.agedcarequality.gov.au/resources/regulatory-bulletin-2020-3.0</w:t>
        </w:r>
      </w:hyperlink>
    </w:p>
  </w:footnote>
  <w:footnote w:id="7">
    <w:p w14:paraId="01FB9D88" w14:textId="49EB869F" w:rsidR="0085306C" w:rsidRDefault="0085306C">
      <w:pPr>
        <w:pStyle w:val="FootnoteText"/>
      </w:pPr>
      <w:r>
        <w:rPr>
          <w:rStyle w:val="FootnoteReference"/>
        </w:rPr>
        <w:footnoteRef/>
      </w:r>
      <w:r>
        <w:t xml:space="preserve"> </w:t>
      </w:r>
      <w:r w:rsidRPr="0085306C">
        <w:t>https://www.agedcarequality.gov.au/contact-us/complaints-about-us</w:t>
      </w:r>
    </w:p>
  </w:footnote>
  <w:footnote w:id="8">
    <w:p w14:paraId="7DB86F85" w14:textId="46AF21B5" w:rsidR="007734C7" w:rsidRDefault="007734C7">
      <w:pPr>
        <w:pStyle w:val="FootnoteText"/>
      </w:pPr>
      <w:r>
        <w:rPr>
          <w:rStyle w:val="FootnoteReference"/>
        </w:rPr>
        <w:footnoteRef/>
      </w:r>
      <w:r>
        <w:t xml:space="preserve"> </w:t>
      </w:r>
      <w:hyperlink r:id="rId6" w:history="1">
        <w:r w:rsidRPr="00281A99">
          <w:rPr>
            <w:rStyle w:val="Hyperlink"/>
          </w:rPr>
          <w:t>https://www.agedcarequality.gov.au/aged-care-performance/non-compliance-register</w:t>
        </w:r>
      </w:hyperlink>
      <w:r>
        <w:t xml:space="preserve"> </w:t>
      </w:r>
    </w:p>
  </w:footnote>
  <w:footnote w:id="9">
    <w:p w14:paraId="2C3A713E" w14:textId="0FBE0DFA" w:rsidR="005045FD" w:rsidRDefault="005045FD">
      <w:pPr>
        <w:pStyle w:val="FootnoteText"/>
      </w:pPr>
      <w:r>
        <w:rPr>
          <w:rStyle w:val="FootnoteReference"/>
        </w:rPr>
        <w:footnoteRef/>
      </w:r>
      <w:r>
        <w:t xml:space="preserve"> </w:t>
      </w:r>
      <w:hyperlink r:id="rId7" w:history="1">
        <w:r w:rsidRPr="00281A99">
          <w:rPr>
            <w:rStyle w:val="Hyperlink"/>
          </w:rPr>
          <w:t>https://www.agedcarequality.gov.au/aged-care-performance/banning-orders-register</w:t>
        </w:r>
      </w:hyperlink>
      <w:r>
        <w:t xml:space="preserve"> </w:t>
      </w:r>
    </w:p>
  </w:footnote>
  <w:footnote w:id="10">
    <w:p w14:paraId="1DB965AB" w14:textId="29A3A5E2" w:rsidR="001A4CE9" w:rsidRDefault="001A4CE9">
      <w:pPr>
        <w:pStyle w:val="FootnoteText"/>
      </w:pPr>
      <w:r>
        <w:rPr>
          <w:rStyle w:val="FootnoteReference"/>
        </w:rPr>
        <w:footnoteRef/>
      </w:r>
      <w:r>
        <w:t xml:space="preserve"> </w:t>
      </w:r>
      <w:hyperlink r:id="rId8" w:history="1">
        <w:r w:rsidR="006C53D8" w:rsidRPr="006C53D8">
          <w:rPr>
            <w:rStyle w:val="Hyperlink"/>
          </w:rPr>
          <w:t>https://www.agedcarequality.gov.au/resources/rb-2023-18-publication-provider-performance-information</w:t>
        </w:r>
      </w:hyperlink>
    </w:p>
  </w:footnote>
  <w:footnote w:id="11">
    <w:p w14:paraId="2344F2C6" w14:textId="77777777" w:rsidR="005A6318" w:rsidRDefault="005A6318" w:rsidP="005A6318">
      <w:pPr>
        <w:pStyle w:val="FootnoteText"/>
      </w:pPr>
      <w:r>
        <w:rPr>
          <w:rStyle w:val="FootnoteReference"/>
        </w:rPr>
        <w:footnoteRef/>
      </w:r>
      <w:r>
        <w:t xml:space="preserve"> </w:t>
      </w:r>
      <w:hyperlink r:id="rId9" w:history="1">
        <w:r>
          <w:rPr>
            <w:rStyle w:val="Hyperlink"/>
          </w:rPr>
          <w:t>https://www.agedcarequality.gov.au/subscribe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CFAA" w14:textId="77777777" w:rsidR="006B28CF" w:rsidRDefault="006B28CF">
    <w:pPr>
      <w:pStyle w:val="Header"/>
    </w:pPr>
    <w:r>
      <w:rPr>
        <w:noProof/>
        <w:sz w:val="20"/>
        <w:lang w:eastAsia="en-AU"/>
      </w:rPr>
      <w:drawing>
        <wp:anchor distT="0" distB="0" distL="114300" distR="114300" simplePos="0" relativeHeight="251658240" behindDoc="1" locked="0" layoutInCell="1" allowOverlap="1" wp14:anchorId="0C87E92E" wp14:editId="550948E0">
          <wp:simplePos x="0" y="0"/>
          <wp:positionH relativeFrom="page">
            <wp:align>left</wp:align>
          </wp:positionH>
          <wp:positionV relativeFrom="paragraph">
            <wp:posOffset>-448310</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A652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5A3F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479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5CB8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2A93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D68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EED2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720E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EE4C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96C6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B7A1B"/>
    <w:multiLevelType w:val="hybridMultilevel"/>
    <w:tmpl w:val="6C16F1A8"/>
    <w:lvl w:ilvl="0" w:tplc="632A9CE4">
      <w:start w:val="1"/>
      <w:numFmt w:val="bullet"/>
      <w:lvlText w:val=""/>
      <w:lvlJc w:val="left"/>
      <w:pPr>
        <w:ind w:left="360" w:hanging="360"/>
      </w:pPr>
      <w:rPr>
        <w:rFonts w:ascii="Symbol" w:hAnsi="Symbol" w:hint="default"/>
        <w:sz w:val="24"/>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077B2BFB"/>
    <w:multiLevelType w:val="hybridMultilevel"/>
    <w:tmpl w:val="44EEC7C6"/>
    <w:lvl w:ilvl="0" w:tplc="6468826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686E2E"/>
    <w:multiLevelType w:val="hybridMultilevel"/>
    <w:tmpl w:val="3CC83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C03085B"/>
    <w:multiLevelType w:val="hybridMultilevel"/>
    <w:tmpl w:val="5CBE44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0D2C7C41"/>
    <w:multiLevelType w:val="hybridMultilevel"/>
    <w:tmpl w:val="22CA2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271CE6"/>
    <w:multiLevelType w:val="hybridMultilevel"/>
    <w:tmpl w:val="B70E1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24476FB"/>
    <w:multiLevelType w:val="hybridMultilevel"/>
    <w:tmpl w:val="BFA0D5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44B444B"/>
    <w:multiLevelType w:val="hybridMultilevel"/>
    <w:tmpl w:val="8CBA4104"/>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67001CA"/>
    <w:multiLevelType w:val="hybridMultilevel"/>
    <w:tmpl w:val="3572CD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7067D20"/>
    <w:multiLevelType w:val="hybridMultilevel"/>
    <w:tmpl w:val="1E7E33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70B41E3"/>
    <w:multiLevelType w:val="hybridMultilevel"/>
    <w:tmpl w:val="B7F27036"/>
    <w:lvl w:ilvl="0" w:tplc="51FA5A56">
      <w:numFmt w:val="bullet"/>
      <w:lvlText w:val=""/>
      <w:lvlJc w:val="left"/>
      <w:pPr>
        <w:ind w:left="787" w:hanging="360"/>
      </w:pPr>
      <w:rPr>
        <w:rFonts w:ascii="Symbol" w:eastAsiaTheme="minorHAnsi" w:hAnsi="Symbol" w:cs="Aria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1" w15:restartNumberingAfterBreak="0">
    <w:nsid w:val="19382BCF"/>
    <w:multiLevelType w:val="hybridMultilevel"/>
    <w:tmpl w:val="ABCA0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C621328"/>
    <w:multiLevelType w:val="hybridMultilevel"/>
    <w:tmpl w:val="AC6AF5AA"/>
    <w:lvl w:ilvl="0" w:tplc="DE0C02A4">
      <w:start w:val="1"/>
      <w:numFmt w:val="bullet"/>
      <w:pStyle w:val="ListBullet"/>
      <w:lvlText w:val=""/>
      <w:lvlJc w:val="left"/>
      <w:pPr>
        <w:ind w:left="720" w:hanging="360"/>
      </w:pPr>
      <w:rPr>
        <w:rFonts w:ascii="Symbol" w:hAnsi="Symbol" w:hint="default"/>
      </w:rPr>
    </w:lvl>
    <w:lvl w:ilvl="1" w:tplc="CA641C6E">
      <w:start w:val="1"/>
      <w:numFmt w:val="bullet"/>
      <w:pStyle w:val="ListBullet2"/>
      <w:lvlText w:val="o"/>
      <w:lvlJc w:val="left"/>
      <w:pPr>
        <w:ind w:left="1440" w:hanging="360"/>
      </w:pPr>
      <w:rPr>
        <w:rFonts w:ascii="Courier New" w:hAnsi="Courier New" w:cs="Courier New" w:hint="default"/>
      </w:rPr>
    </w:lvl>
    <w:lvl w:ilvl="2" w:tplc="0582AC0A">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ED33A25"/>
    <w:multiLevelType w:val="hybridMultilevel"/>
    <w:tmpl w:val="DD98C5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245E7096"/>
    <w:multiLevelType w:val="hybridMultilevel"/>
    <w:tmpl w:val="DF6A8BA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5A844DB"/>
    <w:multiLevelType w:val="hybridMultilevel"/>
    <w:tmpl w:val="BBFEB8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BCD0F74"/>
    <w:multiLevelType w:val="hybridMultilevel"/>
    <w:tmpl w:val="A41A1A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33325493"/>
    <w:multiLevelType w:val="hybridMultilevel"/>
    <w:tmpl w:val="899CC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40D2791"/>
    <w:multiLevelType w:val="hybridMultilevel"/>
    <w:tmpl w:val="27DEC8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4BD6A57"/>
    <w:multiLevelType w:val="hybridMultilevel"/>
    <w:tmpl w:val="D7A0B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77963E3"/>
    <w:multiLevelType w:val="hybridMultilevel"/>
    <w:tmpl w:val="693A77D2"/>
    <w:lvl w:ilvl="0" w:tplc="F2DA4434">
      <w:start w:val="1"/>
      <w:numFmt w:val="lowerLetter"/>
      <w:lvlText w:val="(%1)"/>
      <w:lvlJc w:val="left"/>
      <w:pPr>
        <w:ind w:left="720" w:hanging="360"/>
      </w:pPr>
      <w:rPr>
        <w:rFonts w:hint="default"/>
      </w:rPr>
    </w:lvl>
    <w:lvl w:ilvl="1" w:tplc="CA641C6E">
      <w:start w:val="1"/>
      <w:numFmt w:val="bullet"/>
      <w:lvlText w:val="o"/>
      <w:lvlJc w:val="left"/>
      <w:pPr>
        <w:ind w:left="1440" w:hanging="360"/>
      </w:pPr>
      <w:rPr>
        <w:rFonts w:ascii="Courier New" w:hAnsi="Courier New" w:cs="Courier New" w:hint="default"/>
      </w:rPr>
    </w:lvl>
    <w:lvl w:ilvl="2" w:tplc="0582AC0A">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9B803D3"/>
    <w:multiLevelType w:val="hybridMultilevel"/>
    <w:tmpl w:val="D5A0F4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D053565"/>
    <w:multiLevelType w:val="hybridMultilevel"/>
    <w:tmpl w:val="50DC6B7C"/>
    <w:lvl w:ilvl="0" w:tplc="51FA5A5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37656E1"/>
    <w:multiLevelType w:val="hybridMultilevel"/>
    <w:tmpl w:val="C96CB5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43D62FFE"/>
    <w:multiLevelType w:val="hybridMultilevel"/>
    <w:tmpl w:val="D368D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6C35787"/>
    <w:multiLevelType w:val="hybridMultilevel"/>
    <w:tmpl w:val="1FCAF1EE"/>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15:restartNumberingAfterBreak="0">
    <w:nsid w:val="47B64C4B"/>
    <w:multiLevelType w:val="hybridMultilevel"/>
    <w:tmpl w:val="36082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3506FD6"/>
    <w:multiLevelType w:val="multilevel"/>
    <w:tmpl w:val="82A6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F63138"/>
    <w:multiLevelType w:val="hybridMultilevel"/>
    <w:tmpl w:val="036C8B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A664C97"/>
    <w:multiLevelType w:val="hybridMultilevel"/>
    <w:tmpl w:val="F52E7E82"/>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F825155"/>
    <w:multiLevelType w:val="hybridMultilevel"/>
    <w:tmpl w:val="336881F6"/>
    <w:lvl w:ilvl="0" w:tplc="CB2609C6">
      <w:start w:val="1"/>
      <w:numFmt w:val="lowerLetter"/>
      <w:lvlText w:val="(%1)"/>
      <w:lvlJc w:val="left"/>
      <w:pPr>
        <w:ind w:left="427" w:hanging="360"/>
      </w:pPr>
      <w:rPr>
        <w:rFonts w:hint="default"/>
      </w:rPr>
    </w:lvl>
    <w:lvl w:ilvl="1" w:tplc="0C090019" w:tentative="1">
      <w:start w:val="1"/>
      <w:numFmt w:val="lowerLetter"/>
      <w:lvlText w:val="%2."/>
      <w:lvlJc w:val="left"/>
      <w:pPr>
        <w:ind w:left="1147" w:hanging="360"/>
      </w:pPr>
    </w:lvl>
    <w:lvl w:ilvl="2" w:tplc="0C09001B" w:tentative="1">
      <w:start w:val="1"/>
      <w:numFmt w:val="lowerRoman"/>
      <w:lvlText w:val="%3."/>
      <w:lvlJc w:val="right"/>
      <w:pPr>
        <w:ind w:left="1867" w:hanging="180"/>
      </w:pPr>
    </w:lvl>
    <w:lvl w:ilvl="3" w:tplc="0C09000F" w:tentative="1">
      <w:start w:val="1"/>
      <w:numFmt w:val="decimal"/>
      <w:lvlText w:val="%4."/>
      <w:lvlJc w:val="left"/>
      <w:pPr>
        <w:ind w:left="2587" w:hanging="360"/>
      </w:pPr>
    </w:lvl>
    <w:lvl w:ilvl="4" w:tplc="0C090019" w:tentative="1">
      <w:start w:val="1"/>
      <w:numFmt w:val="lowerLetter"/>
      <w:lvlText w:val="%5."/>
      <w:lvlJc w:val="left"/>
      <w:pPr>
        <w:ind w:left="3307" w:hanging="360"/>
      </w:pPr>
    </w:lvl>
    <w:lvl w:ilvl="5" w:tplc="0C09001B" w:tentative="1">
      <w:start w:val="1"/>
      <w:numFmt w:val="lowerRoman"/>
      <w:lvlText w:val="%6."/>
      <w:lvlJc w:val="right"/>
      <w:pPr>
        <w:ind w:left="4027" w:hanging="180"/>
      </w:pPr>
    </w:lvl>
    <w:lvl w:ilvl="6" w:tplc="0C09000F" w:tentative="1">
      <w:start w:val="1"/>
      <w:numFmt w:val="decimal"/>
      <w:lvlText w:val="%7."/>
      <w:lvlJc w:val="left"/>
      <w:pPr>
        <w:ind w:left="4747" w:hanging="360"/>
      </w:pPr>
    </w:lvl>
    <w:lvl w:ilvl="7" w:tplc="0C090019" w:tentative="1">
      <w:start w:val="1"/>
      <w:numFmt w:val="lowerLetter"/>
      <w:lvlText w:val="%8."/>
      <w:lvlJc w:val="left"/>
      <w:pPr>
        <w:ind w:left="5467" w:hanging="360"/>
      </w:pPr>
    </w:lvl>
    <w:lvl w:ilvl="8" w:tplc="0C09001B" w:tentative="1">
      <w:start w:val="1"/>
      <w:numFmt w:val="lowerRoman"/>
      <w:lvlText w:val="%9."/>
      <w:lvlJc w:val="right"/>
      <w:pPr>
        <w:ind w:left="6187" w:hanging="180"/>
      </w:pPr>
    </w:lvl>
  </w:abstractNum>
  <w:abstractNum w:abstractNumId="41" w15:restartNumberingAfterBreak="0">
    <w:nsid w:val="60E169CF"/>
    <w:multiLevelType w:val="hybridMultilevel"/>
    <w:tmpl w:val="042A1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E2309F8"/>
    <w:multiLevelType w:val="hybridMultilevel"/>
    <w:tmpl w:val="64EADB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EF322E4"/>
    <w:multiLevelType w:val="hybridMultilevel"/>
    <w:tmpl w:val="1DB40954"/>
    <w:lvl w:ilvl="0" w:tplc="51FA5A5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02346CE"/>
    <w:multiLevelType w:val="multilevel"/>
    <w:tmpl w:val="305CC886"/>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3B417ED"/>
    <w:multiLevelType w:val="hybridMultilevel"/>
    <w:tmpl w:val="36A6F2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9D2485B"/>
    <w:multiLevelType w:val="hybridMultilevel"/>
    <w:tmpl w:val="3C1AF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A9D23DC"/>
    <w:multiLevelType w:val="hybridMultilevel"/>
    <w:tmpl w:val="B2EE00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68909331">
    <w:abstractNumId w:val="9"/>
  </w:num>
  <w:num w:numId="2" w16cid:durableId="812214742">
    <w:abstractNumId w:val="7"/>
  </w:num>
  <w:num w:numId="3" w16cid:durableId="27730893">
    <w:abstractNumId w:val="6"/>
  </w:num>
  <w:num w:numId="4" w16cid:durableId="112797991">
    <w:abstractNumId w:val="5"/>
  </w:num>
  <w:num w:numId="5" w16cid:durableId="1297687801">
    <w:abstractNumId w:val="4"/>
  </w:num>
  <w:num w:numId="6" w16cid:durableId="1094978486">
    <w:abstractNumId w:val="8"/>
  </w:num>
  <w:num w:numId="7" w16cid:durableId="378364322">
    <w:abstractNumId w:val="3"/>
  </w:num>
  <w:num w:numId="8" w16cid:durableId="764110227">
    <w:abstractNumId w:val="2"/>
  </w:num>
  <w:num w:numId="9" w16cid:durableId="479150492">
    <w:abstractNumId w:val="1"/>
  </w:num>
  <w:num w:numId="10" w16cid:durableId="246816724">
    <w:abstractNumId w:val="0"/>
  </w:num>
  <w:num w:numId="11" w16cid:durableId="683096391">
    <w:abstractNumId w:val="22"/>
  </w:num>
  <w:num w:numId="12" w16cid:durableId="1441991608">
    <w:abstractNumId w:val="24"/>
  </w:num>
  <w:num w:numId="13" w16cid:durableId="270940232">
    <w:abstractNumId w:val="44"/>
  </w:num>
  <w:num w:numId="14" w16cid:durableId="619190734">
    <w:abstractNumId w:val="25"/>
  </w:num>
  <w:num w:numId="15" w16cid:durableId="221185919">
    <w:abstractNumId w:val="23"/>
  </w:num>
  <w:num w:numId="16" w16cid:durableId="823085621">
    <w:abstractNumId w:val="46"/>
  </w:num>
  <w:num w:numId="17" w16cid:durableId="1684354429">
    <w:abstractNumId w:val="41"/>
  </w:num>
  <w:num w:numId="18" w16cid:durableId="1601791277">
    <w:abstractNumId w:val="33"/>
  </w:num>
  <w:num w:numId="19" w16cid:durableId="1329093513">
    <w:abstractNumId w:val="10"/>
  </w:num>
  <w:num w:numId="20" w16cid:durableId="2033846814">
    <w:abstractNumId w:val="19"/>
  </w:num>
  <w:num w:numId="21" w16cid:durableId="1689287409">
    <w:abstractNumId w:val="37"/>
  </w:num>
  <w:num w:numId="22" w16cid:durableId="1254625449">
    <w:abstractNumId w:val="12"/>
  </w:num>
  <w:num w:numId="23" w16cid:durableId="1651210763">
    <w:abstractNumId w:val="36"/>
  </w:num>
  <w:num w:numId="24" w16cid:durableId="1967202105">
    <w:abstractNumId w:val="16"/>
  </w:num>
  <w:num w:numId="25" w16cid:durableId="1491142439">
    <w:abstractNumId w:val="43"/>
  </w:num>
  <w:num w:numId="26" w16cid:durableId="604001922">
    <w:abstractNumId w:val="13"/>
  </w:num>
  <w:num w:numId="27" w16cid:durableId="140999178">
    <w:abstractNumId w:val="26"/>
  </w:num>
  <w:num w:numId="28" w16cid:durableId="1136607756">
    <w:abstractNumId w:val="20"/>
  </w:num>
  <w:num w:numId="29" w16cid:durableId="1155074265">
    <w:abstractNumId w:val="32"/>
  </w:num>
  <w:num w:numId="30" w16cid:durableId="4346418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5293150">
    <w:abstractNumId w:val="33"/>
  </w:num>
  <w:num w:numId="32" w16cid:durableId="1530725539">
    <w:abstractNumId w:val="16"/>
  </w:num>
  <w:num w:numId="33" w16cid:durableId="2057661862">
    <w:abstractNumId w:val="20"/>
  </w:num>
  <w:num w:numId="34" w16cid:durableId="1593002427">
    <w:abstractNumId w:val="47"/>
  </w:num>
  <w:num w:numId="35" w16cid:durableId="20252816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40426654">
    <w:abstractNumId w:val="11"/>
  </w:num>
  <w:num w:numId="37" w16cid:durableId="329915466">
    <w:abstractNumId w:val="38"/>
  </w:num>
  <w:num w:numId="38" w16cid:durableId="1136677609">
    <w:abstractNumId w:val="21"/>
  </w:num>
  <w:num w:numId="39" w16cid:durableId="497581554">
    <w:abstractNumId w:val="31"/>
  </w:num>
  <w:num w:numId="40" w16cid:durableId="2068914762">
    <w:abstractNumId w:val="40"/>
  </w:num>
  <w:num w:numId="41" w16cid:durableId="1126968507">
    <w:abstractNumId w:val="30"/>
  </w:num>
  <w:num w:numId="42" w16cid:durableId="846796885">
    <w:abstractNumId w:val="34"/>
  </w:num>
  <w:num w:numId="43" w16cid:durableId="1769346933">
    <w:abstractNumId w:val="15"/>
  </w:num>
  <w:num w:numId="44" w16cid:durableId="668795746">
    <w:abstractNumId w:val="17"/>
  </w:num>
  <w:num w:numId="45" w16cid:durableId="607539720">
    <w:abstractNumId w:val="18"/>
  </w:num>
  <w:num w:numId="46" w16cid:durableId="1599292398">
    <w:abstractNumId w:val="45"/>
  </w:num>
  <w:num w:numId="47" w16cid:durableId="1457796057">
    <w:abstractNumId w:val="42"/>
  </w:num>
  <w:num w:numId="48" w16cid:durableId="772549886">
    <w:abstractNumId w:val="39"/>
  </w:num>
  <w:num w:numId="49" w16cid:durableId="1504248665">
    <w:abstractNumId w:val="27"/>
  </w:num>
  <w:num w:numId="50" w16cid:durableId="448475856">
    <w:abstractNumId w:val="28"/>
  </w:num>
  <w:num w:numId="51" w16cid:durableId="361172350">
    <w:abstractNumId w:val="29"/>
  </w:num>
  <w:num w:numId="52" w16cid:durableId="729232875">
    <w:abstractNumId w:val="35"/>
  </w:num>
  <w:num w:numId="53" w16cid:durableId="1636183581">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625"/>
    <w:rsid w:val="00000498"/>
    <w:rsid w:val="00001618"/>
    <w:rsid w:val="0000239F"/>
    <w:rsid w:val="0000297E"/>
    <w:rsid w:val="00002B8B"/>
    <w:rsid w:val="000030EC"/>
    <w:rsid w:val="0000491B"/>
    <w:rsid w:val="0000670C"/>
    <w:rsid w:val="00006A04"/>
    <w:rsid w:val="00012AA2"/>
    <w:rsid w:val="000137AE"/>
    <w:rsid w:val="00013957"/>
    <w:rsid w:val="000149E5"/>
    <w:rsid w:val="00014EA2"/>
    <w:rsid w:val="00015318"/>
    <w:rsid w:val="00015667"/>
    <w:rsid w:val="00015E1D"/>
    <w:rsid w:val="00016086"/>
    <w:rsid w:val="00016560"/>
    <w:rsid w:val="00016A7E"/>
    <w:rsid w:val="0001728F"/>
    <w:rsid w:val="00017AFD"/>
    <w:rsid w:val="00017E86"/>
    <w:rsid w:val="00021364"/>
    <w:rsid w:val="00023447"/>
    <w:rsid w:val="00025B93"/>
    <w:rsid w:val="0002715C"/>
    <w:rsid w:val="00027D02"/>
    <w:rsid w:val="00032021"/>
    <w:rsid w:val="00032E5E"/>
    <w:rsid w:val="00037C31"/>
    <w:rsid w:val="0004053F"/>
    <w:rsid w:val="00040DAD"/>
    <w:rsid w:val="0004131D"/>
    <w:rsid w:val="000422AA"/>
    <w:rsid w:val="00043625"/>
    <w:rsid w:val="00044175"/>
    <w:rsid w:val="00045BE3"/>
    <w:rsid w:val="00045D55"/>
    <w:rsid w:val="00047739"/>
    <w:rsid w:val="0005026B"/>
    <w:rsid w:val="00050961"/>
    <w:rsid w:val="00051433"/>
    <w:rsid w:val="00051C78"/>
    <w:rsid w:val="00051ECE"/>
    <w:rsid w:val="00051F4B"/>
    <w:rsid w:val="000536A4"/>
    <w:rsid w:val="00053866"/>
    <w:rsid w:val="00053B13"/>
    <w:rsid w:val="00053D33"/>
    <w:rsid w:val="00055155"/>
    <w:rsid w:val="00055C62"/>
    <w:rsid w:val="00055FD5"/>
    <w:rsid w:val="00056BC2"/>
    <w:rsid w:val="000606F4"/>
    <w:rsid w:val="000619FE"/>
    <w:rsid w:val="000621CE"/>
    <w:rsid w:val="00063836"/>
    <w:rsid w:val="000638E7"/>
    <w:rsid w:val="00064184"/>
    <w:rsid w:val="00064F6F"/>
    <w:rsid w:val="000659B9"/>
    <w:rsid w:val="00066430"/>
    <w:rsid w:val="00066BCF"/>
    <w:rsid w:val="000702A2"/>
    <w:rsid w:val="00073054"/>
    <w:rsid w:val="00073E73"/>
    <w:rsid w:val="00073F0C"/>
    <w:rsid w:val="00074867"/>
    <w:rsid w:val="000755D3"/>
    <w:rsid w:val="000759A3"/>
    <w:rsid w:val="0007603F"/>
    <w:rsid w:val="00076547"/>
    <w:rsid w:val="00076A2E"/>
    <w:rsid w:val="00076FA2"/>
    <w:rsid w:val="00077C9C"/>
    <w:rsid w:val="00077DDE"/>
    <w:rsid w:val="00077E36"/>
    <w:rsid w:val="00081504"/>
    <w:rsid w:val="0008183F"/>
    <w:rsid w:val="00081FAD"/>
    <w:rsid w:val="0008261F"/>
    <w:rsid w:val="000827DE"/>
    <w:rsid w:val="00083303"/>
    <w:rsid w:val="000833D8"/>
    <w:rsid w:val="00083A75"/>
    <w:rsid w:val="00083E94"/>
    <w:rsid w:val="000846AB"/>
    <w:rsid w:val="00084AF7"/>
    <w:rsid w:val="0008547F"/>
    <w:rsid w:val="000856D7"/>
    <w:rsid w:val="00085EA5"/>
    <w:rsid w:val="00092B9C"/>
    <w:rsid w:val="00092F4C"/>
    <w:rsid w:val="00094603"/>
    <w:rsid w:val="00094769"/>
    <w:rsid w:val="00095165"/>
    <w:rsid w:val="000958D9"/>
    <w:rsid w:val="00096CB0"/>
    <w:rsid w:val="000A07AF"/>
    <w:rsid w:val="000A0E0F"/>
    <w:rsid w:val="000A1CC1"/>
    <w:rsid w:val="000A1EC5"/>
    <w:rsid w:val="000A2A53"/>
    <w:rsid w:val="000A47EC"/>
    <w:rsid w:val="000A4946"/>
    <w:rsid w:val="000A4F59"/>
    <w:rsid w:val="000A52AB"/>
    <w:rsid w:val="000A7C25"/>
    <w:rsid w:val="000B0694"/>
    <w:rsid w:val="000B1564"/>
    <w:rsid w:val="000B1C92"/>
    <w:rsid w:val="000B5BCA"/>
    <w:rsid w:val="000C0304"/>
    <w:rsid w:val="000C107E"/>
    <w:rsid w:val="000C1DC3"/>
    <w:rsid w:val="000C2BE1"/>
    <w:rsid w:val="000C448D"/>
    <w:rsid w:val="000C4589"/>
    <w:rsid w:val="000C4B0F"/>
    <w:rsid w:val="000C5253"/>
    <w:rsid w:val="000C5347"/>
    <w:rsid w:val="000C5810"/>
    <w:rsid w:val="000C7A3E"/>
    <w:rsid w:val="000D0690"/>
    <w:rsid w:val="000D0C1D"/>
    <w:rsid w:val="000D425E"/>
    <w:rsid w:val="000D4A43"/>
    <w:rsid w:val="000D52A1"/>
    <w:rsid w:val="000D59C7"/>
    <w:rsid w:val="000D5D43"/>
    <w:rsid w:val="000D639A"/>
    <w:rsid w:val="000D70C4"/>
    <w:rsid w:val="000E097C"/>
    <w:rsid w:val="000E0DAB"/>
    <w:rsid w:val="000E4AA6"/>
    <w:rsid w:val="000E56EA"/>
    <w:rsid w:val="000E5D01"/>
    <w:rsid w:val="000E656F"/>
    <w:rsid w:val="000E68B9"/>
    <w:rsid w:val="000F06F3"/>
    <w:rsid w:val="000F1899"/>
    <w:rsid w:val="000F1DFB"/>
    <w:rsid w:val="000F2DF9"/>
    <w:rsid w:val="000F3FF2"/>
    <w:rsid w:val="000F5F2C"/>
    <w:rsid w:val="000F7574"/>
    <w:rsid w:val="001010C0"/>
    <w:rsid w:val="00101DA9"/>
    <w:rsid w:val="001022EC"/>
    <w:rsid w:val="00102513"/>
    <w:rsid w:val="001037E6"/>
    <w:rsid w:val="001042D1"/>
    <w:rsid w:val="00104B32"/>
    <w:rsid w:val="00104B50"/>
    <w:rsid w:val="00106DD4"/>
    <w:rsid w:val="0011033C"/>
    <w:rsid w:val="00110DFD"/>
    <w:rsid w:val="001134C7"/>
    <w:rsid w:val="00115648"/>
    <w:rsid w:val="00116418"/>
    <w:rsid w:val="001167CD"/>
    <w:rsid w:val="001169B3"/>
    <w:rsid w:val="00116D5B"/>
    <w:rsid w:val="001170A1"/>
    <w:rsid w:val="00117DDD"/>
    <w:rsid w:val="00120B47"/>
    <w:rsid w:val="00121F87"/>
    <w:rsid w:val="00122A8B"/>
    <w:rsid w:val="001230C2"/>
    <w:rsid w:val="001236C1"/>
    <w:rsid w:val="00125F73"/>
    <w:rsid w:val="00130309"/>
    <w:rsid w:val="001309CD"/>
    <w:rsid w:val="00130E9B"/>
    <w:rsid w:val="00131A2E"/>
    <w:rsid w:val="00132752"/>
    <w:rsid w:val="001330BA"/>
    <w:rsid w:val="0013333C"/>
    <w:rsid w:val="0013604D"/>
    <w:rsid w:val="001365C5"/>
    <w:rsid w:val="001374B0"/>
    <w:rsid w:val="001379B1"/>
    <w:rsid w:val="00137EEE"/>
    <w:rsid w:val="0014118E"/>
    <w:rsid w:val="00141357"/>
    <w:rsid w:val="00141904"/>
    <w:rsid w:val="00142B19"/>
    <w:rsid w:val="00144AD8"/>
    <w:rsid w:val="00144ECF"/>
    <w:rsid w:val="00144F5E"/>
    <w:rsid w:val="0014516A"/>
    <w:rsid w:val="00145368"/>
    <w:rsid w:val="001460C2"/>
    <w:rsid w:val="00147394"/>
    <w:rsid w:val="00147514"/>
    <w:rsid w:val="00147934"/>
    <w:rsid w:val="00147942"/>
    <w:rsid w:val="00147DDB"/>
    <w:rsid w:val="0015004C"/>
    <w:rsid w:val="0015044E"/>
    <w:rsid w:val="00150B54"/>
    <w:rsid w:val="00151641"/>
    <w:rsid w:val="0015215D"/>
    <w:rsid w:val="00152610"/>
    <w:rsid w:val="00153792"/>
    <w:rsid w:val="00153CEF"/>
    <w:rsid w:val="0015427C"/>
    <w:rsid w:val="00156B34"/>
    <w:rsid w:val="00157F46"/>
    <w:rsid w:val="00162681"/>
    <w:rsid w:val="00164B81"/>
    <w:rsid w:val="001673D1"/>
    <w:rsid w:val="0016754A"/>
    <w:rsid w:val="001675B3"/>
    <w:rsid w:val="001676A1"/>
    <w:rsid w:val="0016793A"/>
    <w:rsid w:val="00167BB5"/>
    <w:rsid w:val="00170A18"/>
    <w:rsid w:val="00171972"/>
    <w:rsid w:val="0017486E"/>
    <w:rsid w:val="00175A4A"/>
    <w:rsid w:val="001761D1"/>
    <w:rsid w:val="0017689C"/>
    <w:rsid w:val="001813B8"/>
    <w:rsid w:val="001841AC"/>
    <w:rsid w:val="0018605A"/>
    <w:rsid w:val="00186EC8"/>
    <w:rsid w:val="00187788"/>
    <w:rsid w:val="001907E9"/>
    <w:rsid w:val="00191A7B"/>
    <w:rsid w:val="00192FC0"/>
    <w:rsid w:val="0019338D"/>
    <w:rsid w:val="001940EC"/>
    <w:rsid w:val="00194E45"/>
    <w:rsid w:val="0019518D"/>
    <w:rsid w:val="00195FBF"/>
    <w:rsid w:val="00196EB4"/>
    <w:rsid w:val="001978E5"/>
    <w:rsid w:val="001A0DD3"/>
    <w:rsid w:val="001A1D95"/>
    <w:rsid w:val="001A29BF"/>
    <w:rsid w:val="001A32B6"/>
    <w:rsid w:val="001A4CE9"/>
    <w:rsid w:val="001A6B25"/>
    <w:rsid w:val="001B0B97"/>
    <w:rsid w:val="001B12A0"/>
    <w:rsid w:val="001B15FF"/>
    <w:rsid w:val="001B1D8E"/>
    <w:rsid w:val="001B3B8E"/>
    <w:rsid w:val="001B45BA"/>
    <w:rsid w:val="001B6A33"/>
    <w:rsid w:val="001C1D3D"/>
    <w:rsid w:val="001C1E10"/>
    <w:rsid w:val="001C2891"/>
    <w:rsid w:val="001C2F3B"/>
    <w:rsid w:val="001C38AD"/>
    <w:rsid w:val="001C5FF4"/>
    <w:rsid w:val="001C6318"/>
    <w:rsid w:val="001C6E06"/>
    <w:rsid w:val="001D0AF5"/>
    <w:rsid w:val="001D0B01"/>
    <w:rsid w:val="001D2520"/>
    <w:rsid w:val="001D2926"/>
    <w:rsid w:val="001D484F"/>
    <w:rsid w:val="001D4BF0"/>
    <w:rsid w:val="001D53D2"/>
    <w:rsid w:val="001D5DFE"/>
    <w:rsid w:val="001D5E52"/>
    <w:rsid w:val="001D69CE"/>
    <w:rsid w:val="001E069F"/>
    <w:rsid w:val="001E0CB1"/>
    <w:rsid w:val="001E1475"/>
    <w:rsid w:val="001E2B1D"/>
    <w:rsid w:val="001E2CBC"/>
    <w:rsid w:val="001E3A34"/>
    <w:rsid w:val="001E3E7D"/>
    <w:rsid w:val="001E4A11"/>
    <w:rsid w:val="001E5272"/>
    <w:rsid w:val="001E545E"/>
    <w:rsid w:val="001E57B8"/>
    <w:rsid w:val="001E6C57"/>
    <w:rsid w:val="001E6E91"/>
    <w:rsid w:val="001E75AC"/>
    <w:rsid w:val="001F0926"/>
    <w:rsid w:val="001F1B21"/>
    <w:rsid w:val="001F2569"/>
    <w:rsid w:val="001F261B"/>
    <w:rsid w:val="001F2862"/>
    <w:rsid w:val="001F2AD0"/>
    <w:rsid w:val="001F36D3"/>
    <w:rsid w:val="001F4021"/>
    <w:rsid w:val="001F6E6A"/>
    <w:rsid w:val="001F72CE"/>
    <w:rsid w:val="001F7AE3"/>
    <w:rsid w:val="00200793"/>
    <w:rsid w:val="00200B11"/>
    <w:rsid w:val="0020172A"/>
    <w:rsid w:val="00202984"/>
    <w:rsid w:val="002029E6"/>
    <w:rsid w:val="00202B38"/>
    <w:rsid w:val="00203EA1"/>
    <w:rsid w:val="002057F7"/>
    <w:rsid w:val="00205888"/>
    <w:rsid w:val="00207CD7"/>
    <w:rsid w:val="0021103B"/>
    <w:rsid w:val="00211D18"/>
    <w:rsid w:val="00212319"/>
    <w:rsid w:val="00212B4F"/>
    <w:rsid w:val="00213AB8"/>
    <w:rsid w:val="00213DCF"/>
    <w:rsid w:val="00214ABC"/>
    <w:rsid w:val="00214BFF"/>
    <w:rsid w:val="00215400"/>
    <w:rsid w:val="00215499"/>
    <w:rsid w:val="0021584F"/>
    <w:rsid w:val="00220129"/>
    <w:rsid w:val="00220621"/>
    <w:rsid w:val="00221108"/>
    <w:rsid w:val="00221B27"/>
    <w:rsid w:val="00222BFC"/>
    <w:rsid w:val="00222C02"/>
    <w:rsid w:val="002234AC"/>
    <w:rsid w:val="00223762"/>
    <w:rsid w:val="00226B20"/>
    <w:rsid w:val="002270CE"/>
    <w:rsid w:val="002272E0"/>
    <w:rsid w:val="0022768B"/>
    <w:rsid w:val="0023094D"/>
    <w:rsid w:val="002317DE"/>
    <w:rsid w:val="00231F65"/>
    <w:rsid w:val="00231F7B"/>
    <w:rsid w:val="002327F2"/>
    <w:rsid w:val="00234F17"/>
    <w:rsid w:val="002362A2"/>
    <w:rsid w:val="00240167"/>
    <w:rsid w:val="002407DF"/>
    <w:rsid w:val="00240B32"/>
    <w:rsid w:val="00244BE0"/>
    <w:rsid w:val="002456A7"/>
    <w:rsid w:val="00245D9F"/>
    <w:rsid w:val="00245FC1"/>
    <w:rsid w:val="00247EBB"/>
    <w:rsid w:val="00247F4F"/>
    <w:rsid w:val="0025020F"/>
    <w:rsid w:val="00251E1D"/>
    <w:rsid w:val="002532E2"/>
    <w:rsid w:val="00254866"/>
    <w:rsid w:val="0025512C"/>
    <w:rsid w:val="002564C0"/>
    <w:rsid w:val="002572CD"/>
    <w:rsid w:val="002572E6"/>
    <w:rsid w:val="002628A2"/>
    <w:rsid w:val="00263362"/>
    <w:rsid w:val="002650ED"/>
    <w:rsid w:val="00265BC3"/>
    <w:rsid w:val="00266034"/>
    <w:rsid w:val="00266E55"/>
    <w:rsid w:val="002711DE"/>
    <w:rsid w:val="0027146F"/>
    <w:rsid w:val="002716FF"/>
    <w:rsid w:val="002719FE"/>
    <w:rsid w:val="00272A08"/>
    <w:rsid w:val="00273ABC"/>
    <w:rsid w:val="00274606"/>
    <w:rsid w:val="00276528"/>
    <w:rsid w:val="00277B1B"/>
    <w:rsid w:val="00280EBD"/>
    <w:rsid w:val="00282ACB"/>
    <w:rsid w:val="0028532A"/>
    <w:rsid w:val="00285534"/>
    <w:rsid w:val="0028594A"/>
    <w:rsid w:val="00285A75"/>
    <w:rsid w:val="00285C37"/>
    <w:rsid w:val="00285EDD"/>
    <w:rsid w:val="00286B0C"/>
    <w:rsid w:val="00286D81"/>
    <w:rsid w:val="00286F1D"/>
    <w:rsid w:val="00287822"/>
    <w:rsid w:val="002920A0"/>
    <w:rsid w:val="0029258C"/>
    <w:rsid w:val="002935C7"/>
    <w:rsid w:val="0029360E"/>
    <w:rsid w:val="00295A01"/>
    <w:rsid w:val="00295D54"/>
    <w:rsid w:val="00296FEF"/>
    <w:rsid w:val="00297216"/>
    <w:rsid w:val="00297ACD"/>
    <w:rsid w:val="002A0644"/>
    <w:rsid w:val="002A2B05"/>
    <w:rsid w:val="002A32D5"/>
    <w:rsid w:val="002B07C0"/>
    <w:rsid w:val="002B3810"/>
    <w:rsid w:val="002B43D3"/>
    <w:rsid w:val="002C0394"/>
    <w:rsid w:val="002C07A1"/>
    <w:rsid w:val="002C09F3"/>
    <w:rsid w:val="002C104D"/>
    <w:rsid w:val="002C14D3"/>
    <w:rsid w:val="002C23C0"/>
    <w:rsid w:val="002C3838"/>
    <w:rsid w:val="002C3C52"/>
    <w:rsid w:val="002C5711"/>
    <w:rsid w:val="002C67B0"/>
    <w:rsid w:val="002C6922"/>
    <w:rsid w:val="002D08A1"/>
    <w:rsid w:val="002D0D8E"/>
    <w:rsid w:val="002D103A"/>
    <w:rsid w:val="002D1086"/>
    <w:rsid w:val="002D11A9"/>
    <w:rsid w:val="002D1EB1"/>
    <w:rsid w:val="002D2062"/>
    <w:rsid w:val="002D3448"/>
    <w:rsid w:val="002D40F4"/>
    <w:rsid w:val="002D429B"/>
    <w:rsid w:val="002D4AB8"/>
    <w:rsid w:val="002D553D"/>
    <w:rsid w:val="002E0286"/>
    <w:rsid w:val="002E0708"/>
    <w:rsid w:val="002E1C43"/>
    <w:rsid w:val="002E22FD"/>
    <w:rsid w:val="002E3EB0"/>
    <w:rsid w:val="002E4CB8"/>
    <w:rsid w:val="002E66A0"/>
    <w:rsid w:val="002E7B48"/>
    <w:rsid w:val="002F027D"/>
    <w:rsid w:val="002F0CF9"/>
    <w:rsid w:val="002F0F9A"/>
    <w:rsid w:val="002F15F0"/>
    <w:rsid w:val="002F29FE"/>
    <w:rsid w:val="002F2C86"/>
    <w:rsid w:val="002F37F8"/>
    <w:rsid w:val="002F44F5"/>
    <w:rsid w:val="002F45A0"/>
    <w:rsid w:val="002F5016"/>
    <w:rsid w:val="002F524E"/>
    <w:rsid w:val="002F6669"/>
    <w:rsid w:val="00300421"/>
    <w:rsid w:val="0030229A"/>
    <w:rsid w:val="00302659"/>
    <w:rsid w:val="00302AE4"/>
    <w:rsid w:val="00302F49"/>
    <w:rsid w:val="00303B0D"/>
    <w:rsid w:val="003053FA"/>
    <w:rsid w:val="003058C6"/>
    <w:rsid w:val="003060D9"/>
    <w:rsid w:val="0030672B"/>
    <w:rsid w:val="00306919"/>
    <w:rsid w:val="00310144"/>
    <w:rsid w:val="00310D9F"/>
    <w:rsid w:val="00311743"/>
    <w:rsid w:val="003126EF"/>
    <w:rsid w:val="00312C76"/>
    <w:rsid w:val="00313A22"/>
    <w:rsid w:val="00314115"/>
    <w:rsid w:val="003146B0"/>
    <w:rsid w:val="00315FAD"/>
    <w:rsid w:val="0031631B"/>
    <w:rsid w:val="00316B20"/>
    <w:rsid w:val="00317B80"/>
    <w:rsid w:val="00322275"/>
    <w:rsid w:val="00323498"/>
    <w:rsid w:val="00324852"/>
    <w:rsid w:val="00324B99"/>
    <w:rsid w:val="003256F8"/>
    <w:rsid w:val="00325C72"/>
    <w:rsid w:val="00330655"/>
    <w:rsid w:val="0033231C"/>
    <w:rsid w:val="0033252D"/>
    <w:rsid w:val="00332F24"/>
    <w:rsid w:val="00334555"/>
    <w:rsid w:val="00335182"/>
    <w:rsid w:val="0033657F"/>
    <w:rsid w:val="00340755"/>
    <w:rsid w:val="0034125A"/>
    <w:rsid w:val="00341EEA"/>
    <w:rsid w:val="00345014"/>
    <w:rsid w:val="00345ABD"/>
    <w:rsid w:val="00346069"/>
    <w:rsid w:val="0034630F"/>
    <w:rsid w:val="003507B9"/>
    <w:rsid w:val="00352D85"/>
    <w:rsid w:val="00354816"/>
    <w:rsid w:val="00354B94"/>
    <w:rsid w:val="003556D0"/>
    <w:rsid w:val="0035595E"/>
    <w:rsid w:val="00356186"/>
    <w:rsid w:val="00356A28"/>
    <w:rsid w:val="00360193"/>
    <w:rsid w:val="00360AC3"/>
    <w:rsid w:val="00360C06"/>
    <w:rsid w:val="00361759"/>
    <w:rsid w:val="0036178C"/>
    <w:rsid w:val="00361CDF"/>
    <w:rsid w:val="003633AC"/>
    <w:rsid w:val="0036405D"/>
    <w:rsid w:val="00364160"/>
    <w:rsid w:val="0036619D"/>
    <w:rsid w:val="00366753"/>
    <w:rsid w:val="0036744D"/>
    <w:rsid w:val="0037080A"/>
    <w:rsid w:val="0037100A"/>
    <w:rsid w:val="00371429"/>
    <w:rsid w:val="00374C3E"/>
    <w:rsid w:val="003759A7"/>
    <w:rsid w:val="00375B7E"/>
    <w:rsid w:val="00376E81"/>
    <w:rsid w:val="00377870"/>
    <w:rsid w:val="00380C07"/>
    <w:rsid w:val="00380EFD"/>
    <w:rsid w:val="00381B71"/>
    <w:rsid w:val="003835B9"/>
    <w:rsid w:val="00383613"/>
    <w:rsid w:val="00383CE2"/>
    <w:rsid w:val="003842D9"/>
    <w:rsid w:val="00384F3F"/>
    <w:rsid w:val="0038627F"/>
    <w:rsid w:val="003901F5"/>
    <w:rsid w:val="0039034E"/>
    <w:rsid w:val="00391A79"/>
    <w:rsid w:val="003925B2"/>
    <w:rsid w:val="00392860"/>
    <w:rsid w:val="0039576F"/>
    <w:rsid w:val="0039631C"/>
    <w:rsid w:val="00396F2E"/>
    <w:rsid w:val="003A0C9B"/>
    <w:rsid w:val="003A2058"/>
    <w:rsid w:val="003A423D"/>
    <w:rsid w:val="003A4D62"/>
    <w:rsid w:val="003A64D7"/>
    <w:rsid w:val="003A6FD1"/>
    <w:rsid w:val="003B02C5"/>
    <w:rsid w:val="003B1C87"/>
    <w:rsid w:val="003B26CE"/>
    <w:rsid w:val="003B3161"/>
    <w:rsid w:val="003B3B4D"/>
    <w:rsid w:val="003B41A8"/>
    <w:rsid w:val="003B6448"/>
    <w:rsid w:val="003C0FCB"/>
    <w:rsid w:val="003C1CAF"/>
    <w:rsid w:val="003C2EEB"/>
    <w:rsid w:val="003C37E6"/>
    <w:rsid w:val="003C42DA"/>
    <w:rsid w:val="003C49ED"/>
    <w:rsid w:val="003C615E"/>
    <w:rsid w:val="003C6521"/>
    <w:rsid w:val="003D07B8"/>
    <w:rsid w:val="003D0C90"/>
    <w:rsid w:val="003D269E"/>
    <w:rsid w:val="003D4A69"/>
    <w:rsid w:val="003D4BC4"/>
    <w:rsid w:val="003D697B"/>
    <w:rsid w:val="003E0697"/>
    <w:rsid w:val="003E1CC7"/>
    <w:rsid w:val="003E23D9"/>
    <w:rsid w:val="003E309D"/>
    <w:rsid w:val="003E40C5"/>
    <w:rsid w:val="003E53FC"/>
    <w:rsid w:val="003E574A"/>
    <w:rsid w:val="003E68D4"/>
    <w:rsid w:val="003E71FD"/>
    <w:rsid w:val="003E7AEB"/>
    <w:rsid w:val="003F1F84"/>
    <w:rsid w:val="003F22C4"/>
    <w:rsid w:val="003F3E62"/>
    <w:rsid w:val="003F4E61"/>
    <w:rsid w:val="003F4F1C"/>
    <w:rsid w:val="003F5793"/>
    <w:rsid w:val="003F5FAE"/>
    <w:rsid w:val="003F6C1F"/>
    <w:rsid w:val="003F7B4C"/>
    <w:rsid w:val="00400CF4"/>
    <w:rsid w:val="00405C3D"/>
    <w:rsid w:val="00405CF9"/>
    <w:rsid w:val="00410309"/>
    <w:rsid w:val="0041032B"/>
    <w:rsid w:val="0041111B"/>
    <w:rsid w:val="00415352"/>
    <w:rsid w:val="0041650F"/>
    <w:rsid w:val="0041725C"/>
    <w:rsid w:val="004177B2"/>
    <w:rsid w:val="00421230"/>
    <w:rsid w:val="00421BDE"/>
    <w:rsid w:val="00422F7D"/>
    <w:rsid w:val="00424056"/>
    <w:rsid w:val="004248F6"/>
    <w:rsid w:val="004251E8"/>
    <w:rsid w:val="0042565D"/>
    <w:rsid w:val="00425D93"/>
    <w:rsid w:val="00426606"/>
    <w:rsid w:val="00427C9E"/>
    <w:rsid w:val="00427CEA"/>
    <w:rsid w:val="00432118"/>
    <w:rsid w:val="004335F9"/>
    <w:rsid w:val="00435B9A"/>
    <w:rsid w:val="00435C52"/>
    <w:rsid w:val="004362D0"/>
    <w:rsid w:val="00436A60"/>
    <w:rsid w:val="00437035"/>
    <w:rsid w:val="0043738A"/>
    <w:rsid w:val="00437FCA"/>
    <w:rsid w:val="004406B9"/>
    <w:rsid w:val="00440B3C"/>
    <w:rsid w:val="004411F1"/>
    <w:rsid w:val="00444927"/>
    <w:rsid w:val="00445701"/>
    <w:rsid w:val="00445A8C"/>
    <w:rsid w:val="0044622B"/>
    <w:rsid w:val="00446611"/>
    <w:rsid w:val="00447E5D"/>
    <w:rsid w:val="004502B6"/>
    <w:rsid w:val="00451145"/>
    <w:rsid w:val="00453F6B"/>
    <w:rsid w:val="00454A52"/>
    <w:rsid w:val="0045608D"/>
    <w:rsid w:val="004565F3"/>
    <w:rsid w:val="00457715"/>
    <w:rsid w:val="004601B1"/>
    <w:rsid w:val="004615B9"/>
    <w:rsid w:val="004634B8"/>
    <w:rsid w:val="00463FE8"/>
    <w:rsid w:val="00465B24"/>
    <w:rsid w:val="00465E53"/>
    <w:rsid w:val="00467432"/>
    <w:rsid w:val="00467B5B"/>
    <w:rsid w:val="00470B8D"/>
    <w:rsid w:val="00470BEE"/>
    <w:rsid w:val="00470F78"/>
    <w:rsid w:val="00472289"/>
    <w:rsid w:val="004736E8"/>
    <w:rsid w:val="004740B5"/>
    <w:rsid w:val="00474BC9"/>
    <w:rsid w:val="004754D5"/>
    <w:rsid w:val="00476319"/>
    <w:rsid w:val="004769E0"/>
    <w:rsid w:val="004776BF"/>
    <w:rsid w:val="00480271"/>
    <w:rsid w:val="00481B4B"/>
    <w:rsid w:val="00482C7C"/>
    <w:rsid w:val="004833E1"/>
    <w:rsid w:val="00484339"/>
    <w:rsid w:val="00484D42"/>
    <w:rsid w:val="004858E8"/>
    <w:rsid w:val="0048633F"/>
    <w:rsid w:val="00486385"/>
    <w:rsid w:val="00490C4C"/>
    <w:rsid w:val="00490DCD"/>
    <w:rsid w:val="00495E9B"/>
    <w:rsid w:val="004972B7"/>
    <w:rsid w:val="004975FD"/>
    <w:rsid w:val="004A0891"/>
    <w:rsid w:val="004A2AB2"/>
    <w:rsid w:val="004A43FE"/>
    <w:rsid w:val="004A4801"/>
    <w:rsid w:val="004A639C"/>
    <w:rsid w:val="004A72E4"/>
    <w:rsid w:val="004A7897"/>
    <w:rsid w:val="004B0502"/>
    <w:rsid w:val="004B0875"/>
    <w:rsid w:val="004B1FB5"/>
    <w:rsid w:val="004B448F"/>
    <w:rsid w:val="004B5471"/>
    <w:rsid w:val="004B712C"/>
    <w:rsid w:val="004B7730"/>
    <w:rsid w:val="004C0BD0"/>
    <w:rsid w:val="004C1BBE"/>
    <w:rsid w:val="004C24D0"/>
    <w:rsid w:val="004C25AA"/>
    <w:rsid w:val="004C26A3"/>
    <w:rsid w:val="004C35A2"/>
    <w:rsid w:val="004C4F9B"/>
    <w:rsid w:val="004C7C9A"/>
    <w:rsid w:val="004C7FCA"/>
    <w:rsid w:val="004D0483"/>
    <w:rsid w:val="004D1295"/>
    <w:rsid w:val="004D15DD"/>
    <w:rsid w:val="004D2D8A"/>
    <w:rsid w:val="004D3089"/>
    <w:rsid w:val="004D6088"/>
    <w:rsid w:val="004E1591"/>
    <w:rsid w:val="004E2A86"/>
    <w:rsid w:val="004E319E"/>
    <w:rsid w:val="004E377D"/>
    <w:rsid w:val="004E41CF"/>
    <w:rsid w:val="004E5894"/>
    <w:rsid w:val="004E6CBA"/>
    <w:rsid w:val="004E74EE"/>
    <w:rsid w:val="004E7A7A"/>
    <w:rsid w:val="004F03C9"/>
    <w:rsid w:val="004F0400"/>
    <w:rsid w:val="004F0749"/>
    <w:rsid w:val="004F07D0"/>
    <w:rsid w:val="004F094F"/>
    <w:rsid w:val="004F1AD0"/>
    <w:rsid w:val="004F3A08"/>
    <w:rsid w:val="004F3D1F"/>
    <w:rsid w:val="004F4B6F"/>
    <w:rsid w:val="004F4C62"/>
    <w:rsid w:val="004F687F"/>
    <w:rsid w:val="004F7C0A"/>
    <w:rsid w:val="00500897"/>
    <w:rsid w:val="00500AF3"/>
    <w:rsid w:val="00503DCC"/>
    <w:rsid w:val="005045FD"/>
    <w:rsid w:val="005047E5"/>
    <w:rsid w:val="00504F75"/>
    <w:rsid w:val="00505534"/>
    <w:rsid w:val="00505B4F"/>
    <w:rsid w:val="005079B8"/>
    <w:rsid w:val="00507CA3"/>
    <w:rsid w:val="005103D5"/>
    <w:rsid w:val="0051042B"/>
    <w:rsid w:val="00510AE3"/>
    <w:rsid w:val="00511623"/>
    <w:rsid w:val="005121CB"/>
    <w:rsid w:val="0051403D"/>
    <w:rsid w:val="005142A2"/>
    <w:rsid w:val="005143BC"/>
    <w:rsid w:val="00514F72"/>
    <w:rsid w:val="00515298"/>
    <w:rsid w:val="00520131"/>
    <w:rsid w:val="005229B6"/>
    <w:rsid w:val="00523139"/>
    <w:rsid w:val="005248A7"/>
    <w:rsid w:val="00525CAC"/>
    <w:rsid w:val="00526B10"/>
    <w:rsid w:val="00527959"/>
    <w:rsid w:val="00530A96"/>
    <w:rsid w:val="0053197B"/>
    <w:rsid w:val="00534AF1"/>
    <w:rsid w:val="0053523C"/>
    <w:rsid w:val="0053540F"/>
    <w:rsid w:val="005357D8"/>
    <w:rsid w:val="0053678D"/>
    <w:rsid w:val="00537C70"/>
    <w:rsid w:val="005409FC"/>
    <w:rsid w:val="005414CE"/>
    <w:rsid w:val="0054306E"/>
    <w:rsid w:val="00544B7D"/>
    <w:rsid w:val="00545B9B"/>
    <w:rsid w:val="00545D3B"/>
    <w:rsid w:val="00547683"/>
    <w:rsid w:val="00547FE9"/>
    <w:rsid w:val="0055288D"/>
    <w:rsid w:val="00553109"/>
    <w:rsid w:val="00554156"/>
    <w:rsid w:val="005542C3"/>
    <w:rsid w:val="00555BC6"/>
    <w:rsid w:val="00555FDC"/>
    <w:rsid w:val="00557DEE"/>
    <w:rsid w:val="005625FE"/>
    <w:rsid w:val="00564F4F"/>
    <w:rsid w:val="005654C0"/>
    <w:rsid w:val="005663A7"/>
    <w:rsid w:val="005675CD"/>
    <w:rsid w:val="0057038A"/>
    <w:rsid w:val="00570CF9"/>
    <w:rsid w:val="00572D7B"/>
    <w:rsid w:val="00575DFD"/>
    <w:rsid w:val="005768F9"/>
    <w:rsid w:val="005774CF"/>
    <w:rsid w:val="005774E8"/>
    <w:rsid w:val="0058022E"/>
    <w:rsid w:val="005807C0"/>
    <w:rsid w:val="005821C9"/>
    <w:rsid w:val="00584A56"/>
    <w:rsid w:val="00584BBB"/>
    <w:rsid w:val="00585540"/>
    <w:rsid w:val="00585FD8"/>
    <w:rsid w:val="0058739D"/>
    <w:rsid w:val="0059121C"/>
    <w:rsid w:val="0059559C"/>
    <w:rsid w:val="0059613B"/>
    <w:rsid w:val="00596BBC"/>
    <w:rsid w:val="0059702C"/>
    <w:rsid w:val="005A1074"/>
    <w:rsid w:val="005A1A06"/>
    <w:rsid w:val="005A212E"/>
    <w:rsid w:val="005A22CF"/>
    <w:rsid w:val="005A2E94"/>
    <w:rsid w:val="005A3971"/>
    <w:rsid w:val="005A497D"/>
    <w:rsid w:val="005A4BAF"/>
    <w:rsid w:val="005A5AB2"/>
    <w:rsid w:val="005A6318"/>
    <w:rsid w:val="005A6962"/>
    <w:rsid w:val="005A6EAA"/>
    <w:rsid w:val="005B02EB"/>
    <w:rsid w:val="005B0DBE"/>
    <w:rsid w:val="005B27BD"/>
    <w:rsid w:val="005B2DA7"/>
    <w:rsid w:val="005B3CCC"/>
    <w:rsid w:val="005B4768"/>
    <w:rsid w:val="005B4A26"/>
    <w:rsid w:val="005B5813"/>
    <w:rsid w:val="005C0B88"/>
    <w:rsid w:val="005C110E"/>
    <w:rsid w:val="005C1509"/>
    <w:rsid w:val="005C285A"/>
    <w:rsid w:val="005C35AB"/>
    <w:rsid w:val="005C3EB9"/>
    <w:rsid w:val="005C41B9"/>
    <w:rsid w:val="005D00C3"/>
    <w:rsid w:val="005D3C67"/>
    <w:rsid w:val="005D4558"/>
    <w:rsid w:val="005D4AB5"/>
    <w:rsid w:val="005E126C"/>
    <w:rsid w:val="005E150A"/>
    <w:rsid w:val="005E2F5C"/>
    <w:rsid w:val="005E4A1F"/>
    <w:rsid w:val="005E5456"/>
    <w:rsid w:val="005E5961"/>
    <w:rsid w:val="005E6233"/>
    <w:rsid w:val="005E68D7"/>
    <w:rsid w:val="005E69B1"/>
    <w:rsid w:val="005E6F25"/>
    <w:rsid w:val="005F2105"/>
    <w:rsid w:val="005F3016"/>
    <w:rsid w:val="005F3282"/>
    <w:rsid w:val="005F344D"/>
    <w:rsid w:val="005F3DE0"/>
    <w:rsid w:val="005F4E1F"/>
    <w:rsid w:val="005F54DD"/>
    <w:rsid w:val="005F5EA9"/>
    <w:rsid w:val="005F6CBE"/>
    <w:rsid w:val="005F7939"/>
    <w:rsid w:val="00600C98"/>
    <w:rsid w:val="00601DCC"/>
    <w:rsid w:val="00602D2D"/>
    <w:rsid w:val="00603617"/>
    <w:rsid w:val="00603D5C"/>
    <w:rsid w:val="00604DB7"/>
    <w:rsid w:val="0060691D"/>
    <w:rsid w:val="006108AB"/>
    <w:rsid w:val="00612EBA"/>
    <w:rsid w:val="0061407F"/>
    <w:rsid w:val="00614253"/>
    <w:rsid w:val="006163BE"/>
    <w:rsid w:val="00617E22"/>
    <w:rsid w:val="00620817"/>
    <w:rsid w:val="0062162E"/>
    <w:rsid w:val="00621FB4"/>
    <w:rsid w:val="006242E3"/>
    <w:rsid w:val="00624D59"/>
    <w:rsid w:val="006256F2"/>
    <w:rsid w:val="00626E91"/>
    <w:rsid w:val="00630B91"/>
    <w:rsid w:val="006318E9"/>
    <w:rsid w:val="00633728"/>
    <w:rsid w:val="006338ED"/>
    <w:rsid w:val="006339BD"/>
    <w:rsid w:val="006355FF"/>
    <w:rsid w:val="00636458"/>
    <w:rsid w:val="006406D1"/>
    <w:rsid w:val="00640A4A"/>
    <w:rsid w:val="00640C42"/>
    <w:rsid w:val="006423A7"/>
    <w:rsid w:val="00642A0E"/>
    <w:rsid w:val="006430AA"/>
    <w:rsid w:val="00646561"/>
    <w:rsid w:val="00647B36"/>
    <w:rsid w:val="0065100A"/>
    <w:rsid w:val="00651B97"/>
    <w:rsid w:val="00651C01"/>
    <w:rsid w:val="00652FF5"/>
    <w:rsid w:val="006532C6"/>
    <w:rsid w:val="00653636"/>
    <w:rsid w:val="0065538C"/>
    <w:rsid w:val="00655810"/>
    <w:rsid w:val="006559DB"/>
    <w:rsid w:val="00656813"/>
    <w:rsid w:val="00657749"/>
    <w:rsid w:val="006602D6"/>
    <w:rsid w:val="006620A7"/>
    <w:rsid w:val="006627F9"/>
    <w:rsid w:val="00662F73"/>
    <w:rsid w:val="00664B53"/>
    <w:rsid w:val="006651DE"/>
    <w:rsid w:val="00665BA8"/>
    <w:rsid w:val="00665C42"/>
    <w:rsid w:val="0066601F"/>
    <w:rsid w:val="0066676B"/>
    <w:rsid w:val="0067041E"/>
    <w:rsid w:val="00672041"/>
    <w:rsid w:val="0067270D"/>
    <w:rsid w:val="00673091"/>
    <w:rsid w:val="006757C8"/>
    <w:rsid w:val="006776B7"/>
    <w:rsid w:val="00681CC1"/>
    <w:rsid w:val="00682796"/>
    <w:rsid w:val="00682865"/>
    <w:rsid w:val="00683172"/>
    <w:rsid w:val="00683D44"/>
    <w:rsid w:val="00687378"/>
    <w:rsid w:val="00687606"/>
    <w:rsid w:val="006879DB"/>
    <w:rsid w:val="006905DC"/>
    <w:rsid w:val="00690A28"/>
    <w:rsid w:val="00690F0D"/>
    <w:rsid w:val="006927CF"/>
    <w:rsid w:val="0069295F"/>
    <w:rsid w:val="0069329D"/>
    <w:rsid w:val="006941B4"/>
    <w:rsid w:val="006941BF"/>
    <w:rsid w:val="00694DA1"/>
    <w:rsid w:val="00694F59"/>
    <w:rsid w:val="00694FD0"/>
    <w:rsid w:val="00694FDB"/>
    <w:rsid w:val="00695D18"/>
    <w:rsid w:val="00695F6F"/>
    <w:rsid w:val="00696D22"/>
    <w:rsid w:val="00697659"/>
    <w:rsid w:val="00697DAD"/>
    <w:rsid w:val="006A072A"/>
    <w:rsid w:val="006A0843"/>
    <w:rsid w:val="006A0A2D"/>
    <w:rsid w:val="006A18EE"/>
    <w:rsid w:val="006A2765"/>
    <w:rsid w:val="006A2D40"/>
    <w:rsid w:val="006A3E8D"/>
    <w:rsid w:val="006A4159"/>
    <w:rsid w:val="006A6267"/>
    <w:rsid w:val="006A71A0"/>
    <w:rsid w:val="006A7C8E"/>
    <w:rsid w:val="006A7E0D"/>
    <w:rsid w:val="006B0B63"/>
    <w:rsid w:val="006B0F71"/>
    <w:rsid w:val="006B2662"/>
    <w:rsid w:val="006B28CF"/>
    <w:rsid w:val="006B5249"/>
    <w:rsid w:val="006B69B8"/>
    <w:rsid w:val="006B7DE0"/>
    <w:rsid w:val="006C0110"/>
    <w:rsid w:val="006C2C97"/>
    <w:rsid w:val="006C2DC1"/>
    <w:rsid w:val="006C2F62"/>
    <w:rsid w:val="006C37A1"/>
    <w:rsid w:val="006C3D21"/>
    <w:rsid w:val="006C53D8"/>
    <w:rsid w:val="006C56D0"/>
    <w:rsid w:val="006C5CEA"/>
    <w:rsid w:val="006C7314"/>
    <w:rsid w:val="006D0334"/>
    <w:rsid w:val="006D0679"/>
    <w:rsid w:val="006D0BCA"/>
    <w:rsid w:val="006D1369"/>
    <w:rsid w:val="006D1C5F"/>
    <w:rsid w:val="006D1E74"/>
    <w:rsid w:val="006D2731"/>
    <w:rsid w:val="006D3DEF"/>
    <w:rsid w:val="006D4E7B"/>
    <w:rsid w:val="006D56E6"/>
    <w:rsid w:val="006D571B"/>
    <w:rsid w:val="006D70ED"/>
    <w:rsid w:val="006D79B3"/>
    <w:rsid w:val="006E013A"/>
    <w:rsid w:val="006E0700"/>
    <w:rsid w:val="006E1C28"/>
    <w:rsid w:val="006E2D78"/>
    <w:rsid w:val="006E3E95"/>
    <w:rsid w:val="006E3FCE"/>
    <w:rsid w:val="006E5554"/>
    <w:rsid w:val="006E7225"/>
    <w:rsid w:val="006E783B"/>
    <w:rsid w:val="006F07F0"/>
    <w:rsid w:val="006F0C64"/>
    <w:rsid w:val="006F0E33"/>
    <w:rsid w:val="006F132A"/>
    <w:rsid w:val="006F1420"/>
    <w:rsid w:val="006F1923"/>
    <w:rsid w:val="006F2088"/>
    <w:rsid w:val="006F23EE"/>
    <w:rsid w:val="006F2DFF"/>
    <w:rsid w:val="006F30D4"/>
    <w:rsid w:val="006F3ADA"/>
    <w:rsid w:val="006F3EC5"/>
    <w:rsid w:val="006F3FA1"/>
    <w:rsid w:val="006F4880"/>
    <w:rsid w:val="006F50EF"/>
    <w:rsid w:val="00700EA5"/>
    <w:rsid w:val="00701DF7"/>
    <w:rsid w:val="00701F89"/>
    <w:rsid w:val="007024C7"/>
    <w:rsid w:val="00702B41"/>
    <w:rsid w:val="00710072"/>
    <w:rsid w:val="00711415"/>
    <w:rsid w:val="00711957"/>
    <w:rsid w:val="00712908"/>
    <w:rsid w:val="00712F85"/>
    <w:rsid w:val="00713B3D"/>
    <w:rsid w:val="00713C2B"/>
    <w:rsid w:val="00713E64"/>
    <w:rsid w:val="0071444B"/>
    <w:rsid w:val="007146D2"/>
    <w:rsid w:val="00714AB7"/>
    <w:rsid w:val="00715D69"/>
    <w:rsid w:val="00715E53"/>
    <w:rsid w:val="00716B9D"/>
    <w:rsid w:val="007170C2"/>
    <w:rsid w:val="0071730C"/>
    <w:rsid w:val="00717BE1"/>
    <w:rsid w:val="00721CAF"/>
    <w:rsid w:val="00722E27"/>
    <w:rsid w:val="0072342C"/>
    <w:rsid w:val="00725538"/>
    <w:rsid w:val="00726FDD"/>
    <w:rsid w:val="00734794"/>
    <w:rsid w:val="00734D41"/>
    <w:rsid w:val="0073531A"/>
    <w:rsid w:val="007354DE"/>
    <w:rsid w:val="007356AE"/>
    <w:rsid w:val="00737060"/>
    <w:rsid w:val="0073776F"/>
    <w:rsid w:val="00737943"/>
    <w:rsid w:val="00737C61"/>
    <w:rsid w:val="00740FB4"/>
    <w:rsid w:val="00741702"/>
    <w:rsid w:val="007429F1"/>
    <w:rsid w:val="00743C74"/>
    <w:rsid w:val="00744814"/>
    <w:rsid w:val="00745645"/>
    <w:rsid w:val="00746ABD"/>
    <w:rsid w:val="0075134D"/>
    <w:rsid w:val="00753931"/>
    <w:rsid w:val="00754182"/>
    <w:rsid w:val="007542BF"/>
    <w:rsid w:val="007554E9"/>
    <w:rsid w:val="00755E44"/>
    <w:rsid w:val="00755F56"/>
    <w:rsid w:val="007565C0"/>
    <w:rsid w:val="0075698E"/>
    <w:rsid w:val="00757472"/>
    <w:rsid w:val="00760FE4"/>
    <w:rsid w:val="007613DE"/>
    <w:rsid w:val="007620F8"/>
    <w:rsid w:val="0076323A"/>
    <w:rsid w:val="007632D8"/>
    <w:rsid w:val="007638EE"/>
    <w:rsid w:val="00763AFE"/>
    <w:rsid w:val="0076480F"/>
    <w:rsid w:val="00764EFE"/>
    <w:rsid w:val="00764F7E"/>
    <w:rsid w:val="00765C99"/>
    <w:rsid w:val="00766453"/>
    <w:rsid w:val="00766C40"/>
    <w:rsid w:val="00767531"/>
    <w:rsid w:val="00771379"/>
    <w:rsid w:val="007726C5"/>
    <w:rsid w:val="0077272B"/>
    <w:rsid w:val="007729B9"/>
    <w:rsid w:val="00772E4B"/>
    <w:rsid w:val="0077346A"/>
    <w:rsid w:val="007734C7"/>
    <w:rsid w:val="00773DD6"/>
    <w:rsid w:val="0077564B"/>
    <w:rsid w:val="00775658"/>
    <w:rsid w:val="00775737"/>
    <w:rsid w:val="00776CA1"/>
    <w:rsid w:val="00777120"/>
    <w:rsid w:val="0077732F"/>
    <w:rsid w:val="007803C4"/>
    <w:rsid w:val="00782E45"/>
    <w:rsid w:val="00783972"/>
    <w:rsid w:val="00784250"/>
    <w:rsid w:val="0078463D"/>
    <w:rsid w:val="00784C44"/>
    <w:rsid w:val="00784DCB"/>
    <w:rsid w:val="0078531E"/>
    <w:rsid w:val="007863E4"/>
    <w:rsid w:val="007869E6"/>
    <w:rsid w:val="00786BFC"/>
    <w:rsid w:val="007870C5"/>
    <w:rsid w:val="0078719E"/>
    <w:rsid w:val="00787B08"/>
    <w:rsid w:val="00790B8C"/>
    <w:rsid w:val="00792070"/>
    <w:rsid w:val="007920EF"/>
    <w:rsid w:val="007935FF"/>
    <w:rsid w:val="00794024"/>
    <w:rsid w:val="007963AF"/>
    <w:rsid w:val="007967A1"/>
    <w:rsid w:val="007A05BD"/>
    <w:rsid w:val="007A0B16"/>
    <w:rsid w:val="007A17C0"/>
    <w:rsid w:val="007A1A87"/>
    <w:rsid w:val="007A3A46"/>
    <w:rsid w:val="007A44F6"/>
    <w:rsid w:val="007A5194"/>
    <w:rsid w:val="007A5B18"/>
    <w:rsid w:val="007A5DFE"/>
    <w:rsid w:val="007A6249"/>
    <w:rsid w:val="007A6FE7"/>
    <w:rsid w:val="007A754B"/>
    <w:rsid w:val="007B09E0"/>
    <w:rsid w:val="007B1872"/>
    <w:rsid w:val="007B1A08"/>
    <w:rsid w:val="007B2CAD"/>
    <w:rsid w:val="007B3907"/>
    <w:rsid w:val="007B46D3"/>
    <w:rsid w:val="007B573C"/>
    <w:rsid w:val="007B5C6A"/>
    <w:rsid w:val="007B5F45"/>
    <w:rsid w:val="007C1402"/>
    <w:rsid w:val="007C3041"/>
    <w:rsid w:val="007C454A"/>
    <w:rsid w:val="007C4897"/>
    <w:rsid w:val="007C5C99"/>
    <w:rsid w:val="007C7771"/>
    <w:rsid w:val="007D0ECC"/>
    <w:rsid w:val="007D1533"/>
    <w:rsid w:val="007D25FD"/>
    <w:rsid w:val="007D2B17"/>
    <w:rsid w:val="007D2EDB"/>
    <w:rsid w:val="007D36AD"/>
    <w:rsid w:val="007D385B"/>
    <w:rsid w:val="007D396D"/>
    <w:rsid w:val="007D3C3C"/>
    <w:rsid w:val="007E053A"/>
    <w:rsid w:val="007E15D7"/>
    <w:rsid w:val="007E22B1"/>
    <w:rsid w:val="007E2B77"/>
    <w:rsid w:val="007E31DC"/>
    <w:rsid w:val="007E485C"/>
    <w:rsid w:val="007E545B"/>
    <w:rsid w:val="007E593F"/>
    <w:rsid w:val="007E7C08"/>
    <w:rsid w:val="007E7EAB"/>
    <w:rsid w:val="007F289E"/>
    <w:rsid w:val="007F35A2"/>
    <w:rsid w:val="007F3748"/>
    <w:rsid w:val="007F37C6"/>
    <w:rsid w:val="007F3F3F"/>
    <w:rsid w:val="007F60B4"/>
    <w:rsid w:val="007F64A7"/>
    <w:rsid w:val="007F6653"/>
    <w:rsid w:val="007F6F48"/>
    <w:rsid w:val="007F7720"/>
    <w:rsid w:val="00800E8D"/>
    <w:rsid w:val="0080104D"/>
    <w:rsid w:val="008013CD"/>
    <w:rsid w:val="00801680"/>
    <w:rsid w:val="00802E88"/>
    <w:rsid w:val="008036A1"/>
    <w:rsid w:val="00803784"/>
    <w:rsid w:val="00803C86"/>
    <w:rsid w:val="00803DE4"/>
    <w:rsid w:val="0080472F"/>
    <w:rsid w:val="00804E8D"/>
    <w:rsid w:val="0080605C"/>
    <w:rsid w:val="00806E0B"/>
    <w:rsid w:val="008077C3"/>
    <w:rsid w:val="008079C8"/>
    <w:rsid w:val="00810170"/>
    <w:rsid w:val="00810311"/>
    <w:rsid w:val="00810420"/>
    <w:rsid w:val="008109A3"/>
    <w:rsid w:val="00811020"/>
    <w:rsid w:val="00811872"/>
    <w:rsid w:val="008127AF"/>
    <w:rsid w:val="008135FB"/>
    <w:rsid w:val="0081399F"/>
    <w:rsid w:val="00813C44"/>
    <w:rsid w:val="008140BA"/>
    <w:rsid w:val="008141FA"/>
    <w:rsid w:val="008147C9"/>
    <w:rsid w:val="00816358"/>
    <w:rsid w:val="0081723D"/>
    <w:rsid w:val="008176A7"/>
    <w:rsid w:val="008176E6"/>
    <w:rsid w:val="00817865"/>
    <w:rsid w:val="00820E80"/>
    <w:rsid w:val="00822A02"/>
    <w:rsid w:val="00823832"/>
    <w:rsid w:val="008239BB"/>
    <w:rsid w:val="008247BE"/>
    <w:rsid w:val="00827054"/>
    <w:rsid w:val="00827E6A"/>
    <w:rsid w:val="008302AF"/>
    <w:rsid w:val="00830CD4"/>
    <w:rsid w:val="00831E8A"/>
    <w:rsid w:val="00833883"/>
    <w:rsid w:val="008338DF"/>
    <w:rsid w:val="008345F1"/>
    <w:rsid w:val="008353E8"/>
    <w:rsid w:val="008404D3"/>
    <w:rsid w:val="00840D87"/>
    <w:rsid w:val="008410CE"/>
    <w:rsid w:val="008421D9"/>
    <w:rsid w:val="00844555"/>
    <w:rsid w:val="00844CCA"/>
    <w:rsid w:val="0084513A"/>
    <w:rsid w:val="00845254"/>
    <w:rsid w:val="0084649D"/>
    <w:rsid w:val="00846956"/>
    <w:rsid w:val="0084719E"/>
    <w:rsid w:val="008500DE"/>
    <w:rsid w:val="00850CB0"/>
    <w:rsid w:val="008513F8"/>
    <w:rsid w:val="00852168"/>
    <w:rsid w:val="0085306C"/>
    <w:rsid w:val="0085341C"/>
    <w:rsid w:val="00853B11"/>
    <w:rsid w:val="00853D3A"/>
    <w:rsid w:val="00853F92"/>
    <w:rsid w:val="0085534C"/>
    <w:rsid w:val="00855CD0"/>
    <w:rsid w:val="0085659C"/>
    <w:rsid w:val="00857F92"/>
    <w:rsid w:val="0086042C"/>
    <w:rsid w:val="00860AF9"/>
    <w:rsid w:val="008620E2"/>
    <w:rsid w:val="00862ED8"/>
    <w:rsid w:val="008631D8"/>
    <w:rsid w:val="0086396D"/>
    <w:rsid w:val="00864CE4"/>
    <w:rsid w:val="0086621D"/>
    <w:rsid w:val="00866853"/>
    <w:rsid w:val="00867C59"/>
    <w:rsid w:val="00867CAD"/>
    <w:rsid w:val="00870FBF"/>
    <w:rsid w:val="0087209B"/>
    <w:rsid w:val="008730B2"/>
    <w:rsid w:val="00873227"/>
    <w:rsid w:val="0087429C"/>
    <w:rsid w:val="008746FB"/>
    <w:rsid w:val="0087473C"/>
    <w:rsid w:val="0087576D"/>
    <w:rsid w:val="008762A9"/>
    <w:rsid w:val="00876699"/>
    <w:rsid w:val="008766A5"/>
    <w:rsid w:val="00881231"/>
    <w:rsid w:val="0088141D"/>
    <w:rsid w:val="00882911"/>
    <w:rsid w:val="00882B6C"/>
    <w:rsid w:val="00883AED"/>
    <w:rsid w:val="008842AE"/>
    <w:rsid w:val="00887854"/>
    <w:rsid w:val="0089030D"/>
    <w:rsid w:val="0089193E"/>
    <w:rsid w:val="00892BA2"/>
    <w:rsid w:val="00893B37"/>
    <w:rsid w:val="00894463"/>
    <w:rsid w:val="0089586F"/>
    <w:rsid w:val="008960D4"/>
    <w:rsid w:val="008968B4"/>
    <w:rsid w:val="00896A2C"/>
    <w:rsid w:val="0089782B"/>
    <w:rsid w:val="008A07D9"/>
    <w:rsid w:val="008A1B0E"/>
    <w:rsid w:val="008A25A7"/>
    <w:rsid w:val="008A28E3"/>
    <w:rsid w:val="008A2D10"/>
    <w:rsid w:val="008A76D9"/>
    <w:rsid w:val="008B01AE"/>
    <w:rsid w:val="008B0DD4"/>
    <w:rsid w:val="008B1251"/>
    <w:rsid w:val="008B29FB"/>
    <w:rsid w:val="008B3F8F"/>
    <w:rsid w:val="008B409B"/>
    <w:rsid w:val="008B4C02"/>
    <w:rsid w:val="008B4C1F"/>
    <w:rsid w:val="008B6802"/>
    <w:rsid w:val="008C1050"/>
    <w:rsid w:val="008C1F10"/>
    <w:rsid w:val="008C1FBF"/>
    <w:rsid w:val="008C2895"/>
    <w:rsid w:val="008C345F"/>
    <w:rsid w:val="008C3E45"/>
    <w:rsid w:val="008C42A8"/>
    <w:rsid w:val="008C4FB6"/>
    <w:rsid w:val="008C592B"/>
    <w:rsid w:val="008C6258"/>
    <w:rsid w:val="008D082C"/>
    <w:rsid w:val="008D1016"/>
    <w:rsid w:val="008D1319"/>
    <w:rsid w:val="008D25B6"/>
    <w:rsid w:val="008D3977"/>
    <w:rsid w:val="008D3CB6"/>
    <w:rsid w:val="008D4BC5"/>
    <w:rsid w:val="008D502A"/>
    <w:rsid w:val="008D5462"/>
    <w:rsid w:val="008D6686"/>
    <w:rsid w:val="008E0BD6"/>
    <w:rsid w:val="008E0DA1"/>
    <w:rsid w:val="008E27B6"/>
    <w:rsid w:val="008E41F9"/>
    <w:rsid w:val="008E4305"/>
    <w:rsid w:val="008E50F4"/>
    <w:rsid w:val="008E691B"/>
    <w:rsid w:val="008F1984"/>
    <w:rsid w:val="008F1B18"/>
    <w:rsid w:val="008F2A9F"/>
    <w:rsid w:val="008F2DA5"/>
    <w:rsid w:val="008F30EB"/>
    <w:rsid w:val="008F7336"/>
    <w:rsid w:val="009003B1"/>
    <w:rsid w:val="0090237E"/>
    <w:rsid w:val="00902A41"/>
    <w:rsid w:val="00906410"/>
    <w:rsid w:val="00907226"/>
    <w:rsid w:val="009116BE"/>
    <w:rsid w:val="00911FAD"/>
    <w:rsid w:val="009123C9"/>
    <w:rsid w:val="00912934"/>
    <w:rsid w:val="00912C68"/>
    <w:rsid w:val="00913AF2"/>
    <w:rsid w:val="00915AB3"/>
    <w:rsid w:val="00915BBA"/>
    <w:rsid w:val="0091758A"/>
    <w:rsid w:val="00923BA9"/>
    <w:rsid w:val="00924008"/>
    <w:rsid w:val="00924AFD"/>
    <w:rsid w:val="00924CA5"/>
    <w:rsid w:val="00926348"/>
    <w:rsid w:val="009267A2"/>
    <w:rsid w:val="00930D9B"/>
    <w:rsid w:val="00931755"/>
    <w:rsid w:val="00932189"/>
    <w:rsid w:val="0093262C"/>
    <w:rsid w:val="00933A77"/>
    <w:rsid w:val="00933BB3"/>
    <w:rsid w:val="00934F45"/>
    <w:rsid w:val="0093530D"/>
    <w:rsid w:val="00935B95"/>
    <w:rsid w:val="00941CF1"/>
    <w:rsid w:val="0094292A"/>
    <w:rsid w:val="00943E5A"/>
    <w:rsid w:val="009441CE"/>
    <w:rsid w:val="00944943"/>
    <w:rsid w:val="00946959"/>
    <w:rsid w:val="00947189"/>
    <w:rsid w:val="00947B83"/>
    <w:rsid w:val="00950D09"/>
    <w:rsid w:val="00950D70"/>
    <w:rsid w:val="00951275"/>
    <w:rsid w:val="00951DB1"/>
    <w:rsid w:val="009521BD"/>
    <w:rsid w:val="00953254"/>
    <w:rsid w:val="0095627C"/>
    <w:rsid w:val="00956427"/>
    <w:rsid w:val="00956FAF"/>
    <w:rsid w:val="00960CAA"/>
    <w:rsid w:val="009614D0"/>
    <w:rsid w:val="00961DFE"/>
    <w:rsid w:val="00961EE1"/>
    <w:rsid w:val="00962F02"/>
    <w:rsid w:val="0096396C"/>
    <w:rsid w:val="00963C49"/>
    <w:rsid w:val="00964037"/>
    <w:rsid w:val="00965989"/>
    <w:rsid w:val="00965BE6"/>
    <w:rsid w:val="0096623A"/>
    <w:rsid w:val="00966BB2"/>
    <w:rsid w:val="00967050"/>
    <w:rsid w:val="00970275"/>
    <w:rsid w:val="0097117B"/>
    <w:rsid w:val="009715F5"/>
    <w:rsid w:val="00972125"/>
    <w:rsid w:val="009724E6"/>
    <w:rsid w:val="009736D5"/>
    <w:rsid w:val="0097393C"/>
    <w:rsid w:val="00973C0B"/>
    <w:rsid w:val="00975C87"/>
    <w:rsid w:val="00976122"/>
    <w:rsid w:val="00976401"/>
    <w:rsid w:val="00976499"/>
    <w:rsid w:val="009768CF"/>
    <w:rsid w:val="00976A14"/>
    <w:rsid w:val="009803FA"/>
    <w:rsid w:val="00982E26"/>
    <w:rsid w:val="0098683F"/>
    <w:rsid w:val="00987281"/>
    <w:rsid w:val="009873DF"/>
    <w:rsid w:val="00987481"/>
    <w:rsid w:val="00991D53"/>
    <w:rsid w:val="00992E87"/>
    <w:rsid w:val="00994357"/>
    <w:rsid w:val="00994666"/>
    <w:rsid w:val="009946A0"/>
    <w:rsid w:val="00994984"/>
    <w:rsid w:val="00997117"/>
    <w:rsid w:val="00997D52"/>
    <w:rsid w:val="009A01B6"/>
    <w:rsid w:val="009A14D6"/>
    <w:rsid w:val="009A282C"/>
    <w:rsid w:val="009A2A2E"/>
    <w:rsid w:val="009A2D96"/>
    <w:rsid w:val="009A4242"/>
    <w:rsid w:val="009A4458"/>
    <w:rsid w:val="009A6AE3"/>
    <w:rsid w:val="009B148F"/>
    <w:rsid w:val="009B1CEE"/>
    <w:rsid w:val="009B2087"/>
    <w:rsid w:val="009B2546"/>
    <w:rsid w:val="009B2D97"/>
    <w:rsid w:val="009B3E92"/>
    <w:rsid w:val="009B457C"/>
    <w:rsid w:val="009B4693"/>
    <w:rsid w:val="009B5428"/>
    <w:rsid w:val="009B5CAB"/>
    <w:rsid w:val="009B637A"/>
    <w:rsid w:val="009B7149"/>
    <w:rsid w:val="009B7F3C"/>
    <w:rsid w:val="009C2213"/>
    <w:rsid w:val="009C2234"/>
    <w:rsid w:val="009C2912"/>
    <w:rsid w:val="009C36F1"/>
    <w:rsid w:val="009C4745"/>
    <w:rsid w:val="009C55A2"/>
    <w:rsid w:val="009C6222"/>
    <w:rsid w:val="009C785F"/>
    <w:rsid w:val="009D0EA5"/>
    <w:rsid w:val="009D1ABC"/>
    <w:rsid w:val="009D2968"/>
    <w:rsid w:val="009D529F"/>
    <w:rsid w:val="009D5B83"/>
    <w:rsid w:val="009D749D"/>
    <w:rsid w:val="009D7643"/>
    <w:rsid w:val="009D7676"/>
    <w:rsid w:val="009E0103"/>
    <w:rsid w:val="009E0D57"/>
    <w:rsid w:val="009E1969"/>
    <w:rsid w:val="009E1A78"/>
    <w:rsid w:val="009E1E0F"/>
    <w:rsid w:val="009E2015"/>
    <w:rsid w:val="009E355C"/>
    <w:rsid w:val="009E4B31"/>
    <w:rsid w:val="009E5A9A"/>
    <w:rsid w:val="009E69C5"/>
    <w:rsid w:val="009E6B07"/>
    <w:rsid w:val="009E6B24"/>
    <w:rsid w:val="009E6FD8"/>
    <w:rsid w:val="009E7734"/>
    <w:rsid w:val="009F2E0B"/>
    <w:rsid w:val="009F3588"/>
    <w:rsid w:val="009F432A"/>
    <w:rsid w:val="009F44C7"/>
    <w:rsid w:val="009F64EC"/>
    <w:rsid w:val="009F745B"/>
    <w:rsid w:val="00A0005E"/>
    <w:rsid w:val="00A002AD"/>
    <w:rsid w:val="00A0056C"/>
    <w:rsid w:val="00A00809"/>
    <w:rsid w:val="00A00DF2"/>
    <w:rsid w:val="00A01858"/>
    <w:rsid w:val="00A02095"/>
    <w:rsid w:val="00A037E3"/>
    <w:rsid w:val="00A03D92"/>
    <w:rsid w:val="00A05022"/>
    <w:rsid w:val="00A054E1"/>
    <w:rsid w:val="00A067B1"/>
    <w:rsid w:val="00A068E0"/>
    <w:rsid w:val="00A07C79"/>
    <w:rsid w:val="00A07D5A"/>
    <w:rsid w:val="00A11101"/>
    <w:rsid w:val="00A12AAF"/>
    <w:rsid w:val="00A12FB2"/>
    <w:rsid w:val="00A133F6"/>
    <w:rsid w:val="00A153EC"/>
    <w:rsid w:val="00A15BA5"/>
    <w:rsid w:val="00A16CAE"/>
    <w:rsid w:val="00A17418"/>
    <w:rsid w:val="00A17EF9"/>
    <w:rsid w:val="00A200B8"/>
    <w:rsid w:val="00A20921"/>
    <w:rsid w:val="00A2128E"/>
    <w:rsid w:val="00A2170D"/>
    <w:rsid w:val="00A23B16"/>
    <w:rsid w:val="00A2781B"/>
    <w:rsid w:val="00A27C8B"/>
    <w:rsid w:val="00A305BE"/>
    <w:rsid w:val="00A306E1"/>
    <w:rsid w:val="00A30968"/>
    <w:rsid w:val="00A31026"/>
    <w:rsid w:val="00A31D9C"/>
    <w:rsid w:val="00A327A7"/>
    <w:rsid w:val="00A339AB"/>
    <w:rsid w:val="00A3428B"/>
    <w:rsid w:val="00A3533D"/>
    <w:rsid w:val="00A3566E"/>
    <w:rsid w:val="00A35CDF"/>
    <w:rsid w:val="00A36A37"/>
    <w:rsid w:val="00A36DFA"/>
    <w:rsid w:val="00A41266"/>
    <w:rsid w:val="00A41726"/>
    <w:rsid w:val="00A42941"/>
    <w:rsid w:val="00A42D9A"/>
    <w:rsid w:val="00A440E8"/>
    <w:rsid w:val="00A451E5"/>
    <w:rsid w:val="00A4529A"/>
    <w:rsid w:val="00A51345"/>
    <w:rsid w:val="00A52B7C"/>
    <w:rsid w:val="00A5397B"/>
    <w:rsid w:val="00A540CB"/>
    <w:rsid w:val="00A54971"/>
    <w:rsid w:val="00A553BF"/>
    <w:rsid w:val="00A55F82"/>
    <w:rsid w:val="00A6217C"/>
    <w:rsid w:val="00A635C1"/>
    <w:rsid w:val="00A64306"/>
    <w:rsid w:val="00A64320"/>
    <w:rsid w:val="00A65BD0"/>
    <w:rsid w:val="00A67ABB"/>
    <w:rsid w:val="00A702A4"/>
    <w:rsid w:val="00A706B1"/>
    <w:rsid w:val="00A70C59"/>
    <w:rsid w:val="00A70E17"/>
    <w:rsid w:val="00A71275"/>
    <w:rsid w:val="00A71DB5"/>
    <w:rsid w:val="00A71EB8"/>
    <w:rsid w:val="00A73B43"/>
    <w:rsid w:val="00A73F3F"/>
    <w:rsid w:val="00A7430B"/>
    <w:rsid w:val="00A74C49"/>
    <w:rsid w:val="00A765AE"/>
    <w:rsid w:val="00A769F1"/>
    <w:rsid w:val="00A77242"/>
    <w:rsid w:val="00A804DD"/>
    <w:rsid w:val="00A80BF1"/>
    <w:rsid w:val="00A80E2C"/>
    <w:rsid w:val="00A83005"/>
    <w:rsid w:val="00A833D6"/>
    <w:rsid w:val="00A843C8"/>
    <w:rsid w:val="00A84F4F"/>
    <w:rsid w:val="00A87035"/>
    <w:rsid w:val="00A870CB"/>
    <w:rsid w:val="00A877DC"/>
    <w:rsid w:val="00A878DF"/>
    <w:rsid w:val="00A91618"/>
    <w:rsid w:val="00A916F0"/>
    <w:rsid w:val="00A9274D"/>
    <w:rsid w:val="00A949EC"/>
    <w:rsid w:val="00A95A55"/>
    <w:rsid w:val="00A9670E"/>
    <w:rsid w:val="00A974FD"/>
    <w:rsid w:val="00AA0584"/>
    <w:rsid w:val="00AA0CEA"/>
    <w:rsid w:val="00AA37C7"/>
    <w:rsid w:val="00AA7F9D"/>
    <w:rsid w:val="00AB0D23"/>
    <w:rsid w:val="00AB13A0"/>
    <w:rsid w:val="00AB163D"/>
    <w:rsid w:val="00AB24A3"/>
    <w:rsid w:val="00AB2A88"/>
    <w:rsid w:val="00AB312E"/>
    <w:rsid w:val="00AB422A"/>
    <w:rsid w:val="00AB4334"/>
    <w:rsid w:val="00AB4572"/>
    <w:rsid w:val="00AB4E88"/>
    <w:rsid w:val="00AB6732"/>
    <w:rsid w:val="00AC02C2"/>
    <w:rsid w:val="00AC0A09"/>
    <w:rsid w:val="00AC0CC3"/>
    <w:rsid w:val="00AC1EF4"/>
    <w:rsid w:val="00AC23C7"/>
    <w:rsid w:val="00AC3849"/>
    <w:rsid w:val="00AC43C0"/>
    <w:rsid w:val="00AC4430"/>
    <w:rsid w:val="00AC476C"/>
    <w:rsid w:val="00AC5AF2"/>
    <w:rsid w:val="00AD1581"/>
    <w:rsid w:val="00AD365A"/>
    <w:rsid w:val="00AD3753"/>
    <w:rsid w:val="00AD3833"/>
    <w:rsid w:val="00AD56E0"/>
    <w:rsid w:val="00AD5995"/>
    <w:rsid w:val="00AD6277"/>
    <w:rsid w:val="00AD6813"/>
    <w:rsid w:val="00AD713D"/>
    <w:rsid w:val="00AE1548"/>
    <w:rsid w:val="00AE2D81"/>
    <w:rsid w:val="00AE2F37"/>
    <w:rsid w:val="00AE4496"/>
    <w:rsid w:val="00AE67EE"/>
    <w:rsid w:val="00AE6CFD"/>
    <w:rsid w:val="00AF137E"/>
    <w:rsid w:val="00AF19FF"/>
    <w:rsid w:val="00AF4424"/>
    <w:rsid w:val="00AF5E42"/>
    <w:rsid w:val="00AF75A7"/>
    <w:rsid w:val="00AF7B1B"/>
    <w:rsid w:val="00B016BB"/>
    <w:rsid w:val="00B01C16"/>
    <w:rsid w:val="00B02262"/>
    <w:rsid w:val="00B026F4"/>
    <w:rsid w:val="00B02BF5"/>
    <w:rsid w:val="00B03E7F"/>
    <w:rsid w:val="00B06FE8"/>
    <w:rsid w:val="00B072F3"/>
    <w:rsid w:val="00B07C26"/>
    <w:rsid w:val="00B12D12"/>
    <w:rsid w:val="00B13194"/>
    <w:rsid w:val="00B144F2"/>
    <w:rsid w:val="00B14B59"/>
    <w:rsid w:val="00B14C93"/>
    <w:rsid w:val="00B156DB"/>
    <w:rsid w:val="00B15A79"/>
    <w:rsid w:val="00B15BB9"/>
    <w:rsid w:val="00B16032"/>
    <w:rsid w:val="00B16373"/>
    <w:rsid w:val="00B170F5"/>
    <w:rsid w:val="00B201C4"/>
    <w:rsid w:val="00B204FA"/>
    <w:rsid w:val="00B247BD"/>
    <w:rsid w:val="00B25F06"/>
    <w:rsid w:val="00B3019D"/>
    <w:rsid w:val="00B321AC"/>
    <w:rsid w:val="00B32DB2"/>
    <w:rsid w:val="00B33F13"/>
    <w:rsid w:val="00B35B0E"/>
    <w:rsid w:val="00B35CF9"/>
    <w:rsid w:val="00B366D9"/>
    <w:rsid w:val="00B36A03"/>
    <w:rsid w:val="00B4033C"/>
    <w:rsid w:val="00B40930"/>
    <w:rsid w:val="00B41B28"/>
    <w:rsid w:val="00B420C7"/>
    <w:rsid w:val="00B427B3"/>
    <w:rsid w:val="00B4395E"/>
    <w:rsid w:val="00B4557B"/>
    <w:rsid w:val="00B50928"/>
    <w:rsid w:val="00B50C86"/>
    <w:rsid w:val="00B510D4"/>
    <w:rsid w:val="00B5226B"/>
    <w:rsid w:val="00B52F05"/>
    <w:rsid w:val="00B53668"/>
    <w:rsid w:val="00B53E8F"/>
    <w:rsid w:val="00B542ED"/>
    <w:rsid w:val="00B55BE7"/>
    <w:rsid w:val="00B56BA7"/>
    <w:rsid w:val="00B56D52"/>
    <w:rsid w:val="00B606F3"/>
    <w:rsid w:val="00B62334"/>
    <w:rsid w:val="00B62541"/>
    <w:rsid w:val="00B62ED9"/>
    <w:rsid w:val="00B63DA9"/>
    <w:rsid w:val="00B63E39"/>
    <w:rsid w:val="00B652ED"/>
    <w:rsid w:val="00B658D2"/>
    <w:rsid w:val="00B66DBF"/>
    <w:rsid w:val="00B66DD3"/>
    <w:rsid w:val="00B6743F"/>
    <w:rsid w:val="00B73685"/>
    <w:rsid w:val="00B7381D"/>
    <w:rsid w:val="00B745E7"/>
    <w:rsid w:val="00B7477F"/>
    <w:rsid w:val="00B756AD"/>
    <w:rsid w:val="00B7635B"/>
    <w:rsid w:val="00B7637B"/>
    <w:rsid w:val="00B765EE"/>
    <w:rsid w:val="00B77850"/>
    <w:rsid w:val="00B803C0"/>
    <w:rsid w:val="00B8098F"/>
    <w:rsid w:val="00B80D5B"/>
    <w:rsid w:val="00B81626"/>
    <w:rsid w:val="00B81696"/>
    <w:rsid w:val="00B81EF4"/>
    <w:rsid w:val="00B8368B"/>
    <w:rsid w:val="00B8741D"/>
    <w:rsid w:val="00B875AD"/>
    <w:rsid w:val="00B931A9"/>
    <w:rsid w:val="00B9389A"/>
    <w:rsid w:val="00B963AD"/>
    <w:rsid w:val="00B96835"/>
    <w:rsid w:val="00B9746B"/>
    <w:rsid w:val="00BA0E69"/>
    <w:rsid w:val="00BA0FAA"/>
    <w:rsid w:val="00BA14E1"/>
    <w:rsid w:val="00BA30FD"/>
    <w:rsid w:val="00BA436B"/>
    <w:rsid w:val="00BA4BBB"/>
    <w:rsid w:val="00BA57E1"/>
    <w:rsid w:val="00BA6012"/>
    <w:rsid w:val="00BA6537"/>
    <w:rsid w:val="00BA6B66"/>
    <w:rsid w:val="00BA6C02"/>
    <w:rsid w:val="00BA7953"/>
    <w:rsid w:val="00BB027A"/>
    <w:rsid w:val="00BB2E4E"/>
    <w:rsid w:val="00BB7E67"/>
    <w:rsid w:val="00BC02D4"/>
    <w:rsid w:val="00BC1D93"/>
    <w:rsid w:val="00BC21A4"/>
    <w:rsid w:val="00BC3EC2"/>
    <w:rsid w:val="00BC59EC"/>
    <w:rsid w:val="00BC6DA2"/>
    <w:rsid w:val="00BC6F91"/>
    <w:rsid w:val="00BD0AEC"/>
    <w:rsid w:val="00BD14E4"/>
    <w:rsid w:val="00BD18E5"/>
    <w:rsid w:val="00BD20DF"/>
    <w:rsid w:val="00BD22E1"/>
    <w:rsid w:val="00BD3063"/>
    <w:rsid w:val="00BD3210"/>
    <w:rsid w:val="00BD41BE"/>
    <w:rsid w:val="00BD4805"/>
    <w:rsid w:val="00BD4B4D"/>
    <w:rsid w:val="00BD5076"/>
    <w:rsid w:val="00BD77E8"/>
    <w:rsid w:val="00BD7F0B"/>
    <w:rsid w:val="00BE38FD"/>
    <w:rsid w:val="00BE463D"/>
    <w:rsid w:val="00BE4C07"/>
    <w:rsid w:val="00BE6483"/>
    <w:rsid w:val="00BE748B"/>
    <w:rsid w:val="00BE7842"/>
    <w:rsid w:val="00BE7ED6"/>
    <w:rsid w:val="00BF033B"/>
    <w:rsid w:val="00BF1ACD"/>
    <w:rsid w:val="00BF1CE8"/>
    <w:rsid w:val="00BF44E2"/>
    <w:rsid w:val="00BF4631"/>
    <w:rsid w:val="00BF4938"/>
    <w:rsid w:val="00BF551E"/>
    <w:rsid w:val="00BF5D02"/>
    <w:rsid w:val="00BF64BF"/>
    <w:rsid w:val="00BF66F3"/>
    <w:rsid w:val="00C00207"/>
    <w:rsid w:val="00C011E3"/>
    <w:rsid w:val="00C01378"/>
    <w:rsid w:val="00C015E0"/>
    <w:rsid w:val="00C036E0"/>
    <w:rsid w:val="00C03E35"/>
    <w:rsid w:val="00C03FDF"/>
    <w:rsid w:val="00C04382"/>
    <w:rsid w:val="00C054B0"/>
    <w:rsid w:val="00C0714D"/>
    <w:rsid w:val="00C115E8"/>
    <w:rsid w:val="00C12458"/>
    <w:rsid w:val="00C1360D"/>
    <w:rsid w:val="00C14552"/>
    <w:rsid w:val="00C150CA"/>
    <w:rsid w:val="00C154D8"/>
    <w:rsid w:val="00C15692"/>
    <w:rsid w:val="00C15A48"/>
    <w:rsid w:val="00C176BE"/>
    <w:rsid w:val="00C206D9"/>
    <w:rsid w:val="00C21B56"/>
    <w:rsid w:val="00C21D10"/>
    <w:rsid w:val="00C23F29"/>
    <w:rsid w:val="00C2425E"/>
    <w:rsid w:val="00C243B8"/>
    <w:rsid w:val="00C24743"/>
    <w:rsid w:val="00C249FC"/>
    <w:rsid w:val="00C24D84"/>
    <w:rsid w:val="00C27510"/>
    <w:rsid w:val="00C3196A"/>
    <w:rsid w:val="00C321D8"/>
    <w:rsid w:val="00C3468C"/>
    <w:rsid w:val="00C34F0D"/>
    <w:rsid w:val="00C358D3"/>
    <w:rsid w:val="00C37188"/>
    <w:rsid w:val="00C37584"/>
    <w:rsid w:val="00C422EC"/>
    <w:rsid w:val="00C429C0"/>
    <w:rsid w:val="00C43FE1"/>
    <w:rsid w:val="00C4577D"/>
    <w:rsid w:val="00C473C5"/>
    <w:rsid w:val="00C474D5"/>
    <w:rsid w:val="00C50DC4"/>
    <w:rsid w:val="00C50FAE"/>
    <w:rsid w:val="00C53A91"/>
    <w:rsid w:val="00C54711"/>
    <w:rsid w:val="00C55059"/>
    <w:rsid w:val="00C55549"/>
    <w:rsid w:val="00C55818"/>
    <w:rsid w:val="00C55AA8"/>
    <w:rsid w:val="00C56FCC"/>
    <w:rsid w:val="00C61639"/>
    <w:rsid w:val="00C625F3"/>
    <w:rsid w:val="00C646D6"/>
    <w:rsid w:val="00C64A2C"/>
    <w:rsid w:val="00C64EAF"/>
    <w:rsid w:val="00C663AD"/>
    <w:rsid w:val="00C6761C"/>
    <w:rsid w:val="00C67AFB"/>
    <w:rsid w:val="00C67C01"/>
    <w:rsid w:val="00C72460"/>
    <w:rsid w:val="00C72C26"/>
    <w:rsid w:val="00C753FB"/>
    <w:rsid w:val="00C76233"/>
    <w:rsid w:val="00C777AF"/>
    <w:rsid w:val="00C77B8D"/>
    <w:rsid w:val="00C80E95"/>
    <w:rsid w:val="00C81E80"/>
    <w:rsid w:val="00C83A81"/>
    <w:rsid w:val="00C83BB9"/>
    <w:rsid w:val="00C83BC9"/>
    <w:rsid w:val="00C84E4F"/>
    <w:rsid w:val="00C84EB7"/>
    <w:rsid w:val="00C876DC"/>
    <w:rsid w:val="00C90606"/>
    <w:rsid w:val="00C90730"/>
    <w:rsid w:val="00C91805"/>
    <w:rsid w:val="00C9373D"/>
    <w:rsid w:val="00C95063"/>
    <w:rsid w:val="00C95AEF"/>
    <w:rsid w:val="00C9641E"/>
    <w:rsid w:val="00C96EBA"/>
    <w:rsid w:val="00CA074F"/>
    <w:rsid w:val="00CA0D73"/>
    <w:rsid w:val="00CA0E41"/>
    <w:rsid w:val="00CA2366"/>
    <w:rsid w:val="00CA34B6"/>
    <w:rsid w:val="00CA399A"/>
    <w:rsid w:val="00CA40D0"/>
    <w:rsid w:val="00CA4505"/>
    <w:rsid w:val="00CA569F"/>
    <w:rsid w:val="00CA587E"/>
    <w:rsid w:val="00CA7466"/>
    <w:rsid w:val="00CA770E"/>
    <w:rsid w:val="00CB0E4F"/>
    <w:rsid w:val="00CB0E7F"/>
    <w:rsid w:val="00CB231F"/>
    <w:rsid w:val="00CB272B"/>
    <w:rsid w:val="00CB51B2"/>
    <w:rsid w:val="00CB5B20"/>
    <w:rsid w:val="00CB6B45"/>
    <w:rsid w:val="00CB787B"/>
    <w:rsid w:val="00CB7A61"/>
    <w:rsid w:val="00CB7A67"/>
    <w:rsid w:val="00CB7E0D"/>
    <w:rsid w:val="00CC1FAA"/>
    <w:rsid w:val="00CC274A"/>
    <w:rsid w:val="00CC2918"/>
    <w:rsid w:val="00CC45F2"/>
    <w:rsid w:val="00CC784D"/>
    <w:rsid w:val="00CD0360"/>
    <w:rsid w:val="00CD0CC7"/>
    <w:rsid w:val="00CD25AA"/>
    <w:rsid w:val="00CD3A99"/>
    <w:rsid w:val="00CD51D3"/>
    <w:rsid w:val="00CD629E"/>
    <w:rsid w:val="00CD6309"/>
    <w:rsid w:val="00CD6E92"/>
    <w:rsid w:val="00CE0095"/>
    <w:rsid w:val="00CE19CD"/>
    <w:rsid w:val="00CE22B5"/>
    <w:rsid w:val="00CE4902"/>
    <w:rsid w:val="00CE495F"/>
    <w:rsid w:val="00CE6A61"/>
    <w:rsid w:val="00CE6CEF"/>
    <w:rsid w:val="00CE6D2A"/>
    <w:rsid w:val="00CF06AB"/>
    <w:rsid w:val="00CF3950"/>
    <w:rsid w:val="00CF4F22"/>
    <w:rsid w:val="00CF4F4D"/>
    <w:rsid w:val="00CF7DAD"/>
    <w:rsid w:val="00D01802"/>
    <w:rsid w:val="00D02620"/>
    <w:rsid w:val="00D02EB9"/>
    <w:rsid w:val="00D0414C"/>
    <w:rsid w:val="00D07E16"/>
    <w:rsid w:val="00D1080E"/>
    <w:rsid w:val="00D113B8"/>
    <w:rsid w:val="00D12443"/>
    <w:rsid w:val="00D12FB8"/>
    <w:rsid w:val="00D139EB"/>
    <w:rsid w:val="00D1406C"/>
    <w:rsid w:val="00D15899"/>
    <w:rsid w:val="00D15B6F"/>
    <w:rsid w:val="00D15F60"/>
    <w:rsid w:val="00D16133"/>
    <w:rsid w:val="00D16824"/>
    <w:rsid w:val="00D1683C"/>
    <w:rsid w:val="00D17341"/>
    <w:rsid w:val="00D17B01"/>
    <w:rsid w:val="00D20546"/>
    <w:rsid w:val="00D228CE"/>
    <w:rsid w:val="00D24C0E"/>
    <w:rsid w:val="00D250F9"/>
    <w:rsid w:val="00D25EB9"/>
    <w:rsid w:val="00D278ED"/>
    <w:rsid w:val="00D30EF8"/>
    <w:rsid w:val="00D319D2"/>
    <w:rsid w:val="00D31F09"/>
    <w:rsid w:val="00D3261A"/>
    <w:rsid w:val="00D32978"/>
    <w:rsid w:val="00D333E9"/>
    <w:rsid w:val="00D334F3"/>
    <w:rsid w:val="00D356E1"/>
    <w:rsid w:val="00D40D7C"/>
    <w:rsid w:val="00D415A5"/>
    <w:rsid w:val="00D43AA4"/>
    <w:rsid w:val="00D449BA"/>
    <w:rsid w:val="00D46803"/>
    <w:rsid w:val="00D50279"/>
    <w:rsid w:val="00D50FE4"/>
    <w:rsid w:val="00D530C4"/>
    <w:rsid w:val="00D53740"/>
    <w:rsid w:val="00D53EDC"/>
    <w:rsid w:val="00D54799"/>
    <w:rsid w:val="00D54E7C"/>
    <w:rsid w:val="00D55432"/>
    <w:rsid w:val="00D5636D"/>
    <w:rsid w:val="00D5778E"/>
    <w:rsid w:val="00D61856"/>
    <w:rsid w:val="00D621BE"/>
    <w:rsid w:val="00D62C8D"/>
    <w:rsid w:val="00D633AC"/>
    <w:rsid w:val="00D73C24"/>
    <w:rsid w:val="00D741B7"/>
    <w:rsid w:val="00D74612"/>
    <w:rsid w:val="00D75BA5"/>
    <w:rsid w:val="00D76708"/>
    <w:rsid w:val="00D76F39"/>
    <w:rsid w:val="00D76F60"/>
    <w:rsid w:val="00D773A1"/>
    <w:rsid w:val="00D77BBC"/>
    <w:rsid w:val="00D80754"/>
    <w:rsid w:val="00D81084"/>
    <w:rsid w:val="00D82F1A"/>
    <w:rsid w:val="00D8485D"/>
    <w:rsid w:val="00D853E3"/>
    <w:rsid w:val="00D865E4"/>
    <w:rsid w:val="00D914DC"/>
    <w:rsid w:val="00D9346F"/>
    <w:rsid w:val="00D9354E"/>
    <w:rsid w:val="00D93B09"/>
    <w:rsid w:val="00D94973"/>
    <w:rsid w:val="00D95325"/>
    <w:rsid w:val="00D95A19"/>
    <w:rsid w:val="00D966F9"/>
    <w:rsid w:val="00D97DC7"/>
    <w:rsid w:val="00DA0043"/>
    <w:rsid w:val="00DA11D0"/>
    <w:rsid w:val="00DA1384"/>
    <w:rsid w:val="00DA41BA"/>
    <w:rsid w:val="00DA5497"/>
    <w:rsid w:val="00DA5748"/>
    <w:rsid w:val="00DA5BC2"/>
    <w:rsid w:val="00DA5CD2"/>
    <w:rsid w:val="00DA5FDF"/>
    <w:rsid w:val="00DA65B5"/>
    <w:rsid w:val="00DB04DD"/>
    <w:rsid w:val="00DB0CD4"/>
    <w:rsid w:val="00DB26B0"/>
    <w:rsid w:val="00DB4F69"/>
    <w:rsid w:val="00DB5E78"/>
    <w:rsid w:val="00DB6F43"/>
    <w:rsid w:val="00DB7E61"/>
    <w:rsid w:val="00DC0276"/>
    <w:rsid w:val="00DC194B"/>
    <w:rsid w:val="00DC1CD6"/>
    <w:rsid w:val="00DC28C6"/>
    <w:rsid w:val="00DC2F81"/>
    <w:rsid w:val="00DC3B3A"/>
    <w:rsid w:val="00DC3D5E"/>
    <w:rsid w:val="00DC4553"/>
    <w:rsid w:val="00DC46A1"/>
    <w:rsid w:val="00DC47B3"/>
    <w:rsid w:val="00DC527B"/>
    <w:rsid w:val="00DC750E"/>
    <w:rsid w:val="00DD176A"/>
    <w:rsid w:val="00DD207E"/>
    <w:rsid w:val="00DD2DC6"/>
    <w:rsid w:val="00DD4510"/>
    <w:rsid w:val="00DD4935"/>
    <w:rsid w:val="00DD61C2"/>
    <w:rsid w:val="00DE024D"/>
    <w:rsid w:val="00DE0FDC"/>
    <w:rsid w:val="00DE100A"/>
    <w:rsid w:val="00DE1AC4"/>
    <w:rsid w:val="00DE262B"/>
    <w:rsid w:val="00DE3095"/>
    <w:rsid w:val="00DE3D8A"/>
    <w:rsid w:val="00DE5C10"/>
    <w:rsid w:val="00DE5D9B"/>
    <w:rsid w:val="00DE5EDD"/>
    <w:rsid w:val="00DE6B55"/>
    <w:rsid w:val="00DF0DB7"/>
    <w:rsid w:val="00DF1B50"/>
    <w:rsid w:val="00DF1C30"/>
    <w:rsid w:val="00DF1F78"/>
    <w:rsid w:val="00DF3AEF"/>
    <w:rsid w:val="00DF631A"/>
    <w:rsid w:val="00DF7529"/>
    <w:rsid w:val="00DF7A2D"/>
    <w:rsid w:val="00E004D3"/>
    <w:rsid w:val="00E021A5"/>
    <w:rsid w:val="00E03CF9"/>
    <w:rsid w:val="00E04025"/>
    <w:rsid w:val="00E04DBD"/>
    <w:rsid w:val="00E05EC2"/>
    <w:rsid w:val="00E069AC"/>
    <w:rsid w:val="00E10B8C"/>
    <w:rsid w:val="00E112D8"/>
    <w:rsid w:val="00E12761"/>
    <w:rsid w:val="00E1354A"/>
    <w:rsid w:val="00E1404B"/>
    <w:rsid w:val="00E14947"/>
    <w:rsid w:val="00E1595D"/>
    <w:rsid w:val="00E160FE"/>
    <w:rsid w:val="00E16C47"/>
    <w:rsid w:val="00E17391"/>
    <w:rsid w:val="00E20CC8"/>
    <w:rsid w:val="00E21134"/>
    <w:rsid w:val="00E23C80"/>
    <w:rsid w:val="00E24CA5"/>
    <w:rsid w:val="00E24EFC"/>
    <w:rsid w:val="00E2608B"/>
    <w:rsid w:val="00E267F5"/>
    <w:rsid w:val="00E30F82"/>
    <w:rsid w:val="00E3268C"/>
    <w:rsid w:val="00E327C4"/>
    <w:rsid w:val="00E32E8A"/>
    <w:rsid w:val="00E34496"/>
    <w:rsid w:val="00E34D6D"/>
    <w:rsid w:val="00E34DC6"/>
    <w:rsid w:val="00E34FF4"/>
    <w:rsid w:val="00E36A02"/>
    <w:rsid w:val="00E37AC8"/>
    <w:rsid w:val="00E4033D"/>
    <w:rsid w:val="00E40844"/>
    <w:rsid w:val="00E40AC8"/>
    <w:rsid w:val="00E423E1"/>
    <w:rsid w:val="00E43766"/>
    <w:rsid w:val="00E43B01"/>
    <w:rsid w:val="00E4437F"/>
    <w:rsid w:val="00E45B48"/>
    <w:rsid w:val="00E464F3"/>
    <w:rsid w:val="00E46E13"/>
    <w:rsid w:val="00E47B06"/>
    <w:rsid w:val="00E47E9A"/>
    <w:rsid w:val="00E50701"/>
    <w:rsid w:val="00E50A2C"/>
    <w:rsid w:val="00E52134"/>
    <w:rsid w:val="00E5220A"/>
    <w:rsid w:val="00E52980"/>
    <w:rsid w:val="00E53088"/>
    <w:rsid w:val="00E53B49"/>
    <w:rsid w:val="00E53E59"/>
    <w:rsid w:val="00E53F0E"/>
    <w:rsid w:val="00E55892"/>
    <w:rsid w:val="00E5605E"/>
    <w:rsid w:val="00E62025"/>
    <w:rsid w:val="00E649A3"/>
    <w:rsid w:val="00E6603F"/>
    <w:rsid w:val="00E6616F"/>
    <w:rsid w:val="00E66F78"/>
    <w:rsid w:val="00E678E5"/>
    <w:rsid w:val="00E70A6E"/>
    <w:rsid w:val="00E7119C"/>
    <w:rsid w:val="00E71545"/>
    <w:rsid w:val="00E71663"/>
    <w:rsid w:val="00E73327"/>
    <w:rsid w:val="00E746A5"/>
    <w:rsid w:val="00E748A3"/>
    <w:rsid w:val="00E75B45"/>
    <w:rsid w:val="00E76F05"/>
    <w:rsid w:val="00E776FB"/>
    <w:rsid w:val="00E779B2"/>
    <w:rsid w:val="00E77B09"/>
    <w:rsid w:val="00E805EF"/>
    <w:rsid w:val="00E81622"/>
    <w:rsid w:val="00E82EE1"/>
    <w:rsid w:val="00E83BBF"/>
    <w:rsid w:val="00E83F2A"/>
    <w:rsid w:val="00E846C7"/>
    <w:rsid w:val="00E84B2F"/>
    <w:rsid w:val="00E85125"/>
    <w:rsid w:val="00E851A2"/>
    <w:rsid w:val="00E87EDF"/>
    <w:rsid w:val="00E90116"/>
    <w:rsid w:val="00E902EA"/>
    <w:rsid w:val="00E9074E"/>
    <w:rsid w:val="00E91ABB"/>
    <w:rsid w:val="00E92B5B"/>
    <w:rsid w:val="00E93186"/>
    <w:rsid w:val="00E93B21"/>
    <w:rsid w:val="00E942E6"/>
    <w:rsid w:val="00E9433B"/>
    <w:rsid w:val="00E94EB7"/>
    <w:rsid w:val="00E96F51"/>
    <w:rsid w:val="00E970C8"/>
    <w:rsid w:val="00E97EFE"/>
    <w:rsid w:val="00EA030C"/>
    <w:rsid w:val="00EA0B48"/>
    <w:rsid w:val="00EA156A"/>
    <w:rsid w:val="00EA1AF8"/>
    <w:rsid w:val="00EA3B44"/>
    <w:rsid w:val="00EA512F"/>
    <w:rsid w:val="00EA576E"/>
    <w:rsid w:val="00EB006A"/>
    <w:rsid w:val="00EB038F"/>
    <w:rsid w:val="00EB07D2"/>
    <w:rsid w:val="00EB20AE"/>
    <w:rsid w:val="00EB20C2"/>
    <w:rsid w:val="00EB25FD"/>
    <w:rsid w:val="00EB3080"/>
    <w:rsid w:val="00EB4BC6"/>
    <w:rsid w:val="00EB6097"/>
    <w:rsid w:val="00EB6549"/>
    <w:rsid w:val="00EB6F35"/>
    <w:rsid w:val="00EB7F96"/>
    <w:rsid w:val="00EC0B0E"/>
    <w:rsid w:val="00EC0B52"/>
    <w:rsid w:val="00EC4BB7"/>
    <w:rsid w:val="00EC5560"/>
    <w:rsid w:val="00EC58E6"/>
    <w:rsid w:val="00EC6E65"/>
    <w:rsid w:val="00EC6EE2"/>
    <w:rsid w:val="00EC7027"/>
    <w:rsid w:val="00ED048E"/>
    <w:rsid w:val="00ED0C07"/>
    <w:rsid w:val="00ED1B60"/>
    <w:rsid w:val="00ED2FA0"/>
    <w:rsid w:val="00ED3A44"/>
    <w:rsid w:val="00ED64BC"/>
    <w:rsid w:val="00ED7618"/>
    <w:rsid w:val="00EE089B"/>
    <w:rsid w:val="00EE0EA1"/>
    <w:rsid w:val="00EE1A26"/>
    <w:rsid w:val="00EE3A7D"/>
    <w:rsid w:val="00EE5996"/>
    <w:rsid w:val="00EE5B37"/>
    <w:rsid w:val="00EE636C"/>
    <w:rsid w:val="00EE6483"/>
    <w:rsid w:val="00EE685C"/>
    <w:rsid w:val="00EF1D3D"/>
    <w:rsid w:val="00EF29BC"/>
    <w:rsid w:val="00EF2AD9"/>
    <w:rsid w:val="00EF3DC3"/>
    <w:rsid w:val="00EF46AD"/>
    <w:rsid w:val="00EF632E"/>
    <w:rsid w:val="00F002E0"/>
    <w:rsid w:val="00F04F7D"/>
    <w:rsid w:val="00F0695D"/>
    <w:rsid w:val="00F10966"/>
    <w:rsid w:val="00F13C09"/>
    <w:rsid w:val="00F1490E"/>
    <w:rsid w:val="00F16B57"/>
    <w:rsid w:val="00F17DFE"/>
    <w:rsid w:val="00F17E44"/>
    <w:rsid w:val="00F22E95"/>
    <w:rsid w:val="00F23D40"/>
    <w:rsid w:val="00F23ED5"/>
    <w:rsid w:val="00F24177"/>
    <w:rsid w:val="00F24A0D"/>
    <w:rsid w:val="00F24B45"/>
    <w:rsid w:val="00F257EA"/>
    <w:rsid w:val="00F25A93"/>
    <w:rsid w:val="00F27C17"/>
    <w:rsid w:val="00F3060C"/>
    <w:rsid w:val="00F30B97"/>
    <w:rsid w:val="00F3279B"/>
    <w:rsid w:val="00F33EA4"/>
    <w:rsid w:val="00F361BB"/>
    <w:rsid w:val="00F36D93"/>
    <w:rsid w:val="00F4053B"/>
    <w:rsid w:val="00F41A69"/>
    <w:rsid w:val="00F426CA"/>
    <w:rsid w:val="00F42A6B"/>
    <w:rsid w:val="00F42C64"/>
    <w:rsid w:val="00F42F8C"/>
    <w:rsid w:val="00F43922"/>
    <w:rsid w:val="00F43CF4"/>
    <w:rsid w:val="00F45064"/>
    <w:rsid w:val="00F4521E"/>
    <w:rsid w:val="00F460F9"/>
    <w:rsid w:val="00F462A2"/>
    <w:rsid w:val="00F468B2"/>
    <w:rsid w:val="00F507F9"/>
    <w:rsid w:val="00F50C04"/>
    <w:rsid w:val="00F50C57"/>
    <w:rsid w:val="00F50CA8"/>
    <w:rsid w:val="00F53599"/>
    <w:rsid w:val="00F5415E"/>
    <w:rsid w:val="00F5440F"/>
    <w:rsid w:val="00F55825"/>
    <w:rsid w:val="00F55B36"/>
    <w:rsid w:val="00F56870"/>
    <w:rsid w:val="00F5771C"/>
    <w:rsid w:val="00F614F7"/>
    <w:rsid w:val="00F63568"/>
    <w:rsid w:val="00F66B12"/>
    <w:rsid w:val="00F6724D"/>
    <w:rsid w:val="00F70196"/>
    <w:rsid w:val="00F711C7"/>
    <w:rsid w:val="00F713DA"/>
    <w:rsid w:val="00F71766"/>
    <w:rsid w:val="00F72250"/>
    <w:rsid w:val="00F744E0"/>
    <w:rsid w:val="00F7455C"/>
    <w:rsid w:val="00F747E9"/>
    <w:rsid w:val="00F74D59"/>
    <w:rsid w:val="00F82C8D"/>
    <w:rsid w:val="00F842A8"/>
    <w:rsid w:val="00F8474F"/>
    <w:rsid w:val="00F84AA3"/>
    <w:rsid w:val="00F868BE"/>
    <w:rsid w:val="00F87338"/>
    <w:rsid w:val="00F90246"/>
    <w:rsid w:val="00F9047E"/>
    <w:rsid w:val="00F90C0B"/>
    <w:rsid w:val="00F91F55"/>
    <w:rsid w:val="00F95AF3"/>
    <w:rsid w:val="00F96BC0"/>
    <w:rsid w:val="00FA0464"/>
    <w:rsid w:val="00FA12A7"/>
    <w:rsid w:val="00FA1919"/>
    <w:rsid w:val="00FA3792"/>
    <w:rsid w:val="00FA56B3"/>
    <w:rsid w:val="00FA5E8B"/>
    <w:rsid w:val="00FA6AAF"/>
    <w:rsid w:val="00FA6CC1"/>
    <w:rsid w:val="00FA74D0"/>
    <w:rsid w:val="00FA7567"/>
    <w:rsid w:val="00FB0F23"/>
    <w:rsid w:val="00FB1E15"/>
    <w:rsid w:val="00FB3FC2"/>
    <w:rsid w:val="00FB3FCB"/>
    <w:rsid w:val="00FB445A"/>
    <w:rsid w:val="00FB47F5"/>
    <w:rsid w:val="00FB4894"/>
    <w:rsid w:val="00FB604F"/>
    <w:rsid w:val="00FB71D5"/>
    <w:rsid w:val="00FC0D35"/>
    <w:rsid w:val="00FC13A5"/>
    <w:rsid w:val="00FC29C4"/>
    <w:rsid w:val="00FC42EE"/>
    <w:rsid w:val="00FC44D4"/>
    <w:rsid w:val="00FC699B"/>
    <w:rsid w:val="00FC71E4"/>
    <w:rsid w:val="00FC7327"/>
    <w:rsid w:val="00FC783A"/>
    <w:rsid w:val="00FD0658"/>
    <w:rsid w:val="00FD0D14"/>
    <w:rsid w:val="00FD130F"/>
    <w:rsid w:val="00FD1815"/>
    <w:rsid w:val="00FD2E3C"/>
    <w:rsid w:val="00FD4744"/>
    <w:rsid w:val="00FD5D68"/>
    <w:rsid w:val="00FD6079"/>
    <w:rsid w:val="00FD645A"/>
    <w:rsid w:val="00FD6A16"/>
    <w:rsid w:val="00FD6BEB"/>
    <w:rsid w:val="00FD7891"/>
    <w:rsid w:val="00FD7945"/>
    <w:rsid w:val="00FD7FBF"/>
    <w:rsid w:val="00FE01CA"/>
    <w:rsid w:val="00FE0816"/>
    <w:rsid w:val="00FE122A"/>
    <w:rsid w:val="00FE2ABF"/>
    <w:rsid w:val="00FE2CB4"/>
    <w:rsid w:val="00FE33F8"/>
    <w:rsid w:val="00FE3D43"/>
    <w:rsid w:val="00FE66BF"/>
    <w:rsid w:val="00FE777D"/>
    <w:rsid w:val="00FF3012"/>
    <w:rsid w:val="00FF4C54"/>
    <w:rsid w:val="00FF53E5"/>
    <w:rsid w:val="00FF69D4"/>
    <w:rsid w:val="00FF74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A8E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923"/>
    <w:pPr>
      <w:spacing w:before="240" w:after="120" w:line="240" w:lineRule="auto"/>
    </w:pPr>
    <w:rPr>
      <w:rFonts w:ascii="Arial" w:hAnsi="Arial" w:cs="Arial"/>
      <w:sz w:val="24"/>
    </w:rPr>
  </w:style>
  <w:style w:type="paragraph" w:styleId="Heading1">
    <w:name w:val="heading 1"/>
    <w:next w:val="Normal"/>
    <w:link w:val="Heading1Char"/>
    <w:uiPriority w:val="9"/>
    <w:qFormat/>
    <w:rsid w:val="002D0D8E"/>
    <w:pPr>
      <w:keepNext/>
      <w:spacing w:before="240" w:after="120" w:line="240" w:lineRule="auto"/>
      <w:outlineLvl w:val="0"/>
    </w:pPr>
    <w:rPr>
      <w:rFonts w:ascii="Arial" w:hAnsi="Arial" w:cs="Arial"/>
      <w:b/>
      <w:color w:val="000000" w:themeColor="text1"/>
      <w:sz w:val="36"/>
      <w:szCs w:val="32"/>
    </w:rPr>
  </w:style>
  <w:style w:type="paragraph" w:styleId="Heading2">
    <w:name w:val="heading 2"/>
    <w:next w:val="Normal"/>
    <w:link w:val="Heading2Char"/>
    <w:uiPriority w:val="9"/>
    <w:unhideWhenUsed/>
    <w:qFormat/>
    <w:rsid w:val="00E47B06"/>
    <w:pPr>
      <w:keepNext/>
      <w:spacing w:before="240" w:after="120" w:line="240" w:lineRule="auto"/>
      <w:outlineLvl w:val="1"/>
    </w:pPr>
    <w:rPr>
      <w:rFonts w:ascii="Arial" w:hAnsi="Arial" w:cs="Arial"/>
      <w:b/>
      <w:sz w:val="28"/>
    </w:rPr>
  </w:style>
  <w:style w:type="paragraph" w:styleId="Heading3">
    <w:name w:val="heading 3"/>
    <w:next w:val="Normal"/>
    <w:link w:val="Heading3Char"/>
    <w:uiPriority w:val="9"/>
    <w:unhideWhenUsed/>
    <w:qFormat/>
    <w:rsid w:val="00E1404B"/>
    <w:pPr>
      <w:keepNext/>
      <w:spacing w:before="240" w:after="120" w:line="240" w:lineRule="auto"/>
      <w:outlineLvl w:val="2"/>
    </w:pPr>
    <w:rPr>
      <w:rFonts w:ascii="Arial" w:hAnsi="Arial" w:cs="Arial"/>
      <w:b/>
      <w:color w:val="00577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043625"/>
    <w:pPr>
      <w:spacing w:before="320" w:after="600"/>
    </w:pPr>
    <w:rPr>
      <w:rFonts w:ascii="Arial" w:hAnsi="Arial" w:cs="Arial"/>
      <w:b/>
      <w:color w:val="FFFFFF" w:themeColor="background1"/>
      <w:sz w:val="72"/>
    </w:rPr>
  </w:style>
  <w:style w:type="character" w:customStyle="1" w:styleId="TitleChar">
    <w:name w:val="Title Char"/>
    <w:basedOn w:val="DefaultParagraphFont"/>
    <w:link w:val="Title"/>
    <w:uiPriority w:val="10"/>
    <w:rsid w:val="00043625"/>
    <w:rPr>
      <w:rFonts w:ascii="Arial" w:hAnsi="Arial" w:cs="Arial"/>
      <w:b/>
      <w:color w:val="FFFFFF" w:themeColor="background1"/>
      <w:sz w:val="72"/>
    </w:rPr>
  </w:style>
  <w:style w:type="paragraph" w:styleId="Subtitle">
    <w:name w:val="Subtitle"/>
    <w:next w:val="Normal"/>
    <w:link w:val="SubtitleChar"/>
    <w:uiPriority w:val="11"/>
    <w:qFormat/>
    <w:rsid w:val="00043625"/>
    <w:pPr>
      <w:keepNext/>
    </w:pPr>
    <w:rPr>
      <w:rFonts w:ascii="Arial" w:hAnsi="Arial" w:cs="Arial"/>
      <w:b/>
      <w:color w:val="000000" w:themeColor="text1"/>
      <w:sz w:val="56"/>
      <w:szCs w:val="32"/>
    </w:rPr>
  </w:style>
  <w:style w:type="character" w:customStyle="1" w:styleId="SubtitleChar">
    <w:name w:val="Subtitle Char"/>
    <w:basedOn w:val="DefaultParagraphFont"/>
    <w:link w:val="Subtitle"/>
    <w:uiPriority w:val="11"/>
    <w:rsid w:val="00043625"/>
    <w:rPr>
      <w:rFonts w:ascii="Arial" w:hAnsi="Arial" w:cs="Arial"/>
      <w:b/>
      <w:color w:val="000000" w:themeColor="text1"/>
      <w:sz w:val="56"/>
      <w:szCs w:val="32"/>
    </w:rPr>
  </w:style>
  <w:style w:type="character" w:customStyle="1" w:styleId="Heading1Char">
    <w:name w:val="Heading 1 Char"/>
    <w:basedOn w:val="DefaultParagraphFont"/>
    <w:link w:val="Heading1"/>
    <w:uiPriority w:val="9"/>
    <w:rsid w:val="002D0D8E"/>
    <w:rPr>
      <w:rFonts w:ascii="Arial" w:hAnsi="Arial" w:cs="Arial"/>
      <w:b/>
      <w:color w:val="000000" w:themeColor="text1"/>
      <w:sz w:val="36"/>
      <w:szCs w:val="32"/>
    </w:rPr>
  </w:style>
  <w:style w:type="character" w:customStyle="1" w:styleId="Heading2Char">
    <w:name w:val="Heading 2 Char"/>
    <w:basedOn w:val="DefaultParagraphFont"/>
    <w:link w:val="Heading2"/>
    <w:uiPriority w:val="9"/>
    <w:rsid w:val="00E47B06"/>
    <w:rPr>
      <w:rFonts w:ascii="Arial" w:hAnsi="Arial" w:cs="Arial"/>
      <w:b/>
      <w:sz w:val="28"/>
    </w:rPr>
  </w:style>
  <w:style w:type="character" w:customStyle="1" w:styleId="Heading3Char">
    <w:name w:val="Heading 3 Char"/>
    <w:basedOn w:val="DefaultParagraphFont"/>
    <w:link w:val="Heading3"/>
    <w:uiPriority w:val="9"/>
    <w:rsid w:val="00E1404B"/>
    <w:rPr>
      <w:rFonts w:ascii="Arial" w:hAnsi="Arial" w:cs="Arial"/>
      <w:b/>
      <w:color w:val="00577D"/>
      <w:sz w:val="24"/>
    </w:rPr>
  </w:style>
  <w:style w:type="paragraph" w:styleId="ListParagraph">
    <w:name w:val="List Paragraph"/>
    <w:aliases w:val="Bullets,Recommendation,List Paragraph1,List Paragraph11,L,#List Paragraph,Bullet Level 1,Bullet Point,Bulletr List Paragraph,Content descriptions,FooterText,List Bullet 1,List Paragraph2,List Paragraph21,Listeafsnit1,リスト段落,列,Bullet point"/>
    <w:basedOn w:val="Normal"/>
    <w:link w:val="ListParagraphChar"/>
    <w:uiPriority w:val="34"/>
    <w:qFormat/>
    <w:rsid w:val="006F1923"/>
    <w:pPr>
      <w:ind w:left="720"/>
      <w:contextualSpacing/>
    </w:pPr>
  </w:style>
  <w:style w:type="paragraph" w:styleId="ListBullet">
    <w:name w:val="List Bullet"/>
    <w:basedOn w:val="ListParagraph"/>
    <w:uiPriority w:val="99"/>
    <w:unhideWhenUsed/>
    <w:rsid w:val="006F1923"/>
    <w:pPr>
      <w:numPr>
        <w:numId w:val="11"/>
      </w:numPr>
      <w:contextualSpacing w:val="0"/>
    </w:pPr>
  </w:style>
  <w:style w:type="paragraph" w:styleId="ListBullet2">
    <w:name w:val="List Bullet 2"/>
    <w:basedOn w:val="ListParagraph"/>
    <w:uiPriority w:val="99"/>
    <w:unhideWhenUsed/>
    <w:rsid w:val="006F1923"/>
    <w:pPr>
      <w:numPr>
        <w:ilvl w:val="1"/>
        <w:numId w:val="11"/>
      </w:numPr>
      <w:ind w:left="851" w:hanging="425"/>
      <w:contextualSpacing w:val="0"/>
    </w:pPr>
  </w:style>
  <w:style w:type="paragraph" w:styleId="ListBullet3">
    <w:name w:val="List Bullet 3"/>
    <w:basedOn w:val="ListParagraph"/>
    <w:uiPriority w:val="99"/>
    <w:unhideWhenUsed/>
    <w:rsid w:val="006F1923"/>
    <w:pPr>
      <w:numPr>
        <w:ilvl w:val="2"/>
        <w:numId w:val="11"/>
      </w:numPr>
      <w:ind w:left="1276" w:hanging="425"/>
      <w:contextualSpacing w:val="0"/>
    </w:pPr>
  </w:style>
  <w:style w:type="paragraph" w:styleId="ListNumber">
    <w:name w:val="List Number"/>
    <w:basedOn w:val="ListParagraph"/>
    <w:uiPriority w:val="99"/>
    <w:unhideWhenUsed/>
    <w:rsid w:val="006F1923"/>
    <w:pPr>
      <w:numPr>
        <w:numId w:val="13"/>
      </w:numPr>
      <w:contextualSpacing w:val="0"/>
    </w:pPr>
  </w:style>
  <w:style w:type="paragraph" w:styleId="ListNumber2">
    <w:name w:val="List Number 2"/>
    <w:basedOn w:val="ListParagraph"/>
    <w:uiPriority w:val="99"/>
    <w:unhideWhenUsed/>
    <w:rsid w:val="006F1923"/>
    <w:pPr>
      <w:numPr>
        <w:ilvl w:val="1"/>
        <w:numId w:val="13"/>
      </w:numPr>
      <w:contextualSpacing w:val="0"/>
    </w:pPr>
  </w:style>
  <w:style w:type="paragraph" w:styleId="ListNumber3">
    <w:name w:val="List Number 3"/>
    <w:basedOn w:val="ListParagraph"/>
    <w:uiPriority w:val="99"/>
    <w:unhideWhenUsed/>
    <w:rsid w:val="006F1923"/>
    <w:pPr>
      <w:numPr>
        <w:ilvl w:val="2"/>
        <w:numId w:val="13"/>
      </w:numPr>
      <w:contextualSpacing w:val="0"/>
    </w:pPr>
  </w:style>
  <w:style w:type="table" w:customStyle="1" w:styleId="TableGrid1">
    <w:name w:val="Table Grid1"/>
    <w:basedOn w:val="TableNormal"/>
    <w:next w:val="TableGrid"/>
    <w:uiPriority w:val="59"/>
    <w:rsid w:val="006F1923"/>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F1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1923"/>
    <w:pPr>
      <w:tabs>
        <w:tab w:val="center" w:pos="4513"/>
        <w:tab w:val="right" w:pos="9026"/>
      </w:tabs>
      <w:spacing w:before="0" w:after="0"/>
    </w:pPr>
  </w:style>
  <w:style w:type="character" w:customStyle="1" w:styleId="HeaderChar">
    <w:name w:val="Header Char"/>
    <w:basedOn w:val="DefaultParagraphFont"/>
    <w:link w:val="Header"/>
    <w:uiPriority w:val="99"/>
    <w:rsid w:val="006F1923"/>
    <w:rPr>
      <w:rFonts w:ascii="Arial" w:hAnsi="Arial" w:cs="Arial"/>
      <w:sz w:val="24"/>
    </w:rPr>
  </w:style>
  <w:style w:type="paragraph" w:styleId="Footer">
    <w:name w:val="footer"/>
    <w:basedOn w:val="Normal"/>
    <w:link w:val="FooterChar"/>
    <w:uiPriority w:val="99"/>
    <w:unhideWhenUsed/>
    <w:rsid w:val="006F1923"/>
    <w:pPr>
      <w:tabs>
        <w:tab w:val="center" w:pos="4513"/>
        <w:tab w:val="right" w:pos="9026"/>
      </w:tabs>
      <w:spacing w:before="0" w:after="0"/>
    </w:pPr>
  </w:style>
  <w:style w:type="character" w:customStyle="1" w:styleId="FooterChar">
    <w:name w:val="Footer Char"/>
    <w:basedOn w:val="DefaultParagraphFont"/>
    <w:link w:val="Footer"/>
    <w:uiPriority w:val="99"/>
    <w:rsid w:val="006F1923"/>
    <w:rPr>
      <w:rFonts w:ascii="Arial" w:hAnsi="Arial" w:cs="Arial"/>
      <w:sz w:val="24"/>
    </w:rPr>
  </w:style>
  <w:style w:type="character" w:styleId="CommentReference">
    <w:name w:val="annotation reference"/>
    <w:basedOn w:val="DefaultParagraphFont"/>
    <w:uiPriority w:val="99"/>
    <w:semiHidden/>
    <w:unhideWhenUsed/>
    <w:rsid w:val="00F4053B"/>
    <w:rPr>
      <w:sz w:val="16"/>
      <w:szCs w:val="16"/>
    </w:rPr>
  </w:style>
  <w:style w:type="paragraph" w:styleId="CommentText">
    <w:name w:val="annotation text"/>
    <w:basedOn w:val="Normal"/>
    <w:link w:val="CommentTextChar"/>
    <w:uiPriority w:val="99"/>
    <w:unhideWhenUsed/>
    <w:rsid w:val="00F4053B"/>
    <w:rPr>
      <w:sz w:val="20"/>
      <w:szCs w:val="20"/>
    </w:rPr>
  </w:style>
  <w:style w:type="character" w:customStyle="1" w:styleId="CommentTextChar">
    <w:name w:val="Comment Text Char"/>
    <w:basedOn w:val="DefaultParagraphFont"/>
    <w:link w:val="CommentText"/>
    <w:uiPriority w:val="99"/>
    <w:rsid w:val="00F4053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4053B"/>
    <w:rPr>
      <w:b/>
      <w:bCs/>
    </w:rPr>
  </w:style>
  <w:style w:type="character" w:customStyle="1" w:styleId="CommentSubjectChar">
    <w:name w:val="Comment Subject Char"/>
    <w:basedOn w:val="CommentTextChar"/>
    <w:link w:val="CommentSubject"/>
    <w:uiPriority w:val="99"/>
    <w:semiHidden/>
    <w:rsid w:val="00F4053B"/>
    <w:rPr>
      <w:rFonts w:ascii="Arial" w:hAnsi="Arial" w:cs="Arial"/>
      <w:b/>
      <w:bCs/>
      <w:sz w:val="20"/>
      <w:szCs w:val="20"/>
    </w:rPr>
  </w:style>
  <w:style w:type="paragraph" w:styleId="BalloonText">
    <w:name w:val="Balloon Text"/>
    <w:basedOn w:val="Normal"/>
    <w:link w:val="BalloonTextChar"/>
    <w:uiPriority w:val="99"/>
    <w:semiHidden/>
    <w:unhideWhenUsed/>
    <w:rsid w:val="00F4053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53B"/>
    <w:rPr>
      <w:rFonts w:ascii="Segoe UI" w:hAnsi="Segoe UI" w:cs="Segoe UI"/>
      <w:sz w:val="18"/>
      <w:szCs w:val="18"/>
    </w:rPr>
  </w:style>
  <w:style w:type="character" w:styleId="Hyperlink">
    <w:name w:val="Hyperlink"/>
    <w:basedOn w:val="DefaultParagraphFont"/>
    <w:uiPriority w:val="99"/>
    <w:unhideWhenUsed/>
    <w:rsid w:val="00F4053B"/>
    <w:rPr>
      <w:color w:val="0563C1" w:themeColor="hyperlink"/>
      <w:u w:val="single"/>
    </w:rPr>
  </w:style>
  <w:style w:type="character" w:customStyle="1" w:styleId="UnresolvedMention1">
    <w:name w:val="Unresolved Mention1"/>
    <w:basedOn w:val="DefaultParagraphFont"/>
    <w:uiPriority w:val="99"/>
    <w:semiHidden/>
    <w:unhideWhenUsed/>
    <w:rsid w:val="00F4053B"/>
    <w:rPr>
      <w:color w:val="605E5C"/>
      <w:shd w:val="clear" w:color="auto" w:fill="E1DFDD"/>
    </w:rPr>
  </w:style>
  <w:style w:type="paragraph" w:styleId="FootnoteText">
    <w:name w:val="footnote text"/>
    <w:basedOn w:val="Normal"/>
    <w:link w:val="FootnoteTextChar"/>
    <w:uiPriority w:val="99"/>
    <w:semiHidden/>
    <w:unhideWhenUsed/>
    <w:rsid w:val="00BD3063"/>
    <w:pPr>
      <w:spacing w:before="0" w:after="0"/>
    </w:pPr>
    <w:rPr>
      <w:sz w:val="20"/>
      <w:szCs w:val="20"/>
    </w:rPr>
  </w:style>
  <w:style w:type="character" w:customStyle="1" w:styleId="FootnoteTextChar">
    <w:name w:val="Footnote Text Char"/>
    <w:basedOn w:val="DefaultParagraphFont"/>
    <w:link w:val="FootnoteText"/>
    <w:uiPriority w:val="99"/>
    <w:semiHidden/>
    <w:rsid w:val="00BD3063"/>
    <w:rPr>
      <w:rFonts w:ascii="Arial" w:hAnsi="Arial" w:cs="Arial"/>
      <w:sz w:val="20"/>
      <w:szCs w:val="20"/>
    </w:rPr>
  </w:style>
  <w:style w:type="character" w:styleId="FootnoteReference">
    <w:name w:val="footnote reference"/>
    <w:basedOn w:val="DefaultParagraphFont"/>
    <w:uiPriority w:val="99"/>
    <w:semiHidden/>
    <w:unhideWhenUsed/>
    <w:rsid w:val="00BD3063"/>
    <w:rPr>
      <w:vertAlign w:val="superscript"/>
    </w:rPr>
  </w:style>
  <w:style w:type="character" w:customStyle="1" w:styleId="ListParagraphChar">
    <w:name w:val="List Paragraph Char"/>
    <w:aliases w:val="Bullets Char,Recommendation Char,List Paragraph1 Char,List Paragraph11 Char,L Char,#List Paragraph Char,Bullet Level 1 Char,Bullet Point Char,Bulletr List Paragraph Char,Content descriptions Char,FooterText Char,List Bullet 1 Char"/>
    <w:basedOn w:val="DefaultParagraphFont"/>
    <w:link w:val="ListParagraph"/>
    <w:uiPriority w:val="34"/>
    <w:rsid w:val="0008183F"/>
    <w:rPr>
      <w:rFonts w:ascii="Arial" w:hAnsi="Arial" w:cs="Arial"/>
      <w:sz w:val="24"/>
    </w:rPr>
  </w:style>
  <w:style w:type="paragraph" w:styleId="NormalWeb">
    <w:name w:val="Normal (Web)"/>
    <w:basedOn w:val="Normal"/>
    <w:uiPriority w:val="99"/>
    <w:unhideWhenUsed/>
    <w:rsid w:val="00066BCF"/>
    <w:pPr>
      <w:spacing w:before="100" w:beforeAutospacing="1" w:after="100" w:afterAutospacing="1"/>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BE6483"/>
  </w:style>
  <w:style w:type="paragraph" w:styleId="NoSpacing">
    <w:name w:val="No Spacing"/>
    <w:uiPriority w:val="1"/>
    <w:qFormat/>
    <w:rsid w:val="00151641"/>
    <w:pPr>
      <w:spacing w:after="0" w:line="240" w:lineRule="auto"/>
    </w:pPr>
    <w:rPr>
      <w:rFonts w:ascii="Arial" w:hAnsi="Arial" w:cs="Arial"/>
      <w:sz w:val="24"/>
    </w:rPr>
  </w:style>
  <w:style w:type="paragraph" w:styleId="Revision">
    <w:name w:val="Revision"/>
    <w:hidden/>
    <w:uiPriority w:val="99"/>
    <w:semiHidden/>
    <w:rsid w:val="00B52F05"/>
    <w:pPr>
      <w:spacing w:after="0" w:line="240" w:lineRule="auto"/>
    </w:pPr>
    <w:rPr>
      <w:rFonts w:ascii="Arial" w:hAnsi="Arial" w:cs="Arial"/>
      <w:sz w:val="24"/>
    </w:rPr>
  </w:style>
  <w:style w:type="character" w:styleId="FollowedHyperlink">
    <w:name w:val="FollowedHyperlink"/>
    <w:basedOn w:val="DefaultParagraphFont"/>
    <w:uiPriority w:val="99"/>
    <w:semiHidden/>
    <w:unhideWhenUsed/>
    <w:rsid w:val="00933BB3"/>
    <w:rPr>
      <w:color w:val="954F72" w:themeColor="followedHyperlink"/>
      <w:u w:val="single"/>
    </w:rPr>
  </w:style>
  <w:style w:type="character" w:styleId="Emphasis">
    <w:name w:val="Emphasis"/>
    <w:basedOn w:val="DefaultParagraphFont"/>
    <w:uiPriority w:val="20"/>
    <w:qFormat/>
    <w:rsid w:val="00E5605E"/>
    <w:rPr>
      <w:i/>
      <w:iCs/>
    </w:rPr>
  </w:style>
  <w:style w:type="paragraph" w:customStyle="1" w:styleId="Tabletextleft">
    <w:name w:val="Table text left"/>
    <w:autoRedefine/>
    <w:qFormat/>
    <w:locked/>
    <w:rsid w:val="001022EC"/>
    <w:pPr>
      <w:spacing w:before="60" w:after="60" w:line="240" w:lineRule="auto"/>
    </w:pPr>
    <w:rPr>
      <w:rFonts w:ascii="Arial" w:eastAsia="Times New Roman" w:hAnsi="Arial" w:cs="Times New Roman"/>
      <w:color w:val="000000" w:themeColor="text1"/>
      <w:sz w:val="21"/>
      <w:szCs w:val="24"/>
    </w:rPr>
  </w:style>
  <w:style w:type="paragraph" w:customStyle="1" w:styleId="TableHeaderWhite">
    <w:name w:val="Table Header White"/>
    <w:basedOn w:val="Normal"/>
    <w:next w:val="Tabletextleft"/>
    <w:qFormat/>
    <w:rsid w:val="001022EC"/>
    <w:pPr>
      <w:spacing w:before="80" w:after="80"/>
    </w:pPr>
    <w:rPr>
      <w:rFonts w:eastAsia="Cambria" w:cs="Times New Roman"/>
      <w:b/>
      <w:color w:val="FFFFFF" w:themeColor="background1"/>
      <w:sz w:val="22"/>
      <w:lang w:val="en-US"/>
    </w:rPr>
  </w:style>
  <w:style w:type="paragraph" w:customStyle="1" w:styleId="TableHeader">
    <w:name w:val="Table Header"/>
    <w:basedOn w:val="Normal"/>
    <w:next w:val="Tabletextleft"/>
    <w:qFormat/>
    <w:rsid w:val="001022EC"/>
    <w:pPr>
      <w:spacing w:before="80" w:after="80"/>
    </w:pPr>
    <w:rPr>
      <w:rFonts w:eastAsia="Cambria" w:cs="Times New Roman"/>
      <w:b/>
      <w:color w:val="FFFFFF" w:themeColor="background1"/>
      <w:sz w:val="22"/>
      <w:lang w:val="en-US"/>
    </w:rPr>
  </w:style>
  <w:style w:type="table" w:customStyle="1" w:styleId="DepartmentofHealthtable">
    <w:name w:val="Department of Health table"/>
    <w:basedOn w:val="TableNormal"/>
    <w:uiPriority w:val="99"/>
    <w:rsid w:val="001022EC"/>
    <w:pPr>
      <w:spacing w:after="0" w:line="240" w:lineRule="auto"/>
    </w:pPr>
    <w:rPr>
      <w:rFonts w:ascii="Arial" w:eastAsia="Times New Roman" w:hAnsi="Arial" w:cs="Times New Roman"/>
      <w:color w:val="000000" w:themeColor="text1"/>
      <w:sz w:val="21"/>
      <w:szCs w:val="20"/>
      <w:lang w:eastAsia="en-AU"/>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extright">
    <w:name w:val="Table text right"/>
    <w:basedOn w:val="Tabletextleft"/>
    <w:rsid w:val="001022EC"/>
    <w:pPr>
      <w:jc w:val="right"/>
    </w:pPr>
  </w:style>
  <w:style w:type="paragraph" w:customStyle="1" w:styleId="Tabletextcentre">
    <w:name w:val="Table text centre"/>
    <w:basedOn w:val="Tabletextleft"/>
    <w:rsid w:val="001022EC"/>
    <w:pPr>
      <w:jc w:val="center"/>
    </w:pPr>
  </w:style>
  <w:style w:type="character" w:styleId="IntenseEmphasis">
    <w:name w:val="Intense Emphasis"/>
    <w:basedOn w:val="DefaultParagraphFont"/>
    <w:uiPriority w:val="21"/>
    <w:qFormat/>
    <w:rsid w:val="00A77242"/>
    <w:rPr>
      <w:i/>
      <w:iCs/>
      <w:color w:val="4472C4" w:themeColor="accent1"/>
    </w:rPr>
  </w:style>
  <w:style w:type="character" w:styleId="UnresolvedMention">
    <w:name w:val="Unresolved Mention"/>
    <w:basedOn w:val="DefaultParagraphFont"/>
    <w:uiPriority w:val="99"/>
    <w:unhideWhenUsed/>
    <w:rsid w:val="002D2062"/>
    <w:rPr>
      <w:color w:val="605E5C"/>
      <w:shd w:val="clear" w:color="auto" w:fill="E1DFDD"/>
    </w:rPr>
  </w:style>
  <w:style w:type="character" w:customStyle="1" w:styleId="chardivtext">
    <w:name w:val="chardivtext"/>
    <w:basedOn w:val="DefaultParagraphFont"/>
    <w:rsid w:val="0075134D"/>
  </w:style>
  <w:style w:type="character" w:customStyle="1" w:styleId="charparttext">
    <w:name w:val="charparttext"/>
    <w:basedOn w:val="DefaultParagraphFont"/>
    <w:rsid w:val="00933A77"/>
  </w:style>
  <w:style w:type="table" w:customStyle="1" w:styleId="TableGrid2">
    <w:name w:val="Table Grid2"/>
    <w:basedOn w:val="TableNormal"/>
    <w:next w:val="TableGrid"/>
    <w:uiPriority w:val="59"/>
    <w:rsid w:val="00E1595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536A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50F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7546">
      <w:bodyDiv w:val="1"/>
      <w:marLeft w:val="0"/>
      <w:marRight w:val="0"/>
      <w:marTop w:val="0"/>
      <w:marBottom w:val="0"/>
      <w:divBdr>
        <w:top w:val="none" w:sz="0" w:space="0" w:color="auto"/>
        <w:left w:val="none" w:sz="0" w:space="0" w:color="auto"/>
        <w:bottom w:val="none" w:sz="0" w:space="0" w:color="auto"/>
        <w:right w:val="none" w:sz="0" w:space="0" w:color="auto"/>
      </w:divBdr>
    </w:div>
    <w:div w:id="143741578">
      <w:bodyDiv w:val="1"/>
      <w:marLeft w:val="0"/>
      <w:marRight w:val="0"/>
      <w:marTop w:val="0"/>
      <w:marBottom w:val="0"/>
      <w:divBdr>
        <w:top w:val="none" w:sz="0" w:space="0" w:color="auto"/>
        <w:left w:val="none" w:sz="0" w:space="0" w:color="auto"/>
        <w:bottom w:val="none" w:sz="0" w:space="0" w:color="auto"/>
        <w:right w:val="none" w:sz="0" w:space="0" w:color="auto"/>
      </w:divBdr>
    </w:div>
    <w:div w:id="191844307">
      <w:bodyDiv w:val="1"/>
      <w:marLeft w:val="0"/>
      <w:marRight w:val="0"/>
      <w:marTop w:val="0"/>
      <w:marBottom w:val="0"/>
      <w:divBdr>
        <w:top w:val="none" w:sz="0" w:space="0" w:color="auto"/>
        <w:left w:val="none" w:sz="0" w:space="0" w:color="auto"/>
        <w:bottom w:val="none" w:sz="0" w:space="0" w:color="auto"/>
        <w:right w:val="none" w:sz="0" w:space="0" w:color="auto"/>
      </w:divBdr>
    </w:div>
    <w:div w:id="260072155">
      <w:bodyDiv w:val="1"/>
      <w:marLeft w:val="0"/>
      <w:marRight w:val="0"/>
      <w:marTop w:val="0"/>
      <w:marBottom w:val="0"/>
      <w:divBdr>
        <w:top w:val="none" w:sz="0" w:space="0" w:color="auto"/>
        <w:left w:val="none" w:sz="0" w:space="0" w:color="auto"/>
        <w:bottom w:val="none" w:sz="0" w:space="0" w:color="auto"/>
        <w:right w:val="none" w:sz="0" w:space="0" w:color="auto"/>
      </w:divBdr>
    </w:div>
    <w:div w:id="287973326">
      <w:bodyDiv w:val="1"/>
      <w:marLeft w:val="0"/>
      <w:marRight w:val="0"/>
      <w:marTop w:val="0"/>
      <w:marBottom w:val="0"/>
      <w:divBdr>
        <w:top w:val="none" w:sz="0" w:space="0" w:color="auto"/>
        <w:left w:val="none" w:sz="0" w:space="0" w:color="auto"/>
        <w:bottom w:val="none" w:sz="0" w:space="0" w:color="auto"/>
        <w:right w:val="none" w:sz="0" w:space="0" w:color="auto"/>
      </w:divBdr>
    </w:div>
    <w:div w:id="288362192">
      <w:bodyDiv w:val="1"/>
      <w:marLeft w:val="0"/>
      <w:marRight w:val="0"/>
      <w:marTop w:val="0"/>
      <w:marBottom w:val="0"/>
      <w:divBdr>
        <w:top w:val="none" w:sz="0" w:space="0" w:color="auto"/>
        <w:left w:val="none" w:sz="0" w:space="0" w:color="auto"/>
        <w:bottom w:val="none" w:sz="0" w:space="0" w:color="auto"/>
        <w:right w:val="none" w:sz="0" w:space="0" w:color="auto"/>
      </w:divBdr>
    </w:div>
    <w:div w:id="443042922">
      <w:bodyDiv w:val="1"/>
      <w:marLeft w:val="0"/>
      <w:marRight w:val="0"/>
      <w:marTop w:val="0"/>
      <w:marBottom w:val="0"/>
      <w:divBdr>
        <w:top w:val="none" w:sz="0" w:space="0" w:color="auto"/>
        <w:left w:val="none" w:sz="0" w:space="0" w:color="auto"/>
        <w:bottom w:val="none" w:sz="0" w:space="0" w:color="auto"/>
        <w:right w:val="none" w:sz="0" w:space="0" w:color="auto"/>
      </w:divBdr>
      <w:divsChild>
        <w:div w:id="1827353024">
          <w:marLeft w:val="0"/>
          <w:marRight w:val="0"/>
          <w:marTop w:val="0"/>
          <w:marBottom w:val="0"/>
          <w:divBdr>
            <w:top w:val="none" w:sz="0" w:space="0" w:color="auto"/>
            <w:left w:val="none" w:sz="0" w:space="0" w:color="auto"/>
            <w:bottom w:val="none" w:sz="0" w:space="0" w:color="auto"/>
            <w:right w:val="none" w:sz="0" w:space="0" w:color="auto"/>
          </w:divBdr>
        </w:div>
      </w:divsChild>
    </w:div>
    <w:div w:id="561985487">
      <w:bodyDiv w:val="1"/>
      <w:marLeft w:val="0"/>
      <w:marRight w:val="0"/>
      <w:marTop w:val="0"/>
      <w:marBottom w:val="0"/>
      <w:divBdr>
        <w:top w:val="none" w:sz="0" w:space="0" w:color="auto"/>
        <w:left w:val="none" w:sz="0" w:space="0" w:color="auto"/>
        <w:bottom w:val="none" w:sz="0" w:space="0" w:color="auto"/>
        <w:right w:val="none" w:sz="0" w:space="0" w:color="auto"/>
      </w:divBdr>
    </w:div>
    <w:div w:id="583221457">
      <w:bodyDiv w:val="1"/>
      <w:marLeft w:val="0"/>
      <w:marRight w:val="0"/>
      <w:marTop w:val="0"/>
      <w:marBottom w:val="0"/>
      <w:divBdr>
        <w:top w:val="none" w:sz="0" w:space="0" w:color="auto"/>
        <w:left w:val="none" w:sz="0" w:space="0" w:color="auto"/>
        <w:bottom w:val="none" w:sz="0" w:space="0" w:color="auto"/>
        <w:right w:val="none" w:sz="0" w:space="0" w:color="auto"/>
      </w:divBdr>
    </w:div>
    <w:div w:id="627976397">
      <w:bodyDiv w:val="1"/>
      <w:marLeft w:val="0"/>
      <w:marRight w:val="0"/>
      <w:marTop w:val="0"/>
      <w:marBottom w:val="0"/>
      <w:divBdr>
        <w:top w:val="none" w:sz="0" w:space="0" w:color="auto"/>
        <w:left w:val="none" w:sz="0" w:space="0" w:color="auto"/>
        <w:bottom w:val="none" w:sz="0" w:space="0" w:color="auto"/>
        <w:right w:val="none" w:sz="0" w:space="0" w:color="auto"/>
      </w:divBdr>
    </w:div>
    <w:div w:id="690839430">
      <w:bodyDiv w:val="1"/>
      <w:marLeft w:val="0"/>
      <w:marRight w:val="0"/>
      <w:marTop w:val="0"/>
      <w:marBottom w:val="0"/>
      <w:divBdr>
        <w:top w:val="none" w:sz="0" w:space="0" w:color="auto"/>
        <w:left w:val="none" w:sz="0" w:space="0" w:color="auto"/>
        <w:bottom w:val="none" w:sz="0" w:space="0" w:color="auto"/>
        <w:right w:val="none" w:sz="0" w:space="0" w:color="auto"/>
      </w:divBdr>
    </w:div>
    <w:div w:id="748649863">
      <w:bodyDiv w:val="1"/>
      <w:marLeft w:val="0"/>
      <w:marRight w:val="0"/>
      <w:marTop w:val="0"/>
      <w:marBottom w:val="0"/>
      <w:divBdr>
        <w:top w:val="none" w:sz="0" w:space="0" w:color="auto"/>
        <w:left w:val="none" w:sz="0" w:space="0" w:color="auto"/>
        <w:bottom w:val="none" w:sz="0" w:space="0" w:color="auto"/>
        <w:right w:val="none" w:sz="0" w:space="0" w:color="auto"/>
      </w:divBdr>
      <w:divsChild>
        <w:div w:id="877082642">
          <w:marLeft w:val="0"/>
          <w:marRight w:val="0"/>
          <w:marTop w:val="0"/>
          <w:marBottom w:val="0"/>
          <w:divBdr>
            <w:top w:val="none" w:sz="0" w:space="0" w:color="auto"/>
            <w:left w:val="none" w:sz="0" w:space="0" w:color="auto"/>
            <w:bottom w:val="none" w:sz="0" w:space="0" w:color="auto"/>
            <w:right w:val="none" w:sz="0" w:space="0" w:color="auto"/>
          </w:divBdr>
        </w:div>
      </w:divsChild>
    </w:div>
    <w:div w:id="902444908">
      <w:bodyDiv w:val="1"/>
      <w:marLeft w:val="0"/>
      <w:marRight w:val="0"/>
      <w:marTop w:val="0"/>
      <w:marBottom w:val="0"/>
      <w:divBdr>
        <w:top w:val="none" w:sz="0" w:space="0" w:color="auto"/>
        <w:left w:val="none" w:sz="0" w:space="0" w:color="auto"/>
        <w:bottom w:val="none" w:sz="0" w:space="0" w:color="auto"/>
        <w:right w:val="none" w:sz="0" w:space="0" w:color="auto"/>
      </w:divBdr>
    </w:div>
    <w:div w:id="931815703">
      <w:bodyDiv w:val="1"/>
      <w:marLeft w:val="0"/>
      <w:marRight w:val="0"/>
      <w:marTop w:val="0"/>
      <w:marBottom w:val="0"/>
      <w:divBdr>
        <w:top w:val="none" w:sz="0" w:space="0" w:color="auto"/>
        <w:left w:val="none" w:sz="0" w:space="0" w:color="auto"/>
        <w:bottom w:val="none" w:sz="0" w:space="0" w:color="auto"/>
        <w:right w:val="none" w:sz="0" w:space="0" w:color="auto"/>
      </w:divBdr>
    </w:div>
    <w:div w:id="936717674">
      <w:bodyDiv w:val="1"/>
      <w:marLeft w:val="0"/>
      <w:marRight w:val="0"/>
      <w:marTop w:val="0"/>
      <w:marBottom w:val="0"/>
      <w:divBdr>
        <w:top w:val="none" w:sz="0" w:space="0" w:color="auto"/>
        <w:left w:val="none" w:sz="0" w:space="0" w:color="auto"/>
        <w:bottom w:val="none" w:sz="0" w:space="0" w:color="auto"/>
        <w:right w:val="none" w:sz="0" w:space="0" w:color="auto"/>
      </w:divBdr>
      <w:divsChild>
        <w:div w:id="1235161461">
          <w:marLeft w:val="0"/>
          <w:marRight w:val="0"/>
          <w:marTop w:val="0"/>
          <w:marBottom w:val="0"/>
          <w:divBdr>
            <w:top w:val="none" w:sz="0" w:space="0" w:color="auto"/>
            <w:left w:val="none" w:sz="0" w:space="0" w:color="auto"/>
            <w:bottom w:val="none" w:sz="0" w:space="0" w:color="auto"/>
            <w:right w:val="none" w:sz="0" w:space="0" w:color="auto"/>
          </w:divBdr>
        </w:div>
      </w:divsChild>
    </w:div>
    <w:div w:id="972444724">
      <w:bodyDiv w:val="1"/>
      <w:marLeft w:val="0"/>
      <w:marRight w:val="0"/>
      <w:marTop w:val="0"/>
      <w:marBottom w:val="0"/>
      <w:divBdr>
        <w:top w:val="none" w:sz="0" w:space="0" w:color="auto"/>
        <w:left w:val="none" w:sz="0" w:space="0" w:color="auto"/>
        <w:bottom w:val="none" w:sz="0" w:space="0" w:color="auto"/>
        <w:right w:val="none" w:sz="0" w:space="0" w:color="auto"/>
      </w:divBdr>
      <w:divsChild>
        <w:div w:id="1317226085">
          <w:marLeft w:val="0"/>
          <w:marRight w:val="0"/>
          <w:marTop w:val="0"/>
          <w:marBottom w:val="0"/>
          <w:divBdr>
            <w:top w:val="none" w:sz="0" w:space="0" w:color="auto"/>
            <w:left w:val="none" w:sz="0" w:space="0" w:color="auto"/>
            <w:bottom w:val="none" w:sz="0" w:space="0" w:color="auto"/>
            <w:right w:val="none" w:sz="0" w:space="0" w:color="auto"/>
          </w:divBdr>
        </w:div>
      </w:divsChild>
    </w:div>
    <w:div w:id="1170681128">
      <w:bodyDiv w:val="1"/>
      <w:marLeft w:val="0"/>
      <w:marRight w:val="0"/>
      <w:marTop w:val="0"/>
      <w:marBottom w:val="0"/>
      <w:divBdr>
        <w:top w:val="none" w:sz="0" w:space="0" w:color="auto"/>
        <w:left w:val="none" w:sz="0" w:space="0" w:color="auto"/>
        <w:bottom w:val="none" w:sz="0" w:space="0" w:color="auto"/>
        <w:right w:val="none" w:sz="0" w:space="0" w:color="auto"/>
      </w:divBdr>
      <w:divsChild>
        <w:div w:id="1885632876">
          <w:marLeft w:val="0"/>
          <w:marRight w:val="0"/>
          <w:marTop w:val="0"/>
          <w:marBottom w:val="0"/>
          <w:divBdr>
            <w:top w:val="none" w:sz="0" w:space="0" w:color="auto"/>
            <w:left w:val="none" w:sz="0" w:space="0" w:color="auto"/>
            <w:bottom w:val="none" w:sz="0" w:space="0" w:color="auto"/>
            <w:right w:val="none" w:sz="0" w:space="0" w:color="auto"/>
          </w:divBdr>
        </w:div>
      </w:divsChild>
    </w:div>
    <w:div w:id="1224678672">
      <w:bodyDiv w:val="1"/>
      <w:marLeft w:val="0"/>
      <w:marRight w:val="0"/>
      <w:marTop w:val="0"/>
      <w:marBottom w:val="0"/>
      <w:divBdr>
        <w:top w:val="none" w:sz="0" w:space="0" w:color="auto"/>
        <w:left w:val="none" w:sz="0" w:space="0" w:color="auto"/>
        <w:bottom w:val="none" w:sz="0" w:space="0" w:color="auto"/>
        <w:right w:val="none" w:sz="0" w:space="0" w:color="auto"/>
      </w:divBdr>
    </w:div>
    <w:div w:id="1248535616">
      <w:bodyDiv w:val="1"/>
      <w:marLeft w:val="0"/>
      <w:marRight w:val="0"/>
      <w:marTop w:val="0"/>
      <w:marBottom w:val="0"/>
      <w:divBdr>
        <w:top w:val="none" w:sz="0" w:space="0" w:color="auto"/>
        <w:left w:val="none" w:sz="0" w:space="0" w:color="auto"/>
        <w:bottom w:val="none" w:sz="0" w:space="0" w:color="auto"/>
        <w:right w:val="none" w:sz="0" w:space="0" w:color="auto"/>
      </w:divBdr>
    </w:div>
    <w:div w:id="1271627529">
      <w:bodyDiv w:val="1"/>
      <w:marLeft w:val="0"/>
      <w:marRight w:val="0"/>
      <w:marTop w:val="0"/>
      <w:marBottom w:val="0"/>
      <w:divBdr>
        <w:top w:val="none" w:sz="0" w:space="0" w:color="auto"/>
        <w:left w:val="none" w:sz="0" w:space="0" w:color="auto"/>
        <w:bottom w:val="none" w:sz="0" w:space="0" w:color="auto"/>
        <w:right w:val="none" w:sz="0" w:space="0" w:color="auto"/>
      </w:divBdr>
    </w:div>
    <w:div w:id="1330478527">
      <w:bodyDiv w:val="1"/>
      <w:marLeft w:val="0"/>
      <w:marRight w:val="0"/>
      <w:marTop w:val="0"/>
      <w:marBottom w:val="0"/>
      <w:divBdr>
        <w:top w:val="none" w:sz="0" w:space="0" w:color="auto"/>
        <w:left w:val="none" w:sz="0" w:space="0" w:color="auto"/>
        <w:bottom w:val="none" w:sz="0" w:space="0" w:color="auto"/>
        <w:right w:val="none" w:sz="0" w:space="0" w:color="auto"/>
      </w:divBdr>
    </w:div>
    <w:div w:id="1475678319">
      <w:bodyDiv w:val="1"/>
      <w:marLeft w:val="0"/>
      <w:marRight w:val="0"/>
      <w:marTop w:val="0"/>
      <w:marBottom w:val="0"/>
      <w:divBdr>
        <w:top w:val="none" w:sz="0" w:space="0" w:color="auto"/>
        <w:left w:val="none" w:sz="0" w:space="0" w:color="auto"/>
        <w:bottom w:val="none" w:sz="0" w:space="0" w:color="auto"/>
        <w:right w:val="none" w:sz="0" w:space="0" w:color="auto"/>
      </w:divBdr>
    </w:div>
    <w:div w:id="1527132336">
      <w:bodyDiv w:val="1"/>
      <w:marLeft w:val="0"/>
      <w:marRight w:val="0"/>
      <w:marTop w:val="0"/>
      <w:marBottom w:val="0"/>
      <w:divBdr>
        <w:top w:val="none" w:sz="0" w:space="0" w:color="auto"/>
        <w:left w:val="none" w:sz="0" w:space="0" w:color="auto"/>
        <w:bottom w:val="none" w:sz="0" w:space="0" w:color="auto"/>
        <w:right w:val="none" w:sz="0" w:space="0" w:color="auto"/>
      </w:divBdr>
    </w:div>
    <w:div w:id="1527790685">
      <w:bodyDiv w:val="1"/>
      <w:marLeft w:val="0"/>
      <w:marRight w:val="0"/>
      <w:marTop w:val="0"/>
      <w:marBottom w:val="0"/>
      <w:divBdr>
        <w:top w:val="none" w:sz="0" w:space="0" w:color="auto"/>
        <w:left w:val="none" w:sz="0" w:space="0" w:color="auto"/>
        <w:bottom w:val="none" w:sz="0" w:space="0" w:color="auto"/>
        <w:right w:val="none" w:sz="0" w:space="0" w:color="auto"/>
      </w:divBdr>
    </w:div>
    <w:div w:id="1585842449">
      <w:bodyDiv w:val="1"/>
      <w:marLeft w:val="0"/>
      <w:marRight w:val="0"/>
      <w:marTop w:val="0"/>
      <w:marBottom w:val="0"/>
      <w:divBdr>
        <w:top w:val="none" w:sz="0" w:space="0" w:color="auto"/>
        <w:left w:val="none" w:sz="0" w:space="0" w:color="auto"/>
        <w:bottom w:val="none" w:sz="0" w:space="0" w:color="auto"/>
        <w:right w:val="none" w:sz="0" w:space="0" w:color="auto"/>
      </w:divBdr>
    </w:div>
    <w:div w:id="1741707313">
      <w:bodyDiv w:val="1"/>
      <w:marLeft w:val="0"/>
      <w:marRight w:val="0"/>
      <w:marTop w:val="0"/>
      <w:marBottom w:val="0"/>
      <w:divBdr>
        <w:top w:val="none" w:sz="0" w:space="0" w:color="auto"/>
        <w:left w:val="none" w:sz="0" w:space="0" w:color="auto"/>
        <w:bottom w:val="none" w:sz="0" w:space="0" w:color="auto"/>
        <w:right w:val="none" w:sz="0" w:space="0" w:color="auto"/>
      </w:divBdr>
    </w:div>
    <w:div w:id="1770543164">
      <w:bodyDiv w:val="1"/>
      <w:marLeft w:val="0"/>
      <w:marRight w:val="0"/>
      <w:marTop w:val="0"/>
      <w:marBottom w:val="0"/>
      <w:divBdr>
        <w:top w:val="none" w:sz="0" w:space="0" w:color="auto"/>
        <w:left w:val="none" w:sz="0" w:space="0" w:color="auto"/>
        <w:bottom w:val="none" w:sz="0" w:space="0" w:color="auto"/>
        <w:right w:val="none" w:sz="0" w:space="0" w:color="auto"/>
      </w:divBdr>
    </w:div>
    <w:div w:id="1797019411">
      <w:bodyDiv w:val="1"/>
      <w:marLeft w:val="0"/>
      <w:marRight w:val="0"/>
      <w:marTop w:val="0"/>
      <w:marBottom w:val="0"/>
      <w:divBdr>
        <w:top w:val="none" w:sz="0" w:space="0" w:color="auto"/>
        <w:left w:val="none" w:sz="0" w:space="0" w:color="auto"/>
        <w:bottom w:val="none" w:sz="0" w:space="0" w:color="auto"/>
        <w:right w:val="none" w:sz="0" w:space="0" w:color="auto"/>
      </w:divBdr>
      <w:divsChild>
        <w:div w:id="1348483179">
          <w:marLeft w:val="0"/>
          <w:marRight w:val="0"/>
          <w:marTop w:val="0"/>
          <w:marBottom w:val="0"/>
          <w:divBdr>
            <w:top w:val="none" w:sz="0" w:space="0" w:color="auto"/>
            <w:left w:val="none" w:sz="0" w:space="0" w:color="auto"/>
            <w:bottom w:val="none" w:sz="0" w:space="0" w:color="auto"/>
            <w:right w:val="none" w:sz="0" w:space="0" w:color="auto"/>
          </w:divBdr>
        </w:div>
      </w:divsChild>
    </w:div>
    <w:div w:id="1837838881">
      <w:bodyDiv w:val="1"/>
      <w:marLeft w:val="0"/>
      <w:marRight w:val="0"/>
      <w:marTop w:val="0"/>
      <w:marBottom w:val="0"/>
      <w:divBdr>
        <w:top w:val="none" w:sz="0" w:space="0" w:color="auto"/>
        <w:left w:val="none" w:sz="0" w:space="0" w:color="auto"/>
        <w:bottom w:val="none" w:sz="0" w:space="0" w:color="auto"/>
        <w:right w:val="none" w:sz="0" w:space="0" w:color="auto"/>
      </w:divBdr>
    </w:div>
    <w:div w:id="1999189396">
      <w:bodyDiv w:val="1"/>
      <w:marLeft w:val="0"/>
      <w:marRight w:val="0"/>
      <w:marTop w:val="0"/>
      <w:marBottom w:val="0"/>
      <w:divBdr>
        <w:top w:val="none" w:sz="0" w:space="0" w:color="auto"/>
        <w:left w:val="none" w:sz="0" w:space="0" w:color="auto"/>
        <w:bottom w:val="none" w:sz="0" w:space="0" w:color="auto"/>
        <w:right w:val="none" w:sz="0" w:space="0" w:color="auto"/>
      </w:divBdr>
    </w:div>
    <w:div w:id="2022513187">
      <w:bodyDiv w:val="1"/>
      <w:marLeft w:val="0"/>
      <w:marRight w:val="0"/>
      <w:marTop w:val="0"/>
      <w:marBottom w:val="0"/>
      <w:divBdr>
        <w:top w:val="none" w:sz="0" w:space="0" w:color="auto"/>
        <w:left w:val="none" w:sz="0" w:space="0" w:color="auto"/>
        <w:bottom w:val="none" w:sz="0" w:space="0" w:color="auto"/>
        <w:right w:val="none" w:sz="0" w:space="0" w:color="auto"/>
      </w:divBdr>
    </w:div>
    <w:div w:id="2033338719">
      <w:bodyDiv w:val="1"/>
      <w:marLeft w:val="0"/>
      <w:marRight w:val="0"/>
      <w:marTop w:val="0"/>
      <w:marBottom w:val="0"/>
      <w:divBdr>
        <w:top w:val="none" w:sz="0" w:space="0" w:color="auto"/>
        <w:left w:val="none" w:sz="0" w:space="0" w:color="auto"/>
        <w:bottom w:val="none" w:sz="0" w:space="0" w:color="auto"/>
        <w:right w:val="none" w:sz="0" w:space="0" w:color="auto"/>
      </w:divBdr>
    </w:div>
    <w:div w:id="2077896679">
      <w:bodyDiv w:val="1"/>
      <w:marLeft w:val="0"/>
      <w:marRight w:val="0"/>
      <w:marTop w:val="0"/>
      <w:marBottom w:val="0"/>
      <w:divBdr>
        <w:top w:val="none" w:sz="0" w:space="0" w:color="auto"/>
        <w:left w:val="none" w:sz="0" w:space="0" w:color="auto"/>
        <w:bottom w:val="none" w:sz="0" w:space="0" w:color="auto"/>
        <w:right w:val="none" w:sz="0" w:space="0" w:color="auto"/>
      </w:divBdr>
    </w:div>
    <w:div w:id="21284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gedcarequality.gov.au/resources/regulatory-bulletin-2020-3.0" TargetMode="External"/><Relationship Id="rId18" Type="http://schemas.openxmlformats.org/officeDocument/2006/relationships/hyperlink" Target="https://www.agedcarequality.gov.au/aged-care-performance/banning-orders-registe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nfo@agedcarequality.gov.au" TargetMode="External"/><Relationship Id="rId7" Type="http://schemas.openxmlformats.org/officeDocument/2006/relationships/endnotes" Target="endnotes.xml"/><Relationship Id="rId12" Type="http://schemas.openxmlformats.org/officeDocument/2006/relationships/hyperlink" Target="https://www.agedcarequality.gov.au/resources/aged-care-quality-and-safety-commission-glossary" TargetMode="External"/><Relationship Id="rId17" Type="http://schemas.openxmlformats.org/officeDocument/2006/relationships/hyperlink" Target="https://www.myagedcare.gov.a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gedcarequality.gov.au/aged-care-performance/banning-orders-register" TargetMode="External"/><Relationship Id="rId20" Type="http://schemas.openxmlformats.org/officeDocument/2006/relationships/hyperlink" Target="https://www.agedcarequality.gov.au/resources/rb-2020-11-publication-provider-performance-inform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Series/F2018L01837"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gedcarequality.gov.au/aged-care-performance/non-compliance-register" TargetMode="External"/><Relationship Id="rId23" Type="http://schemas.openxmlformats.org/officeDocument/2006/relationships/header" Target="header1.xml"/><Relationship Id="rId10" Type="http://schemas.openxmlformats.org/officeDocument/2006/relationships/hyperlink" Target="https://www.legislation.gov.au/Series/C2018A00149" TargetMode="External"/><Relationship Id="rId19" Type="http://schemas.openxmlformats.org/officeDocument/2006/relationships/hyperlink" Target="https://www.legislation.gov.au/Series/C2004A03712" TargetMode="External"/><Relationship Id="rId4" Type="http://schemas.openxmlformats.org/officeDocument/2006/relationships/settings" Target="settings.xml"/><Relationship Id="rId9" Type="http://schemas.openxmlformats.org/officeDocument/2006/relationships/hyperlink" Target="https://www.legislation.gov.au/Series/C2004A05206" TargetMode="External"/><Relationship Id="rId14" Type="http://schemas.openxmlformats.org/officeDocument/2006/relationships/hyperlink" Target="https://www.agedcarequality.gov.au/contact-us/complaints-about-us" TargetMode="External"/><Relationship Id="rId22" Type="http://schemas.openxmlformats.org/officeDocument/2006/relationships/hyperlink" Target="https://www.agedcarequality.gov.au/subscrib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agedcarequality.gov.au/resources/rb-2023-18-publication-provider-performance-information" TargetMode="External"/><Relationship Id="rId3" Type="http://schemas.openxmlformats.org/officeDocument/2006/relationships/hyperlink" Target="https://www.legislation.gov.au/Series/F2018L01837" TargetMode="External"/><Relationship Id="rId7" Type="http://schemas.openxmlformats.org/officeDocument/2006/relationships/hyperlink" Target="https://www.agedcarequality.gov.au/aged-care-performance/banning-orders-register" TargetMode="External"/><Relationship Id="rId2" Type="http://schemas.openxmlformats.org/officeDocument/2006/relationships/hyperlink" Target="https://www.legislation.gov.au/Series/C2018A00149" TargetMode="External"/><Relationship Id="rId1" Type="http://schemas.openxmlformats.org/officeDocument/2006/relationships/hyperlink" Target="https://www.legislation.gov.au/Series/C2004A05206" TargetMode="External"/><Relationship Id="rId6" Type="http://schemas.openxmlformats.org/officeDocument/2006/relationships/hyperlink" Target="https://www.agedcarequality.gov.au/aged-care-performance/non-compliance-register" TargetMode="External"/><Relationship Id="rId5" Type="http://schemas.openxmlformats.org/officeDocument/2006/relationships/hyperlink" Target="https://www.agedcarequality.gov.au/resources/regulatory-bulletin-2020-3.0" TargetMode="External"/><Relationship Id="rId4" Type="http://schemas.openxmlformats.org/officeDocument/2006/relationships/hyperlink" Target="https://www.agedcarequality.gov.au/resources/aged-care-quality-and-safety-commission-glossary" TargetMode="External"/><Relationship Id="rId9" Type="http://schemas.openxmlformats.org/officeDocument/2006/relationships/hyperlink" Target="https://www.agedcarequality.gov.au/subscri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AD7C8-B081-4494-94C3-56A11F712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2855</Words>
  <Characters>16278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19095</CharactersWithSpaces>
  <SharedDoc>false</SharedDoc>
  <HLinks>
    <vt:vector size="132" baseType="variant">
      <vt:variant>
        <vt:i4>4587548</vt:i4>
      </vt:variant>
      <vt:variant>
        <vt:i4>39</vt:i4>
      </vt:variant>
      <vt:variant>
        <vt:i4>0</vt:i4>
      </vt:variant>
      <vt:variant>
        <vt:i4>5</vt:i4>
      </vt:variant>
      <vt:variant>
        <vt:lpwstr>https://www.agedcarequality.gov.au/subscribe</vt:lpwstr>
      </vt:variant>
      <vt:variant>
        <vt:lpwstr/>
      </vt:variant>
      <vt:variant>
        <vt:i4>6094894</vt:i4>
      </vt:variant>
      <vt:variant>
        <vt:i4>30</vt:i4>
      </vt:variant>
      <vt:variant>
        <vt:i4>0</vt:i4>
      </vt:variant>
      <vt:variant>
        <vt:i4>5</vt:i4>
      </vt:variant>
      <vt:variant>
        <vt:lpwstr>mailto:info@agedcarequality.gov.au</vt:lpwstr>
      </vt:variant>
      <vt:variant>
        <vt:lpwstr/>
      </vt:variant>
      <vt:variant>
        <vt:i4>5308492</vt:i4>
      </vt:variant>
      <vt:variant>
        <vt:i4>27</vt:i4>
      </vt:variant>
      <vt:variant>
        <vt:i4>0</vt:i4>
      </vt:variant>
      <vt:variant>
        <vt:i4>5</vt:i4>
      </vt:variant>
      <vt:variant>
        <vt:lpwstr>https://www.agedcarequality.gov.au/resources/rb-2020-11-publication-provider-performance-information</vt:lpwstr>
      </vt:variant>
      <vt:variant>
        <vt:lpwstr/>
      </vt:variant>
      <vt:variant>
        <vt:i4>6881314</vt:i4>
      </vt:variant>
      <vt:variant>
        <vt:i4>24</vt:i4>
      </vt:variant>
      <vt:variant>
        <vt:i4>0</vt:i4>
      </vt:variant>
      <vt:variant>
        <vt:i4>5</vt:i4>
      </vt:variant>
      <vt:variant>
        <vt:lpwstr>https://www.myagedcare.gov.au/</vt:lpwstr>
      </vt:variant>
      <vt:variant>
        <vt:lpwstr/>
      </vt:variant>
      <vt:variant>
        <vt:i4>4325442</vt:i4>
      </vt:variant>
      <vt:variant>
        <vt:i4>21</vt:i4>
      </vt:variant>
      <vt:variant>
        <vt:i4>0</vt:i4>
      </vt:variant>
      <vt:variant>
        <vt:i4>5</vt:i4>
      </vt:variant>
      <vt:variant>
        <vt:lpwstr>https://www.agedcarequality.gov.au/aged-care-performance/banning-orders-register</vt:lpwstr>
      </vt:variant>
      <vt:variant>
        <vt:lpwstr/>
      </vt:variant>
      <vt:variant>
        <vt:i4>5832789</vt:i4>
      </vt:variant>
      <vt:variant>
        <vt:i4>18</vt:i4>
      </vt:variant>
      <vt:variant>
        <vt:i4>0</vt:i4>
      </vt:variant>
      <vt:variant>
        <vt:i4>5</vt:i4>
      </vt:variant>
      <vt:variant>
        <vt:lpwstr>https://www.agedcarequality.gov.au/aged-care-performance/non-compliance-register</vt:lpwstr>
      </vt:variant>
      <vt:variant>
        <vt:lpwstr/>
      </vt:variant>
      <vt:variant>
        <vt:i4>1441860</vt:i4>
      </vt:variant>
      <vt:variant>
        <vt:i4>15</vt:i4>
      </vt:variant>
      <vt:variant>
        <vt:i4>0</vt:i4>
      </vt:variant>
      <vt:variant>
        <vt:i4>5</vt:i4>
      </vt:variant>
      <vt:variant>
        <vt:lpwstr>https://www.agedcarequality.gov.au/contact-us/complaints-about-us</vt:lpwstr>
      </vt:variant>
      <vt:variant>
        <vt:lpwstr/>
      </vt:variant>
      <vt:variant>
        <vt:i4>917571</vt:i4>
      </vt:variant>
      <vt:variant>
        <vt:i4>12</vt:i4>
      </vt:variant>
      <vt:variant>
        <vt:i4>0</vt:i4>
      </vt:variant>
      <vt:variant>
        <vt:i4>5</vt:i4>
      </vt:variant>
      <vt:variant>
        <vt:lpwstr>https://www.agedcarequality.gov.au/resources/regulatory-bulletin-2020-3.0</vt:lpwstr>
      </vt:variant>
      <vt:variant>
        <vt:lpwstr/>
      </vt:variant>
      <vt:variant>
        <vt:i4>4653137</vt:i4>
      </vt:variant>
      <vt:variant>
        <vt:i4>9</vt:i4>
      </vt:variant>
      <vt:variant>
        <vt:i4>0</vt:i4>
      </vt:variant>
      <vt:variant>
        <vt:i4>5</vt:i4>
      </vt:variant>
      <vt:variant>
        <vt:lpwstr>https://www.agedcarequality.gov.au/resources/aged-care-quality-and-safety-commission-glossary</vt:lpwstr>
      </vt:variant>
      <vt:variant>
        <vt:lpwstr/>
      </vt:variant>
      <vt:variant>
        <vt:i4>983064</vt:i4>
      </vt:variant>
      <vt:variant>
        <vt:i4>6</vt:i4>
      </vt:variant>
      <vt:variant>
        <vt:i4>0</vt:i4>
      </vt:variant>
      <vt:variant>
        <vt:i4>5</vt:i4>
      </vt:variant>
      <vt:variant>
        <vt:lpwstr>https://www.legislation.gov.au/Series/F2018L01837</vt:lpwstr>
      </vt:variant>
      <vt:variant>
        <vt:lpwstr/>
      </vt:variant>
      <vt:variant>
        <vt:i4>262164</vt:i4>
      </vt:variant>
      <vt:variant>
        <vt:i4>3</vt:i4>
      </vt:variant>
      <vt:variant>
        <vt:i4>0</vt:i4>
      </vt:variant>
      <vt:variant>
        <vt:i4>5</vt:i4>
      </vt:variant>
      <vt:variant>
        <vt:lpwstr>https://www.legislation.gov.au/Series/C2018A00149</vt:lpwstr>
      </vt:variant>
      <vt:variant>
        <vt:lpwstr/>
      </vt:variant>
      <vt:variant>
        <vt:i4>262171</vt:i4>
      </vt:variant>
      <vt:variant>
        <vt:i4>0</vt:i4>
      </vt:variant>
      <vt:variant>
        <vt:i4>0</vt:i4>
      </vt:variant>
      <vt:variant>
        <vt:i4>5</vt:i4>
      </vt:variant>
      <vt:variant>
        <vt:lpwstr>https://www.legislation.gov.au/Series/C2004A05206</vt:lpwstr>
      </vt:variant>
      <vt:variant>
        <vt:lpwstr/>
      </vt:variant>
      <vt:variant>
        <vt:i4>4587548</vt:i4>
      </vt:variant>
      <vt:variant>
        <vt:i4>27</vt:i4>
      </vt:variant>
      <vt:variant>
        <vt:i4>0</vt:i4>
      </vt:variant>
      <vt:variant>
        <vt:i4>5</vt:i4>
      </vt:variant>
      <vt:variant>
        <vt:lpwstr>https://www.agedcarequality.gov.au/subscribe</vt:lpwstr>
      </vt:variant>
      <vt:variant>
        <vt:lpwstr/>
      </vt:variant>
      <vt:variant>
        <vt:i4>5374021</vt:i4>
      </vt:variant>
      <vt:variant>
        <vt:i4>21</vt:i4>
      </vt:variant>
      <vt:variant>
        <vt:i4>0</vt:i4>
      </vt:variant>
      <vt:variant>
        <vt:i4>5</vt:i4>
      </vt:variant>
      <vt:variant>
        <vt:lpwstr>https://www.agedcarequality.gov.au/resources/rb-2023-18-publication-provider-performance-information</vt:lpwstr>
      </vt:variant>
      <vt:variant>
        <vt:lpwstr/>
      </vt:variant>
      <vt:variant>
        <vt:i4>4325442</vt:i4>
      </vt:variant>
      <vt:variant>
        <vt:i4>18</vt:i4>
      </vt:variant>
      <vt:variant>
        <vt:i4>0</vt:i4>
      </vt:variant>
      <vt:variant>
        <vt:i4>5</vt:i4>
      </vt:variant>
      <vt:variant>
        <vt:lpwstr>https://www.agedcarequality.gov.au/aged-care-performance/banning-orders-register</vt:lpwstr>
      </vt:variant>
      <vt:variant>
        <vt:lpwstr/>
      </vt:variant>
      <vt:variant>
        <vt:i4>5832789</vt:i4>
      </vt:variant>
      <vt:variant>
        <vt:i4>15</vt:i4>
      </vt:variant>
      <vt:variant>
        <vt:i4>0</vt:i4>
      </vt:variant>
      <vt:variant>
        <vt:i4>5</vt:i4>
      </vt:variant>
      <vt:variant>
        <vt:lpwstr>https://www.agedcarequality.gov.au/aged-care-performance/non-compliance-register</vt:lpwstr>
      </vt:variant>
      <vt:variant>
        <vt:lpwstr/>
      </vt:variant>
      <vt:variant>
        <vt:i4>917571</vt:i4>
      </vt:variant>
      <vt:variant>
        <vt:i4>12</vt:i4>
      </vt:variant>
      <vt:variant>
        <vt:i4>0</vt:i4>
      </vt:variant>
      <vt:variant>
        <vt:i4>5</vt:i4>
      </vt:variant>
      <vt:variant>
        <vt:lpwstr>https://www.agedcarequality.gov.au/resources/regulatory-bulletin-2020-3.0</vt:lpwstr>
      </vt:variant>
      <vt:variant>
        <vt:lpwstr/>
      </vt:variant>
      <vt:variant>
        <vt:i4>4653137</vt:i4>
      </vt:variant>
      <vt:variant>
        <vt:i4>9</vt:i4>
      </vt:variant>
      <vt:variant>
        <vt:i4>0</vt:i4>
      </vt:variant>
      <vt:variant>
        <vt:i4>5</vt:i4>
      </vt:variant>
      <vt:variant>
        <vt:lpwstr>https://www.agedcarequality.gov.au/resources/aged-care-quality-and-safety-commission-glossary</vt:lpwstr>
      </vt:variant>
      <vt:variant>
        <vt:lpwstr/>
      </vt:variant>
      <vt:variant>
        <vt:i4>983064</vt:i4>
      </vt:variant>
      <vt:variant>
        <vt:i4>6</vt:i4>
      </vt:variant>
      <vt:variant>
        <vt:i4>0</vt:i4>
      </vt:variant>
      <vt:variant>
        <vt:i4>5</vt:i4>
      </vt:variant>
      <vt:variant>
        <vt:lpwstr>https://www.legislation.gov.au/Series/F2018L01837</vt:lpwstr>
      </vt:variant>
      <vt:variant>
        <vt:lpwstr/>
      </vt:variant>
      <vt:variant>
        <vt:i4>262164</vt:i4>
      </vt:variant>
      <vt:variant>
        <vt:i4>3</vt:i4>
      </vt:variant>
      <vt:variant>
        <vt:i4>0</vt:i4>
      </vt:variant>
      <vt:variant>
        <vt:i4>5</vt:i4>
      </vt:variant>
      <vt:variant>
        <vt:lpwstr>https://www.legislation.gov.au/Series/C2018A00149</vt:lpwstr>
      </vt:variant>
      <vt:variant>
        <vt:lpwstr/>
      </vt:variant>
      <vt:variant>
        <vt:i4>262171</vt:i4>
      </vt:variant>
      <vt:variant>
        <vt:i4>0</vt:i4>
      </vt:variant>
      <vt:variant>
        <vt:i4>0</vt:i4>
      </vt:variant>
      <vt:variant>
        <vt:i4>5</vt:i4>
      </vt:variant>
      <vt:variant>
        <vt:lpwstr>https://www.legislation.gov.au/Series/C2004A05206</vt:lpwstr>
      </vt:variant>
      <vt:variant>
        <vt:lpwstr/>
      </vt:variant>
      <vt:variant>
        <vt:i4>1441842</vt:i4>
      </vt:variant>
      <vt:variant>
        <vt:i4>0</vt:i4>
      </vt:variant>
      <vt:variant>
        <vt:i4>0</vt:i4>
      </vt:variant>
      <vt:variant>
        <vt:i4>5</vt:i4>
      </vt:variant>
      <vt:variant>
        <vt:lpwstr>mailto:Belinda.Hocroft@agedcarequality.gov.au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2025-09-15T06:53:00Z</dcterms:created>
  <dcterms:modified xsi:type="dcterms:W3CDTF">2025-09-15T06:53:00Z</dcterms:modified>
</cp:coreProperties>
</file>