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CC97" w14:textId="072AE9DB" w:rsidR="00243570" w:rsidRDefault="0041719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CD96DB3" wp14:editId="4851DA27">
                <wp:simplePos x="0" y="0"/>
                <wp:positionH relativeFrom="column">
                  <wp:posOffset>-895350</wp:posOffset>
                </wp:positionH>
                <wp:positionV relativeFrom="paragraph">
                  <wp:posOffset>722630</wp:posOffset>
                </wp:positionV>
                <wp:extent cx="5686425" cy="1727200"/>
                <wp:effectExtent l="0" t="0" r="0" b="0"/>
                <wp:wrapSquare wrapText="bothSides"/>
                <wp:docPr id="165681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A0ECF" w14:textId="77777777" w:rsidR="00243570" w:rsidRDefault="000000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76DE7B" w14:textId="77777777" w:rsidR="00243570" w:rsidRPr="001E694D" w:rsidRDefault="000000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42193C" w14:textId="77777777" w:rsidR="00243570" w:rsidRPr="001E694D" w:rsidRDefault="00000000" w:rsidP="009504D0">
                            <w:pPr>
                              <w:pStyle w:val="ContactNumber"/>
                              <w:spacing w:after="600"/>
                              <w:rPr>
                                <w:rFonts w:ascii="Open Sans" w:hAnsi="Open Sans" w:cs="Open Sans"/>
                              </w:rPr>
                            </w:pPr>
                            <w:r w:rsidRPr="001E694D">
                              <w:rPr>
                                <w:rFonts w:ascii="Open Sans" w:hAnsi="Open Sans" w:cs="Open Sans"/>
                              </w:rPr>
                              <w:t>Agedcarequality.gov.au</w:t>
                            </w:r>
                          </w:p>
                          <w:p w14:paraId="4FCED2B6" w14:textId="77777777" w:rsidR="00243570" w:rsidRDefault="002435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96DB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EDA0ECF" w14:textId="77777777" w:rsidR="00243570" w:rsidRDefault="000000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76DE7B" w14:textId="77777777" w:rsidR="00243570" w:rsidRPr="001E694D" w:rsidRDefault="000000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42193C" w14:textId="77777777" w:rsidR="00243570" w:rsidRPr="001E694D" w:rsidRDefault="00000000" w:rsidP="009504D0">
                      <w:pPr>
                        <w:pStyle w:val="ContactNumber"/>
                        <w:spacing w:after="600"/>
                        <w:rPr>
                          <w:rFonts w:ascii="Open Sans" w:hAnsi="Open Sans" w:cs="Open Sans"/>
                        </w:rPr>
                      </w:pPr>
                      <w:r w:rsidRPr="001E694D">
                        <w:rPr>
                          <w:rFonts w:ascii="Open Sans" w:hAnsi="Open Sans" w:cs="Open Sans"/>
                        </w:rPr>
                        <w:t>Agedcarequality.gov.au</w:t>
                      </w:r>
                    </w:p>
                    <w:p w14:paraId="4FCED2B6" w14:textId="77777777" w:rsidR="00243570" w:rsidRDefault="00243570"/>
                  </w:txbxContent>
                </v:textbox>
                <w10:wrap type="square"/>
              </v:shape>
            </w:pict>
          </mc:Fallback>
        </mc:AlternateContent>
      </w:r>
      <w:r w:rsidR="00000000">
        <w:rPr>
          <w:noProof/>
        </w:rPr>
        <w:drawing>
          <wp:anchor distT="360045" distB="180340" distL="114300" distR="114300" simplePos="0" relativeHeight="251659264" behindDoc="1" locked="0" layoutInCell="1" allowOverlap="1" wp14:anchorId="6C527059" wp14:editId="31ACFE2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DCEAF92" w14:textId="77777777" w:rsidR="00243570" w:rsidRPr="001E694D" w:rsidRDefault="00243570" w:rsidP="001E694D">
      <w:pPr>
        <w:tabs>
          <w:tab w:val="left" w:pos="4569"/>
        </w:tabs>
        <w:rPr>
          <w:rFonts w:ascii="Open Sans" w:hAnsi="Open Sans" w:cs="Open Sans"/>
          <w:color w:val="FFFFFF" w:themeColor="background1"/>
          <w:sz w:val="66"/>
          <w:szCs w:val="66"/>
        </w:rPr>
      </w:pPr>
    </w:p>
    <w:p w14:paraId="0D325167" w14:textId="77777777" w:rsidR="00243570" w:rsidRDefault="00243570" w:rsidP="00372ED2">
      <w:pPr>
        <w:spacing w:after="0"/>
        <w:rPr>
          <w:rFonts w:ascii="Open Sans" w:hAnsi="Open Sans" w:cs="Open Sans"/>
          <w:b/>
          <w:bCs/>
          <w:color w:val="FFFFFF" w:themeColor="background1"/>
          <w:sz w:val="66"/>
          <w:szCs w:val="66"/>
        </w:rPr>
      </w:pPr>
    </w:p>
    <w:p w14:paraId="5E699C55" w14:textId="77777777" w:rsidR="00243570" w:rsidRDefault="00243570" w:rsidP="00372ED2">
      <w:pPr>
        <w:spacing w:after="0"/>
        <w:rPr>
          <w:rFonts w:ascii="Open Sans" w:hAnsi="Open Sans" w:cs="Open Sans"/>
          <w:b/>
          <w:bCs/>
          <w:color w:val="FFFFFF" w:themeColor="background1"/>
          <w:sz w:val="66"/>
          <w:szCs w:val="66"/>
        </w:rPr>
      </w:pPr>
    </w:p>
    <w:p w14:paraId="149F4066" w14:textId="77777777" w:rsidR="00243570" w:rsidRPr="00412FC5" w:rsidRDefault="0024357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937671" w14:paraId="60D392E8" w14:textId="77777777" w:rsidTr="00937671">
        <w:tc>
          <w:tcPr>
            <w:cnfStyle w:val="001000000000" w:firstRow="0" w:lastRow="0" w:firstColumn="1" w:lastColumn="0" w:oddVBand="0" w:evenVBand="0" w:oddHBand="0" w:evenHBand="0" w:firstRowFirstColumn="0" w:firstRowLastColumn="0" w:lastRowFirstColumn="0" w:lastRowLastColumn="0"/>
            <w:tcW w:w="3227" w:type="dxa"/>
          </w:tcPr>
          <w:p w14:paraId="3C764286" w14:textId="77777777" w:rsidR="00243570" w:rsidRPr="001E694D" w:rsidRDefault="0000000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FE2F4BC" w14:textId="77777777" w:rsidR="00243570" w:rsidRPr="001E694D" w:rsidRDefault="0000000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Woodlands</w:t>
            </w:r>
          </w:p>
        </w:tc>
      </w:tr>
      <w:tr w:rsidR="00937671" w14:paraId="77AAC76C"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B7BA7B" w14:textId="77777777" w:rsidR="00243570"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679BF40" w14:textId="77777777" w:rsidR="00243570" w:rsidRPr="001E694D" w:rsidRDefault="000000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7461</w:t>
            </w:r>
          </w:p>
        </w:tc>
      </w:tr>
      <w:tr w:rsidR="00937671" w14:paraId="57CC45BA" w14:textId="77777777" w:rsidTr="0093767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B17DE2" w14:textId="77777777" w:rsidR="00243570"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D37267C" w14:textId="77777777" w:rsidR="00243570"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 Sabina</w:t>
            </w:r>
            <w:r w:rsidRPr="001E694D">
              <w:rPr>
                <w:rFonts w:ascii="Open Sans" w:eastAsia="Times New Roman" w:hAnsi="Open Sans" w:cs="Open Sans"/>
                <w:lang w:eastAsia="en-AU"/>
              </w:rPr>
              <w:t xml:space="preserve"> Street, WOODLANDS, Western Australia, 6108</w:t>
            </w:r>
          </w:p>
        </w:tc>
      </w:tr>
      <w:tr w:rsidR="00937671" w14:paraId="7501BBF5"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9BD2E0" w14:textId="77777777" w:rsidR="00243570"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EF5C134" w14:textId="77777777" w:rsidR="00243570" w:rsidRPr="001E694D" w:rsidRDefault="000000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37671" w14:paraId="71BFDC82" w14:textId="77777777" w:rsidTr="0093767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949E90" w14:textId="77777777" w:rsidR="00243570"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693DE32" w14:textId="77777777" w:rsidR="00243570"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937671" w14:paraId="31F3CEDB"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87B57D7" w14:textId="77777777" w:rsidR="00243570" w:rsidRPr="001E694D" w:rsidRDefault="0000000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41924739"/>
            <w:placeholder>
              <w:docPart w:val="DefaultPlaceholder_-1854013437"/>
            </w:placeholder>
            <w:date w:fullDate="2025-03-20T00:00:00Z">
              <w:dateFormat w:val="d MMMM yyyy"/>
              <w:lid w:val="en-AU"/>
              <w:storeMappedDataAs w:val="dateTime"/>
              <w:calendar w:val="gregorian"/>
            </w:date>
          </w:sdtPr>
          <w:sdtContent>
            <w:tc>
              <w:tcPr>
                <w:tcW w:w="7114" w:type="dxa"/>
                <w:shd w:val="clear" w:color="auto" w:fill="FFFFFF" w:themeFill="background1"/>
              </w:tcPr>
              <w:p w14:paraId="5EE5D39B" w14:textId="6ACC5A0D" w:rsidR="00243570" w:rsidRPr="001E694D" w:rsidRDefault="00D74DD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March 2025</w:t>
                </w:r>
              </w:p>
            </w:tc>
          </w:sdtContent>
        </w:sdt>
      </w:tr>
      <w:tr w:rsidR="00937671" w14:paraId="4F99A4C4" w14:textId="77777777" w:rsidTr="0093767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537076" w14:textId="77777777" w:rsidR="00243570" w:rsidRPr="001E694D" w:rsidRDefault="0000000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90E54F5" w14:textId="77777777" w:rsidR="00243570"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25DDF8AC" w14:textId="77777777" w:rsidR="00243570" w:rsidRPr="001E694D" w:rsidRDefault="000000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23585 Regis Woodlands</w:t>
            </w:r>
          </w:p>
        </w:tc>
      </w:tr>
    </w:tbl>
    <w:bookmarkEnd w:id="0"/>
    <w:p w14:paraId="5452DB94" w14:textId="77777777" w:rsidR="00243570" w:rsidRPr="001E694D" w:rsidRDefault="0000000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9BE9795" w14:textId="77777777" w:rsidR="00243570" w:rsidRPr="003E162B" w:rsidRDefault="0000000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FC9E84C" w14:textId="062AEA07" w:rsidR="00243570" w:rsidRPr="001E694D" w:rsidRDefault="0000000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Woodlands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74DD5">
        <w:rPr>
          <w:rFonts w:ascii="Open Sans" w:hAnsi="Open Sans" w:cs="Open Sans"/>
        </w:rPr>
        <w:t>J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FE19C27" w14:textId="77777777" w:rsidR="00243570" w:rsidRPr="001E694D" w:rsidRDefault="0000000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2964FC7" w14:textId="77777777" w:rsidR="00243570" w:rsidRPr="003E162B" w:rsidRDefault="0000000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CA6E1F" w14:textId="77777777" w:rsidR="00D74DD5" w:rsidRPr="001E694D" w:rsidRDefault="00D74DD5" w:rsidP="00D74DD5">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5C60E73" w14:textId="1DEF5542" w:rsidR="00243570" w:rsidRPr="001E694D" w:rsidRDefault="00D74DD5" w:rsidP="00D74DD5">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5259F5">
        <w:rPr>
          <w:rFonts w:ascii="Open Sans" w:hAnsi="Open Sans" w:cs="Open Sans"/>
          <w:color w:val="auto"/>
        </w:rPr>
        <w:t>report was informed by a site assessment, observations at the service, review of documents and interviews with staff, older people/representatives, and others.</w:t>
      </w:r>
      <w:r w:rsidRPr="001E694D">
        <w:rPr>
          <w:rFonts w:ascii="Open Sans" w:hAnsi="Open Sans" w:cs="Open Sans"/>
        </w:rPr>
        <w:br w:type="page"/>
      </w:r>
    </w:p>
    <w:p w14:paraId="3A251237" w14:textId="77777777" w:rsidR="00243570" w:rsidRPr="003E162B" w:rsidRDefault="0000000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37671" w14:paraId="002650F4" w14:textId="77777777" w:rsidTr="0093767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38A9EA" w14:textId="77777777" w:rsidR="00243570" w:rsidRPr="001E694D" w:rsidRDefault="0000000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7DB38FF" w14:textId="77777777" w:rsidR="00243570"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20404638"/>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218044B4" w14:textId="77777777" w:rsidTr="0093767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FC4A99" w14:textId="77777777" w:rsidR="00243570" w:rsidRPr="001E694D" w:rsidRDefault="0000000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1C6C4FF" w14:textId="77777777" w:rsidR="00243570"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1756067"/>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65A0D297" w14:textId="77777777" w:rsidTr="009376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D86D9A"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9F1A056" w14:textId="77777777" w:rsidR="00243570"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4593376"/>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659D189F" w14:textId="77777777" w:rsidTr="0093767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BBD268"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183BAAB" w14:textId="77777777" w:rsidR="00243570"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2265742"/>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14B999AD" w14:textId="77777777" w:rsidTr="009376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C6782F"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6FD768C" w14:textId="77777777" w:rsidR="00243570"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4803798"/>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3161ED60" w14:textId="77777777" w:rsidTr="0093767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4939E5"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73EDAF0" w14:textId="77777777" w:rsidR="00243570"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3379773"/>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79133822" w14:textId="77777777" w:rsidTr="009376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DC3A98"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FC08DF7" w14:textId="77777777" w:rsidR="00243570"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4942637"/>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r w:rsidR="00937671" w14:paraId="5516D71B" w14:textId="77777777" w:rsidTr="0093767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5D76C5" w14:textId="77777777" w:rsidR="00243570" w:rsidRPr="001E694D" w:rsidRDefault="0000000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9A25EAD" w14:textId="77777777" w:rsidR="00243570"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4753036"/>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b/>
                    <w:bCs/>
                  </w:rPr>
                  <w:t>Compliant</w:t>
                </w:r>
              </w:sdtContent>
            </w:sdt>
          </w:p>
        </w:tc>
      </w:tr>
    </w:tbl>
    <w:p w14:paraId="684712DA" w14:textId="77777777" w:rsidR="00243570" w:rsidRPr="001E694D" w:rsidRDefault="0000000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AB328E" w14:textId="77777777" w:rsidR="00243570" w:rsidRPr="003E162B" w:rsidRDefault="0000000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F225DC5" w14:textId="3C44D7DC" w:rsidR="00243570" w:rsidRPr="001E694D" w:rsidRDefault="0000000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44742D33"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37671" w14:paraId="6CCF529B"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7F6E72D" w14:textId="77777777" w:rsidR="00243570" w:rsidRPr="001E694D" w:rsidRDefault="0000000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60F8789"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5E213AE8"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0FB38" w14:textId="77777777" w:rsidR="00243570" w:rsidRPr="001E694D" w:rsidRDefault="0000000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2D27761" w14:textId="77777777" w:rsidR="00243570"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3A6428" w14:textId="77777777" w:rsidR="00243570"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6592138"/>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00B2517"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DC819"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6523D8D"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C101539"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0311281"/>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55DACE63"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9AC715"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AD467D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1A07CA5" w14:textId="77777777" w:rsidR="00243570"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4DAA21A" w14:textId="77777777" w:rsidR="00243570"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289A953" w14:textId="77777777" w:rsidR="00243570" w:rsidRPr="001E694D" w:rsidRDefault="0000000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6317B96" w14:textId="77777777" w:rsidR="00243570" w:rsidRPr="001E694D" w:rsidRDefault="0000000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35F30AA"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718305"/>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0EB9B2BF"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C83A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4C2A542"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A4AB2CA" w14:textId="77777777" w:rsidR="00243570"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1262828"/>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3D1B2289"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0B082E"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345886F" w14:textId="77777777" w:rsidR="00243570" w:rsidRPr="001E694D" w:rsidRDefault="0000000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D8FB4E2"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0133518"/>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4EA6E20"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08B2EA"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9C4B058"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9AE0B0B"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8260498"/>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708FA640" w14:textId="77777777" w:rsidR="00243570" w:rsidRPr="003E162B" w:rsidRDefault="00000000" w:rsidP="001A5684">
      <w:pPr>
        <w:pStyle w:val="Heading20"/>
        <w:rPr>
          <w:rFonts w:ascii="Open Sans" w:hAnsi="Open Sans" w:cs="Open Sans"/>
          <w:color w:val="781E77"/>
        </w:rPr>
      </w:pPr>
      <w:r w:rsidRPr="003E162B">
        <w:rPr>
          <w:rFonts w:ascii="Open Sans" w:hAnsi="Open Sans" w:cs="Open Sans"/>
          <w:color w:val="781E77"/>
        </w:rPr>
        <w:t>Findings</w:t>
      </w:r>
    </w:p>
    <w:p w14:paraId="53634FD7" w14:textId="77777777" w:rsidR="00041B56" w:rsidRDefault="00041B56" w:rsidP="005D00C1">
      <w:pPr>
        <w:pStyle w:val="NormalArial"/>
        <w:rPr>
          <w:rFonts w:ascii="Open Sans" w:hAnsi="Open Sans" w:cs="Open Sans"/>
        </w:rPr>
      </w:pPr>
      <w:r>
        <w:rPr>
          <w:rFonts w:ascii="Open Sans" w:hAnsi="Open Sans" w:cs="Open Sans"/>
        </w:rPr>
        <w:t xml:space="preserve">Consumers described staff are respectful and confirmed care and services are provided in line with their needs and preferences, with their dignity maintained. Consumers felt care and services provided are culturally safe, and confirmed their privacy is maintained. Consumers described how they are encouraged to make decisions about their care and services, including where choices involve risk, and are supported to maintain relationships. Consumers confirmed there is adequate information provided to them to assist them in decision making, including information about personal and clinical care, menu options and </w:t>
      </w:r>
      <w:r>
        <w:rPr>
          <w:rFonts w:ascii="Open Sans" w:hAnsi="Open Sans" w:cs="Open Sans"/>
        </w:rPr>
        <w:lastRenderedPageBreak/>
        <w:t xml:space="preserve">lifestyle activities. Consumers and their representatives described the ways information is provided to them, including through verbal communication, emails, phone calls, newsletters, and consumer meetings. Consumers felt the service maintains the confidentiality of their personal information. </w:t>
      </w:r>
    </w:p>
    <w:p w14:paraId="23FAD235" w14:textId="77777777" w:rsidR="00041B56" w:rsidRDefault="00041B56" w:rsidP="005D00C1">
      <w:pPr>
        <w:rPr>
          <w:rFonts w:ascii="Open Sans" w:hAnsi="Open Sans" w:cs="Open Sans"/>
        </w:rPr>
      </w:pPr>
      <w:bookmarkStart w:id="1" w:name="_Hlk126783395"/>
      <w:r>
        <w:rPr>
          <w:rFonts w:ascii="Open Sans" w:hAnsi="Open Sans" w:cs="Open Sans"/>
        </w:rPr>
        <w:t xml:space="preserve">Staff were familiar with the culture and identity of the consumers they deliver care and services for and described how this informs the delivery of culturally safe care. Staff described assessment processes to understand and plan for the personal and cultural preferences of consumers. Staff were knowledgeable about the risks taken by consumers and described how they support consumers to live the way they choose. Staff described how information is provided to consumers. Staff described how they maintain the privacy of consumers during personal and clinical care, and how they maintain the confidentiality of consumer information. Staff confirmed they receive training on privacy and confidentiality. </w:t>
      </w:r>
    </w:p>
    <w:p w14:paraId="685F12B1" w14:textId="17F43E3B" w:rsidR="00041B56" w:rsidRDefault="00041B56" w:rsidP="005D00C1">
      <w:pPr>
        <w:rPr>
          <w:rFonts w:ascii="Open Sans" w:hAnsi="Open Sans" w:cs="Open Sans"/>
        </w:rPr>
      </w:pPr>
      <w:r>
        <w:rPr>
          <w:rFonts w:ascii="Open Sans" w:hAnsi="Open Sans" w:cs="Open Sans"/>
        </w:rPr>
        <w:t xml:space="preserve">Staff were kind and respectful with their interactions with consumers and were offering choice when assisting them with care and services. Staff demonstrated how they maintained the privacy of consumers, including by knocking on doors prior to entry, and closing doors during personal care delivery. Information is displayed through the service environment informing consumers of daily activities and seasonal menus. Dining room tables included a flip chart with the menu displayed for consumers to refer to. </w:t>
      </w:r>
    </w:p>
    <w:p w14:paraId="225D0F88" w14:textId="77777777" w:rsidR="00041B56" w:rsidRPr="0084314B" w:rsidRDefault="00041B56" w:rsidP="005D00C1">
      <w:pPr>
        <w:pStyle w:val="ListBullet"/>
        <w:numPr>
          <w:ilvl w:val="0"/>
          <w:numId w:val="0"/>
        </w:numPr>
        <w:spacing w:before="0" w:after="120"/>
        <w:rPr>
          <w:rFonts w:ascii="Open Sans" w:hAnsi="Open Sans" w:cs="Open Sans"/>
        </w:rPr>
      </w:pPr>
      <w:r>
        <w:rPr>
          <w:rFonts w:ascii="Open Sans" w:hAnsi="Open Sans" w:cs="Open Sans"/>
        </w:rPr>
        <w:t xml:space="preserve">Management confirmed processes to guide staff in delivering respectful care and services, which is monitored through an annual consumer experience survey. Management described how the service supports consumers to make informed decisions, including risk taking, and confirmed staff are provided with training on dignity of risk. </w:t>
      </w:r>
    </w:p>
    <w:p w14:paraId="67299837" w14:textId="77777777" w:rsidR="00041B56" w:rsidRPr="0084314B" w:rsidRDefault="00041B56" w:rsidP="005D00C1">
      <w:pPr>
        <w:pStyle w:val="ListBullet2"/>
        <w:numPr>
          <w:ilvl w:val="0"/>
          <w:numId w:val="0"/>
        </w:numPr>
        <w:rPr>
          <w:rFonts w:ascii="Open Sans" w:hAnsi="Open Sans" w:cs="Open Sans"/>
        </w:rPr>
      </w:pPr>
      <w:r>
        <w:rPr>
          <w:rFonts w:ascii="Open Sans" w:hAnsi="Open Sans" w:cs="Open Sans"/>
        </w:rPr>
        <w:t xml:space="preserve">Care documentation demonstrated the specific cultural needs of consumers are detailed, with culturally appropriate care strategies implemented. Care documentation recorded the individual choices of consumers, who is involved in their care and how the service supports them in maintaining relationships. Care documentation demonstrated dignity of risk processes, with consultation undertaken with consumers and mitigation strategies identified and agreed upon. A risk </w:t>
      </w:r>
      <w:proofErr w:type="gramStart"/>
      <w:r>
        <w:rPr>
          <w:rFonts w:ascii="Open Sans" w:hAnsi="Open Sans" w:cs="Open Sans"/>
        </w:rPr>
        <w:t>register</w:t>
      </w:r>
      <w:proofErr w:type="gramEnd"/>
      <w:r>
        <w:rPr>
          <w:rFonts w:ascii="Open Sans" w:hAnsi="Open Sans" w:cs="Open Sans"/>
        </w:rPr>
        <w:t xml:space="preserve"> records consumers who undertake activities involving risks and the consultation processes. </w:t>
      </w:r>
    </w:p>
    <w:p w14:paraId="41C15E95" w14:textId="77777777" w:rsidR="00041B56" w:rsidRDefault="00041B56" w:rsidP="005D00C1">
      <w:pPr>
        <w:pStyle w:val="ListBullet"/>
        <w:numPr>
          <w:ilvl w:val="0"/>
          <w:numId w:val="0"/>
        </w:numPr>
        <w:spacing w:before="0" w:after="120"/>
        <w:rPr>
          <w:rFonts w:ascii="Open Sans" w:hAnsi="Open Sans" w:cs="Open Sans"/>
        </w:rPr>
      </w:pPr>
      <w:r>
        <w:rPr>
          <w:rFonts w:ascii="Open Sans" w:hAnsi="Open Sans" w:cs="Open Sans"/>
        </w:rPr>
        <w:t xml:space="preserve">Care and planning processes consider the cultural identity of consumers, respecting the consumer’s ethnicity, culture, and relationships. The organisation has a suite of policies and procedures to support staff practices, including dignity and choice, dignity of risk and privacy and confidentiality. The electronic care management system is password protected and only accessible to staff. </w:t>
      </w:r>
    </w:p>
    <w:p w14:paraId="14C108B7" w14:textId="2B9667C9" w:rsidR="00243570" w:rsidRPr="001E694D" w:rsidRDefault="00041B56" w:rsidP="005D00C1">
      <w:pPr>
        <w:pStyle w:val="ListBullet"/>
        <w:numPr>
          <w:ilvl w:val="0"/>
          <w:numId w:val="0"/>
        </w:numPr>
        <w:spacing w:before="0" w:after="120"/>
        <w:rPr>
          <w:rFonts w:ascii="Open Sans" w:hAnsi="Open Sans" w:cs="Open Sans"/>
        </w:rPr>
      </w:pPr>
      <w:r>
        <w:rPr>
          <w:rFonts w:ascii="Open Sans" w:hAnsi="Open Sans" w:cs="Open Sans"/>
        </w:rPr>
        <w:lastRenderedPageBreak/>
        <w:t>Based on the assessment team’s report, I find all requirements in Standard 1 Consumer dignity and choice compliant, therefore the Standard is compliant.</w:t>
      </w:r>
      <w:bookmarkEnd w:id="1"/>
      <w:r w:rsidR="00000000" w:rsidRPr="001E694D">
        <w:rPr>
          <w:rFonts w:ascii="Open Sans" w:hAnsi="Open Sans" w:cs="Open Sans"/>
        </w:rPr>
        <w:br w:type="page"/>
      </w:r>
    </w:p>
    <w:p w14:paraId="4C7819DD"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37671" w14:paraId="39EAABD9"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68514C5" w14:textId="77777777" w:rsidR="00243570" w:rsidRPr="001E694D" w:rsidRDefault="0000000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A7A891B"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7562BFFF" w14:textId="77777777" w:rsidTr="0093767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CF71E7"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351B57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0AB4429"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2048350"/>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C9DAED5"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6C8827"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6B03D60"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22F535B"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5483326"/>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0CB68043" w14:textId="77777777" w:rsidTr="0093767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492D58"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A5D6E7F"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D64DCB3" w14:textId="77777777" w:rsidR="00243570" w:rsidRPr="001E694D" w:rsidRDefault="0000000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1737B59" w14:textId="77777777" w:rsidR="00243570" w:rsidRPr="001E694D" w:rsidRDefault="0000000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64FC14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308473"/>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31B79912"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63380C"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969F68F"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1248964" w14:textId="77777777" w:rsidR="00243570"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1155883"/>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5FF39B6A" w14:textId="77777777" w:rsidTr="0093767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7815E9"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8ED8BB2"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C1515D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56483"/>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F9E2832" w14:textId="77777777" w:rsidR="00243570"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0AFEB5E9" w14:textId="2A8D757E" w:rsidR="00D94434" w:rsidRDefault="00D94434" w:rsidP="00D94434">
      <w:pPr>
        <w:pStyle w:val="NormalArial"/>
        <w:rPr>
          <w:rFonts w:ascii="Open Sans" w:hAnsi="Open Sans" w:cs="Open Sans"/>
        </w:rPr>
      </w:pPr>
      <w:r>
        <w:rPr>
          <w:rFonts w:ascii="Open Sans" w:hAnsi="Open Sans" w:cs="Open Sans"/>
        </w:rPr>
        <w:t xml:space="preserve">Care documentation demonstrated risks to the consumer’s safety, health and well-being are identified and assessed, with strategies implemented to reduce the risk of harm. Consumer preferences and needs, in relation to end of life care and advance care planning, were documented in care documentation and reassessed when needs and preferences change. Care documentation showed consumers, their representatives and other health and care providers are </w:t>
      </w:r>
      <w:r>
        <w:rPr>
          <w:rFonts w:ascii="Open Sans" w:hAnsi="Open Sans" w:cs="Open Sans"/>
        </w:rPr>
        <w:lastRenderedPageBreak/>
        <w:t xml:space="preserve">involved in assessment processes to ensure care and services align with the consumer’s needs and preferences. Care documentation demonstrated care plans and assessments are reviewed and discussed every </w:t>
      </w:r>
      <w:r w:rsidR="00762D28">
        <w:rPr>
          <w:rFonts w:ascii="Open Sans" w:hAnsi="Open Sans" w:cs="Open Sans"/>
        </w:rPr>
        <w:t xml:space="preserve">three </w:t>
      </w:r>
      <w:r>
        <w:rPr>
          <w:rFonts w:ascii="Open Sans" w:hAnsi="Open Sans" w:cs="Open Sans"/>
        </w:rPr>
        <w:t xml:space="preserve">months, or where changes or incidents occur impacting on the consumer’s needs, goals and preferences. Communication between medical professionals, management, consumers, and their representatives, if appropriate, are recorded in consumer care documentation. </w:t>
      </w:r>
    </w:p>
    <w:p w14:paraId="68956E1B" w14:textId="77777777" w:rsidR="00D94434" w:rsidRDefault="00D94434" w:rsidP="00D94434">
      <w:pPr>
        <w:pStyle w:val="NormalArial"/>
        <w:rPr>
          <w:rFonts w:ascii="Open Sans" w:hAnsi="Open Sans" w:cs="Open Sans"/>
        </w:rPr>
      </w:pPr>
      <w:r>
        <w:rPr>
          <w:rFonts w:ascii="Open Sans" w:hAnsi="Open Sans" w:cs="Open Sans"/>
        </w:rPr>
        <w:t xml:space="preserve">Consumers confirmed they are involved in assessment processes on admission to the service and on an ongoing basis. Consumers described assessments which assess for risks and were comfortable to discuss their current needs, goals, and preferences, including end of life care, with staff. Consumers felt engaged in assessment processes and expressed satisfaction with how the service keeps them informed of changes to their care and services. </w:t>
      </w:r>
    </w:p>
    <w:p w14:paraId="47ADE011" w14:textId="77777777" w:rsidR="00D94434" w:rsidRDefault="00D94434" w:rsidP="00D94434">
      <w:pPr>
        <w:pStyle w:val="NormalArial"/>
        <w:rPr>
          <w:rFonts w:ascii="Open Sans" w:hAnsi="Open Sans" w:cs="Open Sans"/>
        </w:rPr>
      </w:pPr>
      <w:r>
        <w:rPr>
          <w:rFonts w:ascii="Open Sans" w:hAnsi="Open Sans" w:cs="Open Sans"/>
        </w:rPr>
        <w:t xml:space="preserve">Clinical manager described assessment processes of a consumer’s health and well-being on admission to the service, which inform the care and services delivered. Management and staff confirmed risk assessments are undertaken using validated assessment tools, and involving consumers, their representatives and other health professionals where appropriate. Management and staff described processes to discuss end of life care with consumers, including respecting </w:t>
      </w:r>
      <w:r w:rsidRPr="00A71142">
        <w:rPr>
          <w:rFonts w:ascii="Open Sans" w:hAnsi="Open Sans" w:cs="Open Sans"/>
        </w:rPr>
        <w:t>cultural appropriateness and individual sensitivity of consumers.</w:t>
      </w:r>
      <w:r>
        <w:rPr>
          <w:rFonts w:ascii="Open Sans" w:hAnsi="Open Sans" w:cs="Open Sans"/>
        </w:rPr>
        <w:t xml:space="preserve"> Staff described how they involve health professionals and other service providers, such as palliative care organisations, to assess and assist with assessment and care planning. Staff described reassessment processes to ensure assessments and care plans are reviewed regularly and where there has been an identified change to the consumer’s condition. </w:t>
      </w:r>
    </w:p>
    <w:p w14:paraId="7479D958" w14:textId="77777777" w:rsidR="00D94434" w:rsidRPr="00041C12" w:rsidRDefault="00D94434" w:rsidP="00D94434">
      <w:pPr>
        <w:rPr>
          <w:rFonts w:ascii="Open Sans" w:hAnsi="Open Sans" w:cs="Open Sans"/>
        </w:rPr>
      </w:pPr>
      <w:r>
        <w:rPr>
          <w:rFonts w:ascii="Open Sans" w:hAnsi="Open Sans" w:cs="Open Sans"/>
        </w:rPr>
        <w:t xml:space="preserve">The service has processes in place to ensure care and services are current and meet the current needs and preferences o consumers. All consumers are reviewed regularly, including their clinical and care needs. </w:t>
      </w:r>
      <w:r w:rsidRPr="00041C12">
        <w:rPr>
          <w:rFonts w:ascii="Open Sans" w:hAnsi="Open Sans" w:cs="Open Sans"/>
        </w:rPr>
        <w:t>Staff use a care and well-being review guide to complete a well-being assessment which is utilised to monitor consumers for changes in their care requirements.</w:t>
      </w:r>
    </w:p>
    <w:p w14:paraId="0193F7C3" w14:textId="77777777" w:rsidR="00D94434" w:rsidRDefault="00D94434" w:rsidP="00D94434">
      <w:pPr>
        <w:rPr>
          <w:rFonts w:ascii="Open Sans" w:hAnsi="Open Sans" w:cs="Open Sans"/>
        </w:rPr>
      </w:pPr>
      <w:r>
        <w:rPr>
          <w:rFonts w:ascii="Open Sans" w:hAnsi="Open Sans" w:cs="Open Sans"/>
        </w:rPr>
        <w:t xml:space="preserve">Based on the assessment team’s report, I find all requirements in Standard 2 ongoing assessment and planning with consumers compliant, therefore the Standard is compliant. </w:t>
      </w:r>
    </w:p>
    <w:p w14:paraId="63986AA8" w14:textId="6236B93D" w:rsidR="00243570" w:rsidRPr="001E694D" w:rsidRDefault="00000000" w:rsidP="0036130C">
      <w:pPr>
        <w:pStyle w:val="NormalArial"/>
        <w:rPr>
          <w:rFonts w:ascii="Open Sans" w:hAnsi="Open Sans" w:cs="Open Sans"/>
        </w:rPr>
      </w:pPr>
      <w:r w:rsidRPr="001E694D">
        <w:rPr>
          <w:rFonts w:ascii="Open Sans" w:hAnsi="Open Sans" w:cs="Open Sans"/>
        </w:rPr>
        <w:br w:type="page"/>
      </w:r>
    </w:p>
    <w:p w14:paraId="69409A67"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37671" w14:paraId="16EC6F7B"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70466B"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44A7161"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176E23AA"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D81FA"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4F00173"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6748A5F" w14:textId="77777777" w:rsidR="00243570"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FED2013" w14:textId="77777777" w:rsidR="00243570"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6F45045" w14:textId="77777777" w:rsidR="00243570" w:rsidRPr="001E694D" w:rsidRDefault="0000000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5B838F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7010123"/>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13F87786"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AF29E"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71A8AA3"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0457724"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0682273"/>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E0278BF"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E022F" w14:textId="77777777" w:rsidR="00243570" w:rsidRPr="001E694D" w:rsidRDefault="0000000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A7688E3" w14:textId="77777777" w:rsidR="00243570" w:rsidRPr="001E694D" w:rsidRDefault="0000000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06E2EB3"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8246416"/>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3904FE3"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F0AA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A7BB20"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FC27F09" w14:textId="77777777" w:rsidR="00243570"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8551431"/>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5708CD3"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5AC95"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BCA8002"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29DA932"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139238"/>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00D1140"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7543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4C5B7F7"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02F423D"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6881045"/>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54E8344C"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5B9E17"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5CCAA0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7A3A7EE" w14:textId="77777777" w:rsidR="00243570" w:rsidRPr="001E694D" w:rsidRDefault="0000000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C6E4A0C" w14:textId="77777777" w:rsidR="00243570" w:rsidRPr="001E694D" w:rsidRDefault="0000000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E1BA07B"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6749815"/>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6B2B287D" w14:textId="77777777" w:rsidR="00243570" w:rsidRPr="003E162B" w:rsidRDefault="0000000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F3C56BA" w14:textId="77777777" w:rsidR="00480F71" w:rsidRDefault="00480F71" w:rsidP="005D00C1">
      <w:pPr>
        <w:pStyle w:val="NormalArial"/>
        <w:rPr>
          <w:rFonts w:ascii="Open Sans" w:hAnsi="Open Sans" w:cs="Open Sans"/>
        </w:rPr>
      </w:pPr>
      <w:r>
        <w:rPr>
          <w:rFonts w:ascii="Open Sans" w:hAnsi="Open Sans" w:cs="Open Sans"/>
        </w:rPr>
        <w:t xml:space="preserve">Consumers expressed satisfaction with the personal and clinical care delivered, and confirmed care is provided safely and meets their needs and preferences. Consumers are confident staff knew them well and would recognise and respond to changes in their health and condition in a timely manner. Consumers confirmed staff are knowledgeable about their needs and are provided access to external health providers or services when required. Consumers described how staff undertake appropriate measures, including hand hygiene, to avoid cross infection between consumers. </w:t>
      </w:r>
    </w:p>
    <w:p w14:paraId="38D7ED38" w14:textId="77777777" w:rsidR="00480F71" w:rsidRPr="00A50CD4" w:rsidRDefault="00480F71" w:rsidP="005D00C1">
      <w:pPr>
        <w:rPr>
          <w:rFonts w:ascii="Open Sans" w:hAnsi="Open Sans" w:cs="Open Sans"/>
        </w:rPr>
      </w:pPr>
      <w:r>
        <w:rPr>
          <w:rFonts w:ascii="Open Sans" w:hAnsi="Open Sans" w:cs="Open Sans"/>
        </w:rPr>
        <w:t xml:space="preserve">Staff described the care needs of consumers they deliver care and services for, which aligned with care documentation. Staff were familiar with the risks associated with the care of consumers, and described the strategies implemented to minimise harm. Staff described how they work collaboratively with health professionals and external services during </w:t>
      </w:r>
      <w:proofErr w:type="gramStart"/>
      <w:r>
        <w:rPr>
          <w:rFonts w:ascii="Open Sans" w:hAnsi="Open Sans" w:cs="Open Sans"/>
        </w:rPr>
        <w:t>end of life</w:t>
      </w:r>
      <w:proofErr w:type="gramEnd"/>
      <w:r>
        <w:rPr>
          <w:rFonts w:ascii="Open Sans" w:hAnsi="Open Sans" w:cs="Open Sans"/>
        </w:rPr>
        <w:t xml:space="preserve"> care to ensure the consumers comfort and dignity is maintained. Staff described how they would identify, escalate, and action deterioration in a consumers physical or mental health. Management and clinical staff described referral processes to other service providers. Staff confirmed they have the information they need to be able to deliver safe and effective care and described how changes are communicated. Staff were familiar with infection prevention and control practices, including the use of personal protective equipment and antimicrobial stewardship and confirmed they have received training to support them. </w:t>
      </w:r>
    </w:p>
    <w:p w14:paraId="4EB45A67" w14:textId="77777777" w:rsidR="00480F71" w:rsidRPr="00A50CD4" w:rsidRDefault="00480F71" w:rsidP="005D00C1">
      <w:pPr>
        <w:pStyle w:val="ListBullet"/>
        <w:numPr>
          <w:ilvl w:val="0"/>
          <w:numId w:val="0"/>
        </w:numPr>
        <w:spacing w:before="0" w:after="120"/>
        <w:rPr>
          <w:rFonts w:ascii="Open Sans" w:hAnsi="Open Sans" w:cs="Open Sans"/>
        </w:rPr>
      </w:pPr>
      <w:r>
        <w:rPr>
          <w:rFonts w:ascii="Open Sans" w:hAnsi="Open Sans" w:cs="Open Sans"/>
        </w:rPr>
        <w:t>Care documentation showed consumers are receiving care, which is tailored to their needs, safe and effective. Risks were clearly documented, with mitigation strategies recorded and implemented. Care documentation showed the end of life wishes of consumers are documented and available to staff when consumers are nearing end of life. Documentation demonstrated consumers are referred to allied health professionals, medical practitioners, or health services when a deterioration in their physical or psychological condition is identified. Care documentation showed antibiotic therapy is only</w:t>
      </w:r>
      <w:r w:rsidRPr="00572F88">
        <w:rPr>
          <w:rFonts w:ascii="Open Sans" w:hAnsi="Open Sans" w:cs="Open Sans"/>
        </w:rPr>
        <w:t xml:space="preserve"> </w:t>
      </w:r>
      <w:r w:rsidRPr="00A50CD4">
        <w:rPr>
          <w:rFonts w:ascii="Open Sans" w:hAnsi="Open Sans" w:cs="Open Sans"/>
        </w:rPr>
        <w:t>prescribed when a consumer is symptomatic, returns a positive pathology result for infection or has an ongoing history of an infection related illness.</w:t>
      </w:r>
    </w:p>
    <w:p w14:paraId="77FD122F" w14:textId="77777777" w:rsidR="00480F71" w:rsidRPr="00A50CD4" w:rsidRDefault="00480F71" w:rsidP="005D00C1">
      <w:pPr>
        <w:rPr>
          <w:rFonts w:ascii="Open Sans" w:hAnsi="Open Sans" w:cs="Open Sans"/>
        </w:rPr>
      </w:pPr>
      <w:r>
        <w:rPr>
          <w:rFonts w:ascii="Open Sans" w:hAnsi="Open Sans" w:cs="Open Sans"/>
        </w:rPr>
        <w:t xml:space="preserve">The organisation has systems and processes to ensure consumers receive care and services tailored to their needs, with high impact and high prevalence risks effectively managed. Management maintains records of consumers identified as having risks associated with their care, with identified consumers discussed and reviewed at clinical risk meetings. The organisation has policies and procedures to guide staff in identifying and responding to deterioration, including referrals to other health professionals and service providers. Communication processes, including shift handovers, ensure information regarding the condition and care of consumers is effectively communicated, including to other services involved. </w:t>
      </w:r>
      <w:r>
        <w:rPr>
          <w:rFonts w:ascii="Open Sans" w:hAnsi="Open Sans" w:cs="Open Sans"/>
        </w:rPr>
        <w:lastRenderedPageBreak/>
        <w:t xml:space="preserve">The service has an infection prevention and control program with 3 staff identified as infection prevention and control leads. Corporate infection prevention and control staff oversee and assist the service to maintain compliant. </w:t>
      </w:r>
      <w:r w:rsidRPr="00D705F4">
        <w:rPr>
          <w:rFonts w:ascii="Open Sans" w:hAnsi="Open Sans" w:cs="Open Sans"/>
        </w:rPr>
        <w:t xml:space="preserve">The service has policies and procedures related to antimicrobial stewardship and for the appropriate monitoring of infection and for prescribing of antimicrobials. </w:t>
      </w:r>
      <w:r w:rsidRPr="00A50CD4">
        <w:rPr>
          <w:rFonts w:ascii="Open Sans" w:hAnsi="Open Sans" w:cs="Open Sans"/>
        </w:rPr>
        <w:t>Consumer infections are monitored, and a report is reviewed by management to monitor and target any trends.</w:t>
      </w:r>
    </w:p>
    <w:p w14:paraId="040B98E5" w14:textId="462BF846" w:rsidR="00243570" w:rsidRPr="001E694D" w:rsidRDefault="00480F71" w:rsidP="005D00C1">
      <w:pPr>
        <w:pStyle w:val="NormalArial"/>
        <w:rPr>
          <w:rFonts w:ascii="Open Sans" w:hAnsi="Open Sans" w:cs="Open Sans"/>
        </w:rPr>
      </w:pPr>
      <w:r>
        <w:rPr>
          <w:rFonts w:ascii="Open Sans" w:hAnsi="Open Sans" w:cs="Open Sans"/>
        </w:rPr>
        <w:t>Based on the assessment team’s report, I find all requirements in Standard 3 Personal care and clinical care compliant, therefore the Standard is compliant.</w:t>
      </w:r>
      <w:r w:rsidRPr="001E694D">
        <w:rPr>
          <w:rFonts w:ascii="Open Sans" w:hAnsi="Open Sans" w:cs="Open Sans"/>
        </w:rPr>
        <w:br w:type="page"/>
      </w:r>
    </w:p>
    <w:p w14:paraId="4BF52DFB"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37671" w14:paraId="67E09B32"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F1D725"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3D75B91"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03468783"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AEBEFB"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0E179A8"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504C6AB"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4250188"/>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0CF3BE34"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94F0F"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CEABB36"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41CB90B"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0664516"/>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03A52B17"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D4973F"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FBB3B3B"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CDC1D47" w14:textId="77777777" w:rsidR="00243570"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35BF447" w14:textId="77777777" w:rsidR="00243570"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9B70635" w14:textId="77777777" w:rsidR="00243570" w:rsidRPr="001E694D" w:rsidRDefault="0000000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D7604DC"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4142925"/>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38B1868"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72C98D"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8AB08E7"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481684D" w14:textId="77777777" w:rsidR="00243570"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1299025"/>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0D9DEF0"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341DBB"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C656181"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85A7225" w14:textId="77777777" w:rsidR="00243570"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0406612"/>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09259E5D"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A93CC"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514E7A1"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E06E255"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948366"/>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1D459685"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91434"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FC8CE21"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598AD85"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9092875"/>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11AC1F92" w14:textId="77777777" w:rsidR="00243570"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57083259" w14:textId="77777777" w:rsidR="00480F71" w:rsidRDefault="00480F71" w:rsidP="00480F71">
      <w:pPr>
        <w:pStyle w:val="NormalArial"/>
        <w:rPr>
          <w:rFonts w:ascii="Open Sans" w:hAnsi="Open Sans" w:cs="Open Sans"/>
        </w:rPr>
      </w:pPr>
      <w:r>
        <w:rPr>
          <w:rFonts w:ascii="Open Sans" w:hAnsi="Open Sans" w:cs="Open Sans"/>
        </w:rPr>
        <w:t xml:space="preserve">Consumers expressed satisfaction with the services and supports provided for daily living, confirming they meet their needs and assist in maintaining their independence, well-being, and quality of life. Consumers described how services and supports assist with their emotional, spiritual, and psychological well-being. Consumers felt supported to participate in their community both within and outside of the service environment, maintain relationships of importance and do things of interest. Consumers felt staff are familiar with their needs and </w:t>
      </w:r>
      <w:r>
        <w:rPr>
          <w:rFonts w:ascii="Open Sans" w:hAnsi="Open Sans" w:cs="Open Sans"/>
        </w:rPr>
        <w:lastRenderedPageBreak/>
        <w:t xml:space="preserve">preferences, and communication processes ensure changes are communicated to internal staff, and external services involved in delivering services and supports. Consumers described situations where they were referred to external services, and were satisfied with how referrals are made. Consumers confirmed they enjoy the meals provided, and there is plenty of variety to choose from. Consumers felt safe and supported in using the equipment to support their daily activities, confirming equipment was accessible and suitable for their needs. </w:t>
      </w:r>
    </w:p>
    <w:p w14:paraId="70806F39" w14:textId="77777777" w:rsidR="00480F71" w:rsidRDefault="00480F71" w:rsidP="00480F71">
      <w:pPr>
        <w:pStyle w:val="NormalArial"/>
        <w:rPr>
          <w:rFonts w:ascii="Open Sans" w:hAnsi="Open Sans" w:cs="Open Sans"/>
        </w:rPr>
      </w:pPr>
      <w:r>
        <w:rPr>
          <w:rFonts w:ascii="Open Sans" w:hAnsi="Open Sans" w:cs="Open Sans"/>
        </w:rPr>
        <w:t xml:space="preserve">Staff were familiar with the needs and preferences of consumers in relation to activities of daily living and described how they support consumers to undertake activities of choice. Staff described services and supports to support consumers in maintaining their psychological wellbeing. Lifestyle staff described how the service’s lifestyle program is developed in consultation with consumers and reviewed regularly. Staff described how they support consumers to participate in the community and maintain social relationships. Staff confirmed processes to ensure information relating to a consumer’s needs is communicated to lifestyle staff or external service providers. Lifestyle staff and clinical staff described referral processes to services and supports, such as clergy and advocacy services, where required. Staff were familiar with processes to report hazards or issues with equipment when identified. </w:t>
      </w:r>
    </w:p>
    <w:p w14:paraId="0A37D752" w14:textId="77777777" w:rsidR="00480F71" w:rsidRDefault="00480F71" w:rsidP="00480F71">
      <w:pPr>
        <w:pStyle w:val="NormalArial"/>
        <w:rPr>
          <w:rFonts w:ascii="Open Sans" w:hAnsi="Open Sans" w:cs="Open Sans"/>
        </w:rPr>
      </w:pPr>
      <w:r>
        <w:rPr>
          <w:rFonts w:ascii="Open Sans" w:hAnsi="Open Sans" w:cs="Open Sans"/>
        </w:rPr>
        <w:t xml:space="preserve">The organisation’s physiotherapist described how they undertake assessments for consumers to ensure equipment provided is suitable for their needs. Catering staff described how they seek and receive ongoing feedback from consumers to improve the quality of meals and overall dining experience. The chef was familiar with the dietary requirements and needs of consumers, including textured meals, and described how they ensure each meal meets their needs. </w:t>
      </w:r>
    </w:p>
    <w:p w14:paraId="1B4C10C6" w14:textId="77777777" w:rsidR="00480F71" w:rsidRDefault="00480F71" w:rsidP="00480F71">
      <w:pPr>
        <w:pStyle w:val="NormalArial"/>
        <w:rPr>
          <w:rFonts w:ascii="Open Sans" w:hAnsi="Open Sans" w:cs="Open Sans"/>
        </w:rPr>
      </w:pPr>
      <w:r>
        <w:rPr>
          <w:rFonts w:ascii="Open Sans" w:hAnsi="Open Sans" w:cs="Open Sans"/>
        </w:rPr>
        <w:t xml:space="preserve">Care documentation included information about the services and supports delivered to consumers to support them to maintain their independence and do activities of interest. The psychological, spiritual, and emotional needs were documented, with strategies to support consumers identified. Care documentation confirmed referrals are completed in a timely manner and were appropriate to the consumer’s needs. The dietary needs and preferences were documented in consumer care plans. </w:t>
      </w:r>
    </w:p>
    <w:p w14:paraId="502C474F" w14:textId="77777777" w:rsidR="00480F71" w:rsidRDefault="00480F71" w:rsidP="00480F71">
      <w:pPr>
        <w:rPr>
          <w:rFonts w:ascii="Open Sans" w:hAnsi="Open Sans" w:cs="Open Sans"/>
        </w:rPr>
      </w:pPr>
      <w:r>
        <w:rPr>
          <w:rFonts w:ascii="Open Sans" w:hAnsi="Open Sans" w:cs="Open Sans"/>
        </w:rPr>
        <w:t xml:space="preserve">Service documentation, including care plans, progress notes, handover documents and meeting minutes, show information about the needs and condition of consumers is communicated effectively. Lifestyle documentation included activity evaluations which inform improvements to the service’s lifestyle program. The service has a 4-week menu, reviewed by a dietician, and includes a variety of meal choices, with access to food and drinks outside of dedicated mealtimes. A maintenance schedule is in place to ensure mobility and lifting equipment is regularly checked and maintained. </w:t>
      </w:r>
    </w:p>
    <w:p w14:paraId="4DB87133" w14:textId="77777777" w:rsidR="00480F71" w:rsidRDefault="00480F71" w:rsidP="00480F71">
      <w:pPr>
        <w:rPr>
          <w:rFonts w:ascii="Open Sans" w:hAnsi="Open Sans" w:cs="Open Sans"/>
        </w:rPr>
      </w:pPr>
      <w:r>
        <w:rPr>
          <w:rFonts w:ascii="Open Sans" w:hAnsi="Open Sans" w:cs="Open Sans"/>
        </w:rPr>
        <w:lastRenderedPageBreak/>
        <w:t xml:space="preserve">Activities delivered to consumers were supportive and interactive and well received by all consumers attending. Consumers were engaging in social activities and consulted on which activities they would like to participate in. Service equipment was clean, safe and well-maintained and being used by consumers. Equipment, such as hoists, were cleaned by staff prior to and following use. </w:t>
      </w:r>
    </w:p>
    <w:p w14:paraId="1343E0CF" w14:textId="16981BAA" w:rsidR="00243570" w:rsidRPr="001E694D" w:rsidRDefault="00480F71" w:rsidP="00480F71">
      <w:pPr>
        <w:pStyle w:val="NormalArial"/>
        <w:rPr>
          <w:rFonts w:ascii="Open Sans" w:hAnsi="Open Sans" w:cs="Open Sans"/>
        </w:rPr>
      </w:pPr>
      <w:r>
        <w:rPr>
          <w:rFonts w:ascii="Open Sans" w:hAnsi="Open Sans" w:cs="Open Sans"/>
        </w:rPr>
        <w:t>Based on the assessment team’s report, I find all requirements in Standard 4 Services and supports for daily living compliant, therefore the Standard is compliant.</w:t>
      </w:r>
    </w:p>
    <w:p w14:paraId="2E142497" w14:textId="77777777" w:rsidR="00243570" w:rsidRPr="001E694D" w:rsidRDefault="00000000" w:rsidP="0036130C">
      <w:pPr>
        <w:pStyle w:val="NormalArial"/>
        <w:rPr>
          <w:rFonts w:ascii="Open Sans" w:hAnsi="Open Sans" w:cs="Open Sans"/>
        </w:rPr>
      </w:pPr>
      <w:r w:rsidRPr="001E694D">
        <w:rPr>
          <w:rFonts w:ascii="Open Sans" w:hAnsi="Open Sans" w:cs="Open Sans"/>
        </w:rPr>
        <w:br w:type="page"/>
      </w:r>
    </w:p>
    <w:p w14:paraId="55CC81F5"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37671" w14:paraId="16AFD29C"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A26A53"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ED5AF37"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0CF65B3B"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F6770"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FA01971"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BFCD14D"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8549779"/>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21DE421B"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69B4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84F0EFE"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BFEDBD9" w14:textId="77777777" w:rsidR="00243570" w:rsidRPr="001E694D" w:rsidRDefault="0000000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B44E8CC" w14:textId="77777777" w:rsidR="00243570" w:rsidRPr="001E694D" w:rsidRDefault="0000000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DA3D990"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6609906"/>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7620B5E"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AC2A6"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A2A470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2F3A086" w14:textId="77777777" w:rsidR="00243570"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8346599"/>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075B1B6C" w14:textId="77777777" w:rsidR="00243570" w:rsidRPr="003E162B" w:rsidRDefault="00000000" w:rsidP="002B0C90">
      <w:pPr>
        <w:pStyle w:val="Heading20"/>
        <w:rPr>
          <w:rFonts w:ascii="Open Sans" w:hAnsi="Open Sans" w:cs="Open Sans"/>
          <w:color w:val="781E77"/>
        </w:rPr>
      </w:pPr>
      <w:r w:rsidRPr="003E162B">
        <w:rPr>
          <w:rFonts w:ascii="Open Sans" w:hAnsi="Open Sans" w:cs="Open Sans"/>
          <w:color w:val="781E77"/>
        </w:rPr>
        <w:t>Findings</w:t>
      </w:r>
    </w:p>
    <w:p w14:paraId="58E1D936" w14:textId="77777777" w:rsidR="00286640" w:rsidRDefault="00286640" w:rsidP="005D00C1">
      <w:pPr>
        <w:pStyle w:val="NormalArial"/>
        <w:rPr>
          <w:rFonts w:ascii="Open Sans" w:hAnsi="Open Sans" w:cs="Open Sans"/>
        </w:rPr>
      </w:pPr>
      <w:r>
        <w:rPr>
          <w:rFonts w:ascii="Open Sans" w:hAnsi="Open Sans" w:cs="Open Sans"/>
        </w:rPr>
        <w:t xml:space="preserve">The service environment includes a café, hairdresser, beautician, aromatherapy, spa room and cinema. Dining rooms are located on each floor, with multiple communal areas which offer access to various activities for consumers to engage in. The reception area is located adjacent to the main entry with visitors greets warmly promptly and supported to undertake the service’s screening requirements. </w:t>
      </w:r>
    </w:p>
    <w:p w14:paraId="6B56D391" w14:textId="1EF954B7" w:rsidR="00286640" w:rsidRDefault="00286640" w:rsidP="005D00C1">
      <w:pPr>
        <w:pStyle w:val="NormalArial"/>
        <w:rPr>
          <w:rFonts w:ascii="Open Sans" w:hAnsi="Open Sans" w:cs="Open Sans"/>
        </w:rPr>
      </w:pPr>
      <w:r>
        <w:rPr>
          <w:rFonts w:ascii="Open Sans" w:hAnsi="Open Sans" w:cs="Open Sans"/>
        </w:rPr>
        <w:t xml:space="preserve">Consumer rooms were personalised with items in line with their preferences, including photographs and furniture. The service environment is fitted with handrails and navigational signage to assist with consumer mobility and wayfinding. Consumers were moving freely across all areas of the service environment, including outdoor courtyards, with consumers unable to independently access outdoor environments supported by staff. </w:t>
      </w:r>
    </w:p>
    <w:p w14:paraId="7CFF518A" w14:textId="77777777" w:rsidR="00286640" w:rsidRDefault="00286640" w:rsidP="005D00C1">
      <w:pPr>
        <w:pStyle w:val="NormalArial"/>
        <w:rPr>
          <w:rFonts w:ascii="Open Sans" w:hAnsi="Open Sans" w:cs="Open Sans"/>
        </w:rPr>
      </w:pPr>
      <w:r>
        <w:rPr>
          <w:rFonts w:ascii="Open Sans" w:hAnsi="Open Sans" w:cs="Open Sans"/>
        </w:rPr>
        <w:t>Consumers expressed satisfaction with the service environment, confirming the environment is clean, well maintained, and welcoming. Consumers confirmed they can personalise their rooms by bringing in personal items of furniture important to them. Consumers described how they can access all areas of the service, including outdoor areas. Consumers felt safe when using the furniture, fittings, and equipment within the service, and confirmed it is suitable for use, clean and well-maintained.</w:t>
      </w:r>
    </w:p>
    <w:p w14:paraId="69E822AD" w14:textId="77777777" w:rsidR="00286640" w:rsidRPr="00D86FAE" w:rsidRDefault="00286640" w:rsidP="005D00C1">
      <w:pPr>
        <w:pStyle w:val="ListBullet"/>
        <w:numPr>
          <w:ilvl w:val="0"/>
          <w:numId w:val="0"/>
        </w:numPr>
        <w:spacing w:before="0" w:after="120"/>
        <w:rPr>
          <w:rFonts w:ascii="Open Sans" w:hAnsi="Open Sans" w:cs="Open Sans"/>
        </w:rPr>
      </w:pPr>
      <w:r>
        <w:rPr>
          <w:rFonts w:ascii="Open Sans" w:hAnsi="Open Sans" w:cs="Open Sans"/>
        </w:rPr>
        <w:t xml:space="preserve">Staff described processes to ensure consumers are welcomed to the service upon admission, including providing tours of the service, and introducing them to other consumers. Staff described how various communal areas have been set up to facilitate activities of interest for consumers to engage in. Cleaning staff </w:t>
      </w:r>
      <w:r>
        <w:rPr>
          <w:rFonts w:ascii="Open Sans" w:hAnsi="Open Sans" w:cs="Open Sans"/>
        </w:rPr>
        <w:lastRenderedPageBreak/>
        <w:t xml:space="preserve">confirmed they are provided with adequate equipment to ensure the service remains clean and well-maintained. Staff described reactive and proactive cleaning and maintenance schedules to ensure the service environment, equipment and consumer rooms are cleaned and well-maintained. Management described processes to monitor equipment, including ensuring equipment is suitable, and confirmed they have ability to purchase additional equipment as required. </w:t>
      </w:r>
    </w:p>
    <w:p w14:paraId="09873752" w14:textId="77777777" w:rsidR="00286640" w:rsidRDefault="00286640" w:rsidP="005D00C1">
      <w:pPr>
        <w:rPr>
          <w:rFonts w:ascii="Open Sans" w:hAnsi="Open Sans" w:cs="Open Sans"/>
        </w:rPr>
      </w:pPr>
      <w:r>
        <w:rPr>
          <w:rFonts w:ascii="Open Sans" w:hAnsi="Open Sans" w:cs="Open Sans"/>
        </w:rPr>
        <w:t xml:space="preserve">The service has processes in place to respond to emergency breakdowns and repairs out of hours, with escalation processes in place should the problem require additional time or resources to address. Environmental services documentation showed the cleaning schedule is current, with audits regularly undertaken. Proactive and reactive maintenance reports and schedules demonstrated issues are actions in a timely manner, with contractors engaged to undertake repairs or maintenance where required. </w:t>
      </w:r>
    </w:p>
    <w:p w14:paraId="4D37C4E4" w14:textId="788DD50A" w:rsidR="00243570" w:rsidRPr="001E694D" w:rsidRDefault="00286640" w:rsidP="005D00C1">
      <w:pPr>
        <w:pStyle w:val="NormalArial"/>
        <w:rPr>
          <w:rFonts w:ascii="Open Sans" w:hAnsi="Open Sans" w:cs="Open Sans"/>
        </w:rPr>
      </w:pPr>
      <w:r>
        <w:rPr>
          <w:rFonts w:ascii="Open Sans" w:hAnsi="Open Sans" w:cs="Open Sans"/>
        </w:rPr>
        <w:t xml:space="preserve">Based on the assessment team’s report, I find all requirements in Standard 5 Organisations service environment compliant, therefore the Standard is compliant. </w:t>
      </w:r>
    </w:p>
    <w:p w14:paraId="6F8943AE" w14:textId="77777777" w:rsidR="00243570" w:rsidRPr="001E694D" w:rsidRDefault="00000000" w:rsidP="0036130C">
      <w:pPr>
        <w:pStyle w:val="NormalArial"/>
        <w:rPr>
          <w:rFonts w:ascii="Open Sans" w:hAnsi="Open Sans" w:cs="Open Sans"/>
        </w:rPr>
      </w:pPr>
      <w:r w:rsidRPr="001E694D">
        <w:rPr>
          <w:rFonts w:ascii="Open Sans" w:hAnsi="Open Sans" w:cs="Open Sans"/>
        </w:rPr>
        <w:br w:type="page"/>
      </w:r>
    </w:p>
    <w:p w14:paraId="7FF656C7"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37671" w14:paraId="14AD544F"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6C1824"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5E6DCB1"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046DA763"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824A7"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9F2FF38"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A35FE6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6434454"/>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65450699"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BB3F14"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6FD25D"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3E5E312"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5519193"/>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63AC44C1"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B0C5A"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CB59A55"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DEE8D3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034845"/>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5C9F55BC" w14:textId="77777777" w:rsidTr="0093767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D68EC8"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30735C"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C66F0E" w14:textId="77777777" w:rsidR="00243570"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7608910"/>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67A8EB7B" w14:textId="77777777" w:rsidR="00243570" w:rsidRPr="003E162B" w:rsidRDefault="00000000" w:rsidP="00D87E7C">
      <w:pPr>
        <w:pStyle w:val="Heading20"/>
        <w:rPr>
          <w:rFonts w:ascii="Open Sans" w:hAnsi="Open Sans" w:cs="Open Sans"/>
          <w:color w:val="781E77"/>
        </w:rPr>
      </w:pPr>
      <w:r w:rsidRPr="003E162B">
        <w:rPr>
          <w:rFonts w:ascii="Open Sans" w:hAnsi="Open Sans" w:cs="Open Sans"/>
          <w:color w:val="781E77"/>
        </w:rPr>
        <w:t>Findings</w:t>
      </w:r>
    </w:p>
    <w:p w14:paraId="51DF3C13" w14:textId="77777777" w:rsidR="00286640" w:rsidRDefault="00286640" w:rsidP="00727430">
      <w:pPr>
        <w:pStyle w:val="NormalArial"/>
        <w:rPr>
          <w:rFonts w:ascii="Open Sans" w:hAnsi="Open Sans" w:cs="Open Sans"/>
        </w:rPr>
      </w:pPr>
      <w:r>
        <w:rPr>
          <w:rFonts w:ascii="Open Sans" w:hAnsi="Open Sans" w:cs="Open Sans"/>
        </w:rPr>
        <w:t xml:space="preserve">Consumers felt supported, encouraged, and safe to provide feedback and make complaints and confirmed they were aware of the feedback mechanisms available to them. Consumers were familiar with advocacy and language services, and external complaints mechanisms available to them to provide additional support with providing feedback and make complaints if required. Consumers who have raised concerns or provided feedback confirmed management and staff follow up on issues in a timely manner, with care services improved as a result. </w:t>
      </w:r>
    </w:p>
    <w:p w14:paraId="7C1076CC" w14:textId="77777777" w:rsidR="00286640" w:rsidRDefault="00286640" w:rsidP="00727430">
      <w:pPr>
        <w:pStyle w:val="ListBullet"/>
        <w:numPr>
          <w:ilvl w:val="0"/>
          <w:numId w:val="0"/>
        </w:numPr>
        <w:spacing w:before="0" w:after="120"/>
        <w:rPr>
          <w:rFonts w:ascii="Open Sans" w:hAnsi="Open Sans" w:cs="Open Sans"/>
        </w:rPr>
      </w:pPr>
      <w:r>
        <w:rPr>
          <w:rFonts w:ascii="Open Sans" w:hAnsi="Open Sans" w:cs="Open Sans"/>
        </w:rPr>
        <w:t>Management described how they support consumers and their representatives to provide feedback or make complaints, including through resident and relative meetings and resident focus groups. Management described advocacy services available and the various methods available to consumers to raise and resolve complaints. Management described how complaints and feedback is recorded and actioned in consultation with the consumer. Management confirmed feedback is analysed and used to drive continuous improvement.</w:t>
      </w:r>
    </w:p>
    <w:p w14:paraId="1EAA5E68" w14:textId="77777777" w:rsidR="00286640" w:rsidRDefault="00286640" w:rsidP="00727430">
      <w:pPr>
        <w:pStyle w:val="ListBullet"/>
        <w:numPr>
          <w:ilvl w:val="0"/>
          <w:numId w:val="0"/>
        </w:numPr>
        <w:spacing w:before="0" w:after="120"/>
        <w:rPr>
          <w:rFonts w:ascii="Open Sans" w:hAnsi="Open Sans" w:cs="Open Sans"/>
        </w:rPr>
      </w:pPr>
      <w:r>
        <w:rPr>
          <w:rFonts w:ascii="Open Sans" w:hAnsi="Open Sans" w:cs="Open Sans"/>
        </w:rPr>
        <w:t>Staff described how they support consumers to provide feedback, including through using feedback forms or escalating verbal complaints to management for action. Staff confirmed they are provided with training at induction regarding feedback and complaints processes and were familiar with the principles of open disclosure.</w:t>
      </w:r>
    </w:p>
    <w:p w14:paraId="08F47DA6" w14:textId="77777777" w:rsidR="00286640" w:rsidRDefault="00286640" w:rsidP="00727430">
      <w:pPr>
        <w:pStyle w:val="ListBullet"/>
        <w:numPr>
          <w:ilvl w:val="0"/>
          <w:numId w:val="0"/>
        </w:numPr>
        <w:spacing w:before="0" w:after="120"/>
        <w:rPr>
          <w:rFonts w:ascii="Open Sans" w:hAnsi="Open Sans" w:cs="Open Sans"/>
        </w:rPr>
      </w:pPr>
      <w:r>
        <w:rPr>
          <w:rFonts w:ascii="Open Sans" w:hAnsi="Open Sans" w:cs="Open Sans"/>
        </w:rPr>
        <w:t xml:space="preserve">Service documentation confirmed resident and relative meetings are held monthly and resident focus groups are undertaken weekly. Meeting minutes </w:t>
      </w:r>
      <w:r>
        <w:rPr>
          <w:rFonts w:ascii="Open Sans" w:hAnsi="Open Sans" w:cs="Open Sans"/>
        </w:rPr>
        <w:lastRenderedPageBreak/>
        <w:t xml:space="preserve">demonstrate consumers, and their representatives are encouraged and supported to provide feedback, with actions and outcomes communicated. Consumers are provided with information on their rights, advocacy services and raising complaints through external services upon admission to the service. The feedback and complaints register demonstrated appropriate actions are taken in response to feedback and complaints in a timely manner, with open disclosure practice documented. The plan for continuous improvement showed feedback from consumers is used to inform care and service improvements. The organisation has policies on feedback and complaints management and open disclosure. </w:t>
      </w:r>
    </w:p>
    <w:p w14:paraId="2684EFD2" w14:textId="77777777" w:rsidR="00286640" w:rsidRPr="00D86FAE" w:rsidRDefault="00286640" w:rsidP="00727430">
      <w:pPr>
        <w:pStyle w:val="ListBullet"/>
        <w:numPr>
          <w:ilvl w:val="0"/>
          <w:numId w:val="0"/>
        </w:numPr>
        <w:spacing w:before="0" w:after="120"/>
        <w:rPr>
          <w:rFonts w:ascii="Open Sans" w:hAnsi="Open Sans" w:cs="Open Sans"/>
        </w:rPr>
      </w:pPr>
      <w:r>
        <w:rPr>
          <w:rFonts w:ascii="Open Sans" w:hAnsi="Open Sans" w:cs="Open Sans"/>
        </w:rPr>
        <w:t xml:space="preserve">Feedback and complaints boxes are available throughout the service, with feedback forms available for consumers to complete. Noticeboards contain information on advocacy and language services and external complaints options. </w:t>
      </w:r>
    </w:p>
    <w:p w14:paraId="565EB3E2" w14:textId="7D4BB861" w:rsidR="00243570" w:rsidRPr="001E694D" w:rsidRDefault="00286640" w:rsidP="00727430">
      <w:pPr>
        <w:pStyle w:val="NormalArial"/>
        <w:rPr>
          <w:rFonts w:ascii="Open Sans" w:hAnsi="Open Sans" w:cs="Open Sans"/>
        </w:rPr>
      </w:pPr>
      <w:r>
        <w:rPr>
          <w:rFonts w:ascii="Open Sans" w:hAnsi="Open Sans" w:cs="Open Sans"/>
        </w:rPr>
        <w:t>Based on the assessment team’s report, I find all requirements in Standard 6 Feedback and complaints compliant, therefore the Standard is compl</w:t>
      </w:r>
      <w:r w:rsidR="00727430">
        <w:rPr>
          <w:rFonts w:ascii="Open Sans" w:hAnsi="Open Sans" w:cs="Open Sans"/>
        </w:rPr>
        <w:t>ia</w:t>
      </w:r>
      <w:r>
        <w:rPr>
          <w:rFonts w:ascii="Open Sans" w:hAnsi="Open Sans" w:cs="Open Sans"/>
        </w:rPr>
        <w:t xml:space="preserve">nt. </w:t>
      </w:r>
    </w:p>
    <w:p w14:paraId="0A27DC04" w14:textId="77777777" w:rsidR="00243570" w:rsidRPr="001E694D" w:rsidRDefault="00000000" w:rsidP="0036130C">
      <w:pPr>
        <w:pStyle w:val="NormalArial"/>
        <w:rPr>
          <w:rFonts w:ascii="Open Sans" w:hAnsi="Open Sans" w:cs="Open Sans"/>
        </w:rPr>
      </w:pPr>
      <w:r w:rsidRPr="001E694D">
        <w:rPr>
          <w:rFonts w:ascii="Open Sans" w:hAnsi="Open Sans" w:cs="Open Sans"/>
        </w:rPr>
        <w:br w:type="page"/>
      </w:r>
    </w:p>
    <w:p w14:paraId="3630430C"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37671" w14:paraId="6300939F" w14:textId="77777777" w:rsidTr="00937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88E2AC"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26CCCFB"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57BA7B8C"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C1DD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F80B9B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8614C5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0284423"/>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7717995"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290D0"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11A4511"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7D87E48"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2960708"/>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22ECBDD6"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2127B"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29BF23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3A819A6"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1738095"/>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5F04B868" w14:textId="77777777" w:rsidTr="00937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3B8DFC"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AC2F52E"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444D0A3" w14:textId="77777777" w:rsidR="00243570"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8908962"/>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47966D35" w14:textId="77777777" w:rsidTr="0093767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235AA7"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E598F97"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CE63BF2" w14:textId="77777777" w:rsidR="00243570"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9409018"/>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70E8703B" w14:textId="77777777" w:rsidR="00243570" w:rsidRPr="003E162B" w:rsidRDefault="00000000" w:rsidP="002B0C90">
      <w:pPr>
        <w:pStyle w:val="Heading20"/>
        <w:rPr>
          <w:rFonts w:ascii="Open Sans" w:hAnsi="Open Sans" w:cs="Open Sans"/>
          <w:color w:val="781E77"/>
        </w:rPr>
      </w:pPr>
      <w:r w:rsidRPr="003E162B">
        <w:rPr>
          <w:rFonts w:ascii="Open Sans" w:hAnsi="Open Sans" w:cs="Open Sans"/>
          <w:color w:val="781E77"/>
        </w:rPr>
        <w:t>Findings</w:t>
      </w:r>
    </w:p>
    <w:p w14:paraId="7BA067B0" w14:textId="77777777" w:rsidR="009E374E" w:rsidRDefault="009E374E" w:rsidP="001F5BD5">
      <w:pPr>
        <w:pStyle w:val="NormalArial"/>
        <w:rPr>
          <w:rFonts w:ascii="Open Sans" w:hAnsi="Open Sans" w:cs="Open Sans"/>
        </w:rPr>
      </w:pPr>
      <w:r>
        <w:rPr>
          <w:rFonts w:ascii="Open Sans" w:hAnsi="Open Sans" w:cs="Open Sans"/>
        </w:rPr>
        <w:t xml:space="preserve">Consumers and their representatives felt the service has enough staff to deliver safe and effective care and services to consumers. Consumers described staff as kind, caring and respectful, and felt staff were competent and knowledgeable in delivering care and services. Consumers were confident the workforce delivering care and services and adequately skilled, supported and trained, and were satisfied with the performance of staff. </w:t>
      </w:r>
    </w:p>
    <w:p w14:paraId="53B6C12C" w14:textId="77777777" w:rsidR="009E374E" w:rsidRDefault="009E374E" w:rsidP="001F5BD5">
      <w:pPr>
        <w:pStyle w:val="NormalArial"/>
        <w:rPr>
          <w:rFonts w:ascii="Open Sans" w:hAnsi="Open Sans" w:cs="Open Sans"/>
        </w:rPr>
      </w:pPr>
      <w:r>
        <w:rPr>
          <w:rFonts w:ascii="Open Sans" w:hAnsi="Open Sans" w:cs="Open Sans"/>
        </w:rPr>
        <w:t xml:space="preserve">Staff described how they ensure care and services are delivered respectfully, through ensuring they respect the identity, culture, and diversity of consumers they care for. Staff confirmed they receive regular training, including face-to face, mandatory training modules and toolbox sessions, to ensure they have the skills and knowledge to effectively perform their roles. Staff confirmed recruitment processes include applications and interviews, with orientation and buddy shifts undertaken upon commencement of employment. Staff described undertaking annual performance appraisals and how they are used to identify learning and development opportunities. </w:t>
      </w:r>
    </w:p>
    <w:p w14:paraId="251DA71A" w14:textId="77777777" w:rsidR="009E374E" w:rsidRDefault="009E374E" w:rsidP="001F5BD5">
      <w:pPr>
        <w:pStyle w:val="NormalArial"/>
        <w:rPr>
          <w:rFonts w:ascii="Open Sans" w:hAnsi="Open Sans" w:cs="Open Sans"/>
        </w:rPr>
      </w:pPr>
      <w:r>
        <w:rPr>
          <w:rFonts w:ascii="Open Sans" w:hAnsi="Open Sans" w:cs="Open Sans"/>
        </w:rPr>
        <w:t xml:space="preserve">Management described systems in place to manage workforce numbers to ensure consumer needs are met, including processes to backfill leave with agency staff where required. Management confirmed each role has a </w:t>
      </w:r>
      <w:r>
        <w:rPr>
          <w:rFonts w:ascii="Open Sans" w:hAnsi="Open Sans" w:cs="Open Sans"/>
        </w:rPr>
        <w:lastRenderedPageBreak/>
        <w:t xml:space="preserve">corresponding job description and duty statement which outlines the required competencies, responsibilities, and reporting lines for the role. Management demonstrated staff appraisals are monitored and undertaken annually, with performance monitored through observations, feedback from consumers and incidents. </w:t>
      </w:r>
    </w:p>
    <w:p w14:paraId="7DA05C6B" w14:textId="77777777" w:rsidR="009E374E" w:rsidRPr="00D86FAE" w:rsidRDefault="009E374E" w:rsidP="001F5BD5">
      <w:pPr>
        <w:pStyle w:val="ListBullet"/>
        <w:numPr>
          <w:ilvl w:val="0"/>
          <w:numId w:val="0"/>
        </w:numPr>
        <w:spacing w:before="0" w:after="120"/>
        <w:rPr>
          <w:rFonts w:ascii="Open Sans" w:hAnsi="Open Sans" w:cs="Open Sans"/>
        </w:rPr>
      </w:pPr>
      <w:r>
        <w:rPr>
          <w:rFonts w:ascii="Open Sans" w:hAnsi="Open Sans" w:cs="Open Sans"/>
        </w:rPr>
        <w:t xml:space="preserve">Rosters and staff allocation showed the service has enough staff with the right skills to deliver safe and quality care and services, including registered nursing staff on site 24 hours a day. New staff are provided with a buddy and mentor to allow experience staff to model appropriate behaviours. </w:t>
      </w:r>
      <w:r w:rsidRPr="00122E4E">
        <w:rPr>
          <w:rFonts w:ascii="Open Sans" w:hAnsi="Open Sans" w:cs="Open Sans"/>
        </w:rPr>
        <w:t>Capability checks are completed prior to care services being undertaken and the service has review mechanisms to ensure qualifications are maintained for all staff.</w:t>
      </w:r>
      <w:r>
        <w:rPr>
          <w:rFonts w:ascii="Open Sans" w:hAnsi="Open Sans" w:cs="Open Sans"/>
        </w:rPr>
        <w:t xml:space="preserve"> Staff files demonstrated staff have the appropriate qualification and clearances required to undertake their roles, with training records demonstrating staff are provided with mandatory and ongoing training. </w:t>
      </w:r>
      <w:r w:rsidRPr="00122E4E">
        <w:rPr>
          <w:rFonts w:ascii="Open Sans" w:hAnsi="Open Sans" w:cs="Open Sans"/>
        </w:rPr>
        <w:t>The service has a formal annual appraisal process for staff performance, and policies and procedures to guide management and its workforce through all aspects of performance management and incident management.</w:t>
      </w:r>
    </w:p>
    <w:p w14:paraId="20266971" w14:textId="5134FB4A" w:rsidR="00243570" w:rsidRPr="001E694D" w:rsidRDefault="009E374E" w:rsidP="001F5BD5">
      <w:pPr>
        <w:pStyle w:val="NormalArial"/>
        <w:rPr>
          <w:rFonts w:ascii="Open Sans" w:hAnsi="Open Sans" w:cs="Open Sans"/>
        </w:rPr>
      </w:pPr>
      <w:r>
        <w:rPr>
          <w:rFonts w:ascii="Open Sans" w:hAnsi="Open Sans" w:cs="Open Sans"/>
        </w:rPr>
        <w:t>Based on the assessment team’s report, I find all requirements in Standard 7 Human resources compl</w:t>
      </w:r>
      <w:r w:rsidR="00727430">
        <w:rPr>
          <w:rFonts w:ascii="Open Sans" w:hAnsi="Open Sans" w:cs="Open Sans"/>
        </w:rPr>
        <w:t>ia</w:t>
      </w:r>
      <w:r>
        <w:rPr>
          <w:rFonts w:ascii="Open Sans" w:hAnsi="Open Sans" w:cs="Open Sans"/>
        </w:rPr>
        <w:t xml:space="preserve">nt, therefore the Standard is compliant. </w:t>
      </w:r>
    </w:p>
    <w:p w14:paraId="7CA7DE00" w14:textId="77777777" w:rsidR="00243570" w:rsidRPr="001E694D" w:rsidRDefault="00000000" w:rsidP="0036130C">
      <w:pPr>
        <w:pStyle w:val="NormalArial"/>
        <w:rPr>
          <w:rFonts w:ascii="Open Sans" w:hAnsi="Open Sans" w:cs="Open Sans"/>
        </w:rPr>
      </w:pPr>
      <w:r w:rsidRPr="001E694D">
        <w:rPr>
          <w:rFonts w:ascii="Open Sans" w:hAnsi="Open Sans" w:cs="Open Sans"/>
        </w:rPr>
        <w:br w:type="page"/>
      </w:r>
    </w:p>
    <w:p w14:paraId="4EFCB0EB" w14:textId="77777777" w:rsidR="00243570" w:rsidRPr="001E694D" w:rsidRDefault="000000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937671" w14:paraId="63FEBB64" w14:textId="77777777" w:rsidTr="009E3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F1BF838" w14:textId="77777777" w:rsidR="00243570" w:rsidRPr="001E694D" w:rsidRDefault="0000000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7F0E55CE" w14:textId="77777777" w:rsidR="00243570" w:rsidRPr="001E694D" w:rsidRDefault="0024357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37671" w14:paraId="212B4430" w14:textId="77777777" w:rsidTr="009E374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E67D966"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8(3)(a)</w:t>
            </w:r>
          </w:p>
        </w:tc>
        <w:tc>
          <w:tcPr>
            <w:tcW w:w="5804" w:type="dxa"/>
            <w:shd w:val="clear" w:color="auto" w:fill="auto"/>
          </w:tcPr>
          <w:p w14:paraId="310BF160"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761" w:type="dxa"/>
            <w:shd w:val="clear" w:color="auto" w:fill="auto"/>
          </w:tcPr>
          <w:p w14:paraId="3237C91E"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0850456"/>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2154002C" w14:textId="77777777" w:rsidTr="009E3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3E3B96F"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224DA28E"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61" w:type="dxa"/>
            <w:shd w:val="clear" w:color="auto" w:fill="auto"/>
          </w:tcPr>
          <w:p w14:paraId="1761E327"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4669966"/>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1096C297" w14:textId="77777777" w:rsidTr="009E374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E9769E2"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01C5CB09"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C0ADA22"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75F173A"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60B0AD9"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0AC0D8F"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39101E9"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D03351D" w14:textId="77777777" w:rsidR="00243570" w:rsidRPr="001E694D" w:rsidRDefault="0000000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7F1981D5"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7415240"/>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7DD3C582" w14:textId="77777777" w:rsidTr="009E3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2B3D83A"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487AD37B" w14:textId="77777777" w:rsidR="00243570"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B0FE82F" w14:textId="77777777" w:rsidR="00243570"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C4B1D08" w14:textId="77777777" w:rsidR="00243570"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8A57A1A" w14:textId="77777777" w:rsidR="00243570"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F49E1C7" w14:textId="77777777" w:rsidR="00243570" w:rsidRPr="001E694D" w:rsidRDefault="0000000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067812F" w14:textId="77777777" w:rsidR="00243570"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4162394"/>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r w:rsidR="00937671" w14:paraId="17E33DBA" w14:textId="77777777" w:rsidTr="009E374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04CF979" w14:textId="77777777" w:rsidR="00243570" w:rsidRPr="001E694D" w:rsidRDefault="00000000"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640B6A80" w14:textId="77777777" w:rsidR="00243570"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5019EA6" w14:textId="77777777" w:rsidR="00243570"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A2FFA3B" w14:textId="77777777" w:rsidR="00243570"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D9F7E8E" w14:textId="77777777" w:rsidR="00243570" w:rsidRPr="001E694D" w:rsidRDefault="0000000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5AC6CE3F" w14:textId="77777777" w:rsidR="00243570"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5776408"/>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Pr="001E694D">
                  <w:rPr>
                    <w:rFonts w:ascii="Open Sans" w:hAnsi="Open Sans" w:cs="Open Sans"/>
                  </w:rPr>
                  <w:t>Compliant</w:t>
                </w:r>
              </w:sdtContent>
            </w:sdt>
          </w:p>
        </w:tc>
      </w:tr>
    </w:tbl>
    <w:p w14:paraId="4CEF36AC" w14:textId="77777777" w:rsidR="009E374E" w:rsidRPr="003E162B" w:rsidRDefault="009E374E" w:rsidP="009E374E">
      <w:pPr>
        <w:pStyle w:val="Heading20"/>
        <w:rPr>
          <w:rFonts w:ascii="Open Sans" w:hAnsi="Open Sans" w:cs="Open Sans"/>
          <w:color w:val="781E77"/>
        </w:rPr>
      </w:pPr>
      <w:r w:rsidRPr="003E162B">
        <w:rPr>
          <w:rFonts w:ascii="Open Sans" w:hAnsi="Open Sans" w:cs="Open Sans"/>
          <w:color w:val="781E77"/>
        </w:rPr>
        <w:lastRenderedPageBreak/>
        <w:t>Findings</w:t>
      </w:r>
    </w:p>
    <w:p w14:paraId="10113902" w14:textId="77777777" w:rsidR="009E374E" w:rsidRDefault="009E374E" w:rsidP="001F5BD5">
      <w:pPr>
        <w:pStyle w:val="NormalArial"/>
        <w:rPr>
          <w:rFonts w:ascii="Open Sans" w:hAnsi="Open Sans" w:cs="Open Sans"/>
          <w:color w:val="auto"/>
        </w:rPr>
      </w:pPr>
      <w:r>
        <w:rPr>
          <w:rFonts w:ascii="Open Sans" w:hAnsi="Open Sans" w:cs="Open Sans"/>
          <w:color w:val="auto"/>
        </w:rPr>
        <w:t xml:space="preserve">Consumers confirmed they are engaged and encouraged to be involved in the development, delivery and evaluation of care and services. </w:t>
      </w:r>
      <w:r w:rsidRPr="00B641F2">
        <w:rPr>
          <w:rFonts w:ascii="Open Sans" w:hAnsi="Open Sans" w:cs="Open Sans"/>
        </w:rPr>
        <w:t>Consumers are encouraged to provide feedback through multiple avenues</w:t>
      </w:r>
      <w:r>
        <w:rPr>
          <w:rFonts w:ascii="Open Sans" w:hAnsi="Open Sans" w:cs="Open Sans"/>
        </w:rPr>
        <w:t>,</w:t>
      </w:r>
      <w:r w:rsidRPr="00B641F2">
        <w:rPr>
          <w:rFonts w:ascii="Open Sans" w:hAnsi="Open Sans" w:cs="Open Sans"/>
        </w:rPr>
        <w:t xml:space="preserve"> including resident and relative meetings</w:t>
      </w:r>
      <w:r>
        <w:rPr>
          <w:rFonts w:ascii="Open Sans" w:hAnsi="Open Sans" w:cs="Open Sans"/>
        </w:rPr>
        <w:t>, resident focus groups and annual surveys</w:t>
      </w:r>
      <w:r w:rsidRPr="00B641F2">
        <w:rPr>
          <w:rFonts w:ascii="Open Sans" w:hAnsi="Open Sans" w:cs="Open Sans"/>
        </w:rPr>
        <w:t>, with outcomes and feedback discussed at the monthly board meetings.</w:t>
      </w:r>
      <w:r>
        <w:rPr>
          <w:rFonts w:ascii="Open Sans" w:hAnsi="Open Sans" w:cs="Open Sans"/>
        </w:rPr>
        <w:t xml:space="preserve"> The organisation has a consumer advisory board, with 2 consumers from the service active on the board. Staff described how consumers are engaged in the development of lifestyle activities at the service. </w:t>
      </w:r>
    </w:p>
    <w:p w14:paraId="7FC4B101" w14:textId="77777777" w:rsidR="009E374E" w:rsidRPr="00BB3FB5" w:rsidRDefault="009E374E" w:rsidP="001F5BD5">
      <w:pPr>
        <w:pStyle w:val="ListBullet"/>
        <w:numPr>
          <w:ilvl w:val="0"/>
          <w:numId w:val="0"/>
        </w:numPr>
        <w:spacing w:before="0" w:after="120"/>
        <w:rPr>
          <w:rFonts w:ascii="Open Sans" w:hAnsi="Open Sans" w:cs="Open Sans"/>
        </w:rPr>
      </w:pPr>
      <w:r>
        <w:rPr>
          <w:rFonts w:ascii="Open Sans" w:hAnsi="Open Sans" w:cs="Open Sans"/>
          <w:color w:val="auto"/>
        </w:rPr>
        <w:t xml:space="preserve">The organisation’s governing body includes members with various fields of expertise and are involved in the four sub-committees supporting the governing body. Governing body members attend resident and relative meetings to engage with consumers, which consumers confirmed. </w:t>
      </w:r>
      <w:r w:rsidRPr="00BB3FB5">
        <w:rPr>
          <w:rFonts w:ascii="Open Sans" w:hAnsi="Open Sans" w:cs="Open Sans"/>
        </w:rPr>
        <w:t xml:space="preserve">Management and documentation </w:t>
      </w:r>
      <w:r>
        <w:rPr>
          <w:rFonts w:ascii="Open Sans" w:hAnsi="Open Sans" w:cs="Open Sans"/>
        </w:rPr>
        <w:t>demonstrated</w:t>
      </w:r>
      <w:r w:rsidRPr="00BB3FB5">
        <w:rPr>
          <w:rFonts w:ascii="Open Sans" w:hAnsi="Open Sans" w:cs="Open Sans"/>
        </w:rPr>
        <w:t xml:space="preserve"> the service’s leadership group reports to the governing body on a range of matters to ensure the safe and quality delivery of care and services</w:t>
      </w:r>
      <w:r>
        <w:rPr>
          <w:rFonts w:ascii="Open Sans" w:hAnsi="Open Sans" w:cs="Open Sans"/>
        </w:rPr>
        <w:t>.</w:t>
      </w:r>
      <w:r w:rsidRPr="00BB3FB5">
        <w:rPr>
          <w:rFonts w:ascii="Open Sans" w:hAnsi="Open Sans" w:cs="Open Sans"/>
        </w:rPr>
        <w:t xml:space="preserve"> Policies and procedures approved by the governing body outline the </w:t>
      </w:r>
      <w:r>
        <w:rPr>
          <w:rFonts w:ascii="Open Sans" w:hAnsi="Open Sans" w:cs="Open Sans"/>
        </w:rPr>
        <w:t>organisation’s</w:t>
      </w:r>
      <w:r w:rsidRPr="00BB3FB5">
        <w:rPr>
          <w:rFonts w:ascii="Open Sans" w:hAnsi="Open Sans" w:cs="Open Sans"/>
        </w:rPr>
        <w:t xml:space="preserve"> commitment to safe and quality care. </w:t>
      </w:r>
    </w:p>
    <w:p w14:paraId="37C764CE" w14:textId="77777777" w:rsidR="009E374E" w:rsidRPr="008045FC" w:rsidRDefault="009E374E" w:rsidP="001F5BD5">
      <w:pPr>
        <w:pStyle w:val="ListBullet"/>
        <w:numPr>
          <w:ilvl w:val="0"/>
          <w:numId w:val="0"/>
        </w:numPr>
        <w:spacing w:before="0" w:after="120"/>
        <w:rPr>
          <w:rFonts w:ascii="Open Sans" w:hAnsi="Open Sans" w:cs="Open Sans"/>
        </w:rPr>
      </w:pPr>
      <w:r>
        <w:rPr>
          <w:rFonts w:ascii="Open Sans" w:hAnsi="Open Sans" w:cs="Open Sans"/>
          <w:color w:val="auto"/>
        </w:rPr>
        <w:t xml:space="preserve">The organisation has effective organisational-wide governance systems relating to </w:t>
      </w:r>
      <w:r w:rsidRPr="008045FC">
        <w:rPr>
          <w:rFonts w:ascii="Open Sans" w:hAnsi="Open Sans" w:cs="Open Sans"/>
        </w:rPr>
        <w:t>information management, continuous improvement, financial governance, workforce governance, regulatory compliance and feedback and complaints.</w:t>
      </w:r>
      <w:r>
        <w:rPr>
          <w:rFonts w:ascii="Open Sans" w:hAnsi="Open Sans" w:cs="Open Sans"/>
        </w:rPr>
        <w:t xml:space="preserve"> </w:t>
      </w:r>
      <w:r w:rsidRPr="008045FC">
        <w:rPr>
          <w:rFonts w:ascii="Open Sans" w:hAnsi="Open Sans" w:cs="Open Sans"/>
        </w:rPr>
        <w:t xml:space="preserve">The </w:t>
      </w:r>
      <w:r>
        <w:rPr>
          <w:rFonts w:ascii="Open Sans" w:hAnsi="Open Sans" w:cs="Open Sans"/>
        </w:rPr>
        <w:t>organisation</w:t>
      </w:r>
      <w:r w:rsidRPr="008045FC">
        <w:rPr>
          <w:rFonts w:ascii="Open Sans" w:hAnsi="Open Sans" w:cs="Open Sans"/>
        </w:rPr>
        <w:t xml:space="preserve"> is supported by a range of policies and procedures to ensure effective governance systems and communications.</w:t>
      </w:r>
      <w:r>
        <w:rPr>
          <w:rFonts w:ascii="Open Sans" w:hAnsi="Open Sans" w:cs="Open Sans"/>
        </w:rPr>
        <w:t xml:space="preserve"> The electronic documentation system is password protected, with staff access to information restricted by their roles. The organisation’s continuous improvement system is driven by data from feedback and complaints, surveys, consumer meetings, clinical audits and indicators and incident reports. </w:t>
      </w:r>
      <w:r w:rsidRPr="008045FC">
        <w:rPr>
          <w:rFonts w:ascii="Open Sans" w:hAnsi="Open Sans" w:cs="Open Sans"/>
        </w:rPr>
        <w:t xml:space="preserve">The </w:t>
      </w:r>
      <w:r>
        <w:rPr>
          <w:rFonts w:ascii="Open Sans" w:hAnsi="Open Sans" w:cs="Open Sans"/>
        </w:rPr>
        <w:t>organisation</w:t>
      </w:r>
      <w:r w:rsidRPr="008045FC">
        <w:rPr>
          <w:rFonts w:ascii="Open Sans" w:hAnsi="Open Sans" w:cs="Open Sans"/>
        </w:rPr>
        <w:t xml:space="preserve"> demonstrated effective systems in relation to financial governance with allocated budgets for staffing, </w:t>
      </w:r>
      <w:r>
        <w:rPr>
          <w:rFonts w:ascii="Open Sans" w:hAnsi="Open Sans" w:cs="Open Sans"/>
        </w:rPr>
        <w:t>which</w:t>
      </w:r>
      <w:r w:rsidRPr="008045FC">
        <w:rPr>
          <w:rFonts w:ascii="Open Sans" w:hAnsi="Open Sans" w:cs="Open Sans"/>
        </w:rPr>
        <w:t xml:space="preserve"> is based on consumer acuity.</w:t>
      </w:r>
      <w:r w:rsidRPr="000E7582">
        <w:rPr>
          <w:rFonts w:ascii="Open Sans" w:hAnsi="Open Sans" w:cs="Open Sans"/>
        </w:rPr>
        <w:t xml:space="preserve"> </w:t>
      </w:r>
      <w:r w:rsidRPr="008045FC">
        <w:rPr>
          <w:rFonts w:ascii="Open Sans" w:hAnsi="Open Sans" w:cs="Open Sans"/>
        </w:rPr>
        <w:t xml:space="preserve">Staff </w:t>
      </w:r>
      <w:r>
        <w:rPr>
          <w:rFonts w:ascii="Open Sans" w:hAnsi="Open Sans" w:cs="Open Sans"/>
        </w:rPr>
        <w:t>confirmed</w:t>
      </w:r>
      <w:r w:rsidRPr="008045FC">
        <w:rPr>
          <w:rFonts w:ascii="Open Sans" w:hAnsi="Open Sans" w:cs="Open Sans"/>
        </w:rPr>
        <w:t xml:space="preserve"> they </w:t>
      </w:r>
      <w:r>
        <w:rPr>
          <w:rFonts w:ascii="Open Sans" w:hAnsi="Open Sans" w:cs="Open Sans"/>
        </w:rPr>
        <w:t>have</w:t>
      </w:r>
      <w:r w:rsidRPr="008045FC">
        <w:rPr>
          <w:rFonts w:ascii="Open Sans" w:hAnsi="Open Sans" w:cs="Open Sans"/>
        </w:rPr>
        <w:t xml:space="preserve"> access</w:t>
      </w:r>
      <w:r>
        <w:rPr>
          <w:rFonts w:ascii="Open Sans" w:hAnsi="Open Sans" w:cs="Open Sans"/>
        </w:rPr>
        <w:t xml:space="preserve"> to</w:t>
      </w:r>
      <w:r w:rsidRPr="008045FC">
        <w:rPr>
          <w:rFonts w:ascii="Open Sans" w:hAnsi="Open Sans" w:cs="Open Sans"/>
        </w:rPr>
        <w:t xml:space="preserve"> the equipment and supplies they require to </w:t>
      </w:r>
      <w:r>
        <w:rPr>
          <w:rFonts w:ascii="Open Sans" w:hAnsi="Open Sans" w:cs="Open Sans"/>
        </w:rPr>
        <w:t>deliver</w:t>
      </w:r>
      <w:r w:rsidRPr="008045FC">
        <w:rPr>
          <w:rFonts w:ascii="Open Sans" w:hAnsi="Open Sans" w:cs="Open Sans"/>
        </w:rPr>
        <w:t xml:space="preserve"> safe and quality care and services. </w:t>
      </w:r>
      <w:r>
        <w:rPr>
          <w:rFonts w:ascii="Open Sans" w:hAnsi="Open Sans" w:cs="Open Sans"/>
        </w:rPr>
        <w:t xml:space="preserve">The organisation has a centralised human resources team to assist with recruitment and training, with policies and procedures in place to guide staff performance monitoring. </w:t>
      </w:r>
      <w:r w:rsidRPr="008045FC">
        <w:rPr>
          <w:rFonts w:ascii="Open Sans" w:hAnsi="Open Sans" w:cs="Open Sans"/>
        </w:rPr>
        <w:t>The organisation monitors changes to legislation and reforms and actively monitors the websites for the Aged Care Quality and Safety Commission and Health Department to keep up to date</w:t>
      </w:r>
      <w:r>
        <w:rPr>
          <w:rFonts w:ascii="Open Sans" w:hAnsi="Open Sans" w:cs="Open Sans"/>
        </w:rPr>
        <w:t xml:space="preserve"> and implement relevant</w:t>
      </w:r>
      <w:r w:rsidRPr="008045FC">
        <w:rPr>
          <w:rFonts w:ascii="Open Sans" w:hAnsi="Open Sans" w:cs="Open Sans"/>
        </w:rPr>
        <w:t xml:space="preserve"> changes</w:t>
      </w:r>
      <w:r>
        <w:rPr>
          <w:rFonts w:ascii="Open Sans" w:hAnsi="Open Sans" w:cs="Open Sans"/>
        </w:rPr>
        <w:t>.</w:t>
      </w:r>
      <w:r w:rsidRPr="00912266">
        <w:rPr>
          <w:rFonts w:ascii="Open Sans" w:hAnsi="Open Sans" w:cs="Open Sans"/>
        </w:rPr>
        <w:t xml:space="preserve"> </w:t>
      </w:r>
      <w:r w:rsidRPr="008045FC">
        <w:rPr>
          <w:rFonts w:ascii="Open Sans" w:hAnsi="Open Sans" w:cs="Open Sans"/>
        </w:rPr>
        <w:t xml:space="preserve">The </w:t>
      </w:r>
      <w:r>
        <w:rPr>
          <w:rFonts w:ascii="Open Sans" w:hAnsi="Open Sans" w:cs="Open Sans"/>
        </w:rPr>
        <w:t>organisation</w:t>
      </w:r>
      <w:r w:rsidRPr="008045FC">
        <w:rPr>
          <w:rFonts w:ascii="Open Sans" w:hAnsi="Open Sans" w:cs="Open Sans"/>
        </w:rPr>
        <w:t xml:space="preserve"> has mechanisms in place for consumers, representatives and staff to provide feedback including via written feedback forms, surveys, in person and during residents’ or staff meetings.</w:t>
      </w:r>
    </w:p>
    <w:p w14:paraId="77730CF9" w14:textId="77777777" w:rsidR="009E374E" w:rsidRDefault="009E374E" w:rsidP="001F5BD5">
      <w:pPr>
        <w:pStyle w:val="NormalArial"/>
        <w:rPr>
          <w:rFonts w:ascii="Open Sans" w:hAnsi="Open Sans" w:cs="Open Sans"/>
        </w:rPr>
      </w:pPr>
      <w:r>
        <w:rPr>
          <w:rFonts w:ascii="Open Sans" w:hAnsi="Open Sans" w:cs="Open Sans"/>
          <w:color w:val="auto"/>
        </w:rPr>
        <w:t xml:space="preserve">The organisation demonstrated an effective risk management framework in place, including </w:t>
      </w:r>
      <w:r w:rsidRPr="008045FC">
        <w:rPr>
          <w:rFonts w:ascii="Open Sans" w:hAnsi="Open Sans" w:cs="Open Sans"/>
        </w:rPr>
        <w:t xml:space="preserve">management of high impact or high prevalence risks, identifying, and responding to abuse and neglect, management and prevention of incidents </w:t>
      </w:r>
      <w:r w:rsidRPr="008045FC">
        <w:rPr>
          <w:rFonts w:ascii="Open Sans" w:hAnsi="Open Sans" w:cs="Open Sans"/>
        </w:rPr>
        <w:lastRenderedPageBreak/>
        <w:t>and supporting consumers to live their best life.</w:t>
      </w:r>
      <w:r w:rsidRPr="0083245B">
        <w:rPr>
          <w:rFonts w:ascii="Open Sans" w:hAnsi="Open Sans" w:cs="Open Sans"/>
        </w:rPr>
        <w:t xml:space="preserve"> </w:t>
      </w:r>
      <w:r w:rsidRPr="008045FC">
        <w:rPr>
          <w:rFonts w:ascii="Open Sans" w:hAnsi="Open Sans" w:cs="Open Sans"/>
        </w:rPr>
        <w:t>Embedded assessment, review and reporting of care needs and incident data ensures the analysis of quality indicators of care and incidents, and mandatory reporting data is completed.</w:t>
      </w:r>
      <w:r>
        <w:rPr>
          <w:rFonts w:ascii="Open Sans" w:hAnsi="Open Sans" w:cs="Open Sans"/>
        </w:rPr>
        <w:t xml:space="preserve"> High impact and high prevalence risks are identified through clinical assessments, incidents and progress note reviews, with data analysed and reported to the governing body. Staff confirmed they have received training in relation to the serious incident response scheme (SIRS), how to identify incidence and risks and escalation processes. An electronic incident management system ensures all incidents are documented, investigated, and actioned or reported through SIRS if required. Management described how consumers are supported to live the best life they can through assessment and planning processes, underpinned by policies and procedures. </w:t>
      </w:r>
    </w:p>
    <w:p w14:paraId="13C59A01" w14:textId="77777777" w:rsidR="009E374E" w:rsidRPr="00A3378F" w:rsidRDefault="009E374E" w:rsidP="001F5BD5">
      <w:pPr>
        <w:pStyle w:val="ListBullet"/>
        <w:numPr>
          <w:ilvl w:val="0"/>
          <w:numId w:val="0"/>
        </w:numPr>
        <w:spacing w:before="0" w:after="120"/>
        <w:rPr>
          <w:rFonts w:ascii="Open Sans" w:hAnsi="Open Sans" w:cs="Open Sans"/>
        </w:rPr>
      </w:pPr>
      <w:r>
        <w:rPr>
          <w:rFonts w:ascii="Open Sans" w:hAnsi="Open Sans" w:cs="Open Sans"/>
        </w:rPr>
        <w:t xml:space="preserve">The organisation has a clinical governance framework in place, including </w:t>
      </w:r>
      <w:r w:rsidRPr="00A3378F">
        <w:rPr>
          <w:rFonts w:ascii="Open Sans" w:hAnsi="Open Sans" w:cs="Open Sans"/>
        </w:rPr>
        <w:t>but not limited to antimicrobial stewardship, minimising the use of restraints and the use of open disclosure.</w:t>
      </w:r>
      <w:r>
        <w:rPr>
          <w:rFonts w:ascii="Open Sans" w:hAnsi="Open Sans" w:cs="Open Sans"/>
        </w:rPr>
        <w:t xml:space="preserve"> Consumers confirmed they receive clinical care which is appropriate for their needs. </w:t>
      </w:r>
      <w:r w:rsidRPr="00A3378F">
        <w:rPr>
          <w:rFonts w:ascii="Open Sans" w:hAnsi="Open Sans" w:cs="Open Sans"/>
        </w:rPr>
        <w:t>The service has an antimicrobial stewardship policy and promotes it by documenting, monitoring, and reviewing all antibiotic prescribing.</w:t>
      </w:r>
      <w:r>
        <w:rPr>
          <w:rFonts w:ascii="Open Sans" w:hAnsi="Open Sans" w:cs="Open Sans"/>
        </w:rPr>
        <w:t xml:space="preserve"> Staff are supported to promote and educate consumers on the use of antibiotics. Restrictive practices are monitored through a restrictive practice register, with policies to support staff in the responsible use of restrictive practices. </w:t>
      </w:r>
      <w:r w:rsidRPr="00A3378F">
        <w:rPr>
          <w:rFonts w:ascii="Open Sans" w:hAnsi="Open Sans" w:cs="Open Sans"/>
        </w:rPr>
        <w:t>Governance systems identified roles and responsibilities for staff for oversight and management of restrictive practices including reporting notification obligations and or escalation if inappropriate use of restrictive practices is identified. Policies and procedures are in place to support staff through incident management and the practice of open disclosure throughout the investigation, resolution, and process improvement stages.</w:t>
      </w:r>
      <w:r>
        <w:rPr>
          <w:rFonts w:ascii="Open Sans" w:hAnsi="Open Sans" w:cs="Open Sans"/>
        </w:rPr>
        <w:t xml:space="preserve"> Staff were familiar with open disclosure principles and described the use of open disclosure in practice. </w:t>
      </w:r>
    </w:p>
    <w:p w14:paraId="1EB1E16C" w14:textId="41622855" w:rsidR="009E374E" w:rsidRPr="007A2323" w:rsidRDefault="009E374E" w:rsidP="001F5BD5">
      <w:pPr>
        <w:pStyle w:val="NormalArial"/>
        <w:rPr>
          <w:rFonts w:ascii="Open Sans" w:hAnsi="Open Sans" w:cs="Open Sans"/>
          <w:color w:val="auto"/>
        </w:rPr>
      </w:pPr>
      <w:r>
        <w:rPr>
          <w:rFonts w:ascii="Open Sans" w:hAnsi="Open Sans" w:cs="Open Sans"/>
        </w:rPr>
        <w:t>Based on the assessment team’s report, I find all requirements in Standard 8 Organisational Governance compliant, therefore the Standard is compliant.</w:t>
      </w:r>
    </w:p>
    <w:sectPr w:rsidR="009E374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4E3A" w14:textId="77777777" w:rsidR="000F5A58" w:rsidRDefault="000F5A58">
      <w:pPr>
        <w:spacing w:after="0"/>
      </w:pPr>
      <w:r>
        <w:separator/>
      </w:r>
    </w:p>
  </w:endnote>
  <w:endnote w:type="continuationSeparator" w:id="0">
    <w:p w14:paraId="0ED28A28" w14:textId="77777777" w:rsidR="000F5A58" w:rsidRDefault="000F5A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BC77" w14:textId="77777777" w:rsidR="00243570" w:rsidRPr="00DF37F2" w:rsidRDefault="0000000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Regis Woodlands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9D026A" w14:textId="77777777" w:rsidR="00243570" w:rsidRPr="00DF37F2" w:rsidRDefault="0000000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7461</w:t>
    </w:r>
    <w:bookmarkEnd w:id="2"/>
    <w:r w:rsidRPr="00DF37F2">
      <w:rPr>
        <w:rStyle w:val="FooterBold"/>
        <w:rFonts w:ascii="Arial" w:hAnsi="Arial"/>
        <w:b w:val="0"/>
      </w:rPr>
      <w:tab/>
      <w:t xml:space="preserve">OFFICIAL: Sensitive </w:t>
    </w:r>
  </w:p>
  <w:p w14:paraId="3672668A" w14:textId="77777777" w:rsidR="00243570" w:rsidRPr="00DF37F2" w:rsidRDefault="0000000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397F" w14:textId="77777777" w:rsidR="00243570" w:rsidRDefault="0024357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2136" w14:textId="77777777" w:rsidR="000F5A58" w:rsidRDefault="000F5A58" w:rsidP="00D71F88">
      <w:pPr>
        <w:spacing w:after="0"/>
      </w:pPr>
      <w:r>
        <w:separator/>
      </w:r>
    </w:p>
  </w:footnote>
  <w:footnote w:type="continuationSeparator" w:id="0">
    <w:p w14:paraId="562FE1B5" w14:textId="77777777" w:rsidR="000F5A58" w:rsidRDefault="000F5A58" w:rsidP="00D71F88">
      <w:pPr>
        <w:spacing w:after="0"/>
      </w:pPr>
      <w:r>
        <w:continuationSeparator/>
      </w:r>
    </w:p>
  </w:footnote>
  <w:footnote w:id="1">
    <w:p w14:paraId="738E2EAA" w14:textId="4B37FF00" w:rsidR="00243570" w:rsidRPr="005D00C1" w:rsidRDefault="00000000" w:rsidP="005D00C1">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74DD5">
        <w:rPr>
          <w:rFonts w:ascii="Arial" w:hAnsi="Arial"/>
          <w:sz w:val="20"/>
          <w:szCs w:val="20"/>
        </w:rPr>
        <w:t>40A</w:t>
      </w:r>
      <w:r w:rsidR="00D74DD5" w:rsidRPr="00D74DD5">
        <w:rPr>
          <w:rFonts w:ascii="Arial" w:hAnsi="Arial"/>
          <w:sz w:val="20"/>
          <w:szCs w:val="20"/>
        </w:rPr>
        <w:t xml:space="preserve">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8038" w14:textId="77777777" w:rsidR="00243570" w:rsidRDefault="00000000">
    <w:pPr>
      <w:pStyle w:val="Header"/>
    </w:pPr>
    <w:r>
      <w:rPr>
        <w:noProof/>
        <w:color w:val="2B579A"/>
        <w:shd w:val="clear" w:color="auto" w:fill="E6E6E6"/>
        <w:lang w:val="en-US"/>
      </w:rPr>
      <w:drawing>
        <wp:anchor distT="0" distB="0" distL="114300" distR="114300" simplePos="0" relativeHeight="251658241" behindDoc="1" locked="0" layoutInCell="1" allowOverlap="1" wp14:anchorId="3370B2CE" wp14:editId="05884D1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E6D3" w14:textId="77777777" w:rsidR="00243570" w:rsidRDefault="00000000">
    <w:pPr>
      <w:pStyle w:val="Header"/>
    </w:pPr>
    <w:r>
      <w:rPr>
        <w:noProof/>
      </w:rPr>
      <w:drawing>
        <wp:anchor distT="0" distB="0" distL="114300" distR="114300" simplePos="0" relativeHeight="251658240" behindDoc="0" locked="0" layoutInCell="1" allowOverlap="1" wp14:anchorId="59027DC4" wp14:editId="4F9F9F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62A3F8A">
      <w:start w:val="1"/>
      <w:numFmt w:val="lowerRoman"/>
      <w:lvlText w:val="(%1)"/>
      <w:lvlJc w:val="left"/>
      <w:pPr>
        <w:ind w:left="1080" w:hanging="720"/>
      </w:pPr>
      <w:rPr>
        <w:rFonts w:hint="default"/>
      </w:rPr>
    </w:lvl>
    <w:lvl w:ilvl="1" w:tplc="E3A493D4" w:tentative="1">
      <w:start w:val="1"/>
      <w:numFmt w:val="lowerLetter"/>
      <w:lvlText w:val="%2."/>
      <w:lvlJc w:val="left"/>
      <w:pPr>
        <w:ind w:left="1440" w:hanging="360"/>
      </w:pPr>
    </w:lvl>
    <w:lvl w:ilvl="2" w:tplc="93DAB988" w:tentative="1">
      <w:start w:val="1"/>
      <w:numFmt w:val="lowerRoman"/>
      <w:lvlText w:val="%3."/>
      <w:lvlJc w:val="right"/>
      <w:pPr>
        <w:ind w:left="2160" w:hanging="180"/>
      </w:pPr>
    </w:lvl>
    <w:lvl w:ilvl="3" w:tplc="49803DFC" w:tentative="1">
      <w:start w:val="1"/>
      <w:numFmt w:val="decimal"/>
      <w:lvlText w:val="%4."/>
      <w:lvlJc w:val="left"/>
      <w:pPr>
        <w:ind w:left="2880" w:hanging="360"/>
      </w:pPr>
    </w:lvl>
    <w:lvl w:ilvl="4" w:tplc="4A32D938" w:tentative="1">
      <w:start w:val="1"/>
      <w:numFmt w:val="lowerLetter"/>
      <w:lvlText w:val="%5."/>
      <w:lvlJc w:val="left"/>
      <w:pPr>
        <w:ind w:left="3600" w:hanging="360"/>
      </w:pPr>
    </w:lvl>
    <w:lvl w:ilvl="5" w:tplc="B2107C54" w:tentative="1">
      <w:start w:val="1"/>
      <w:numFmt w:val="lowerRoman"/>
      <w:lvlText w:val="%6."/>
      <w:lvlJc w:val="right"/>
      <w:pPr>
        <w:ind w:left="4320" w:hanging="180"/>
      </w:pPr>
    </w:lvl>
    <w:lvl w:ilvl="6" w:tplc="3E6AD954" w:tentative="1">
      <w:start w:val="1"/>
      <w:numFmt w:val="decimal"/>
      <w:lvlText w:val="%7."/>
      <w:lvlJc w:val="left"/>
      <w:pPr>
        <w:ind w:left="5040" w:hanging="360"/>
      </w:pPr>
    </w:lvl>
    <w:lvl w:ilvl="7" w:tplc="FD821DE2" w:tentative="1">
      <w:start w:val="1"/>
      <w:numFmt w:val="lowerLetter"/>
      <w:lvlText w:val="%8."/>
      <w:lvlJc w:val="left"/>
      <w:pPr>
        <w:ind w:left="5760" w:hanging="360"/>
      </w:pPr>
    </w:lvl>
    <w:lvl w:ilvl="8" w:tplc="E00E27F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0FAAC6A">
      <w:start w:val="1"/>
      <w:numFmt w:val="lowerRoman"/>
      <w:lvlText w:val="(%1)"/>
      <w:lvlJc w:val="left"/>
      <w:pPr>
        <w:ind w:left="1080" w:hanging="720"/>
      </w:pPr>
      <w:rPr>
        <w:rFonts w:hint="default"/>
      </w:rPr>
    </w:lvl>
    <w:lvl w:ilvl="1" w:tplc="F558EC42" w:tentative="1">
      <w:start w:val="1"/>
      <w:numFmt w:val="lowerLetter"/>
      <w:lvlText w:val="%2."/>
      <w:lvlJc w:val="left"/>
      <w:pPr>
        <w:ind w:left="1440" w:hanging="360"/>
      </w:pPr>
    </w:lvl>
    <w:lvl w:ilvl="2" w:tplc="29E8F8FE" w:tentative="1">
      <w:start w:val="1"/>
      <w:numFmt w:val="lowerRoman"/>
      <w:lvlText w:val="%3."/>
      <w:lvlJc w:val="right"/>
      <w:pPr>
        <w:ind w:left="2160" w:hanging="180"/>
      </w:pPr>
    </w:lvl>
    <w:lvl w:ilvl="3" w:tplc="D9AC2056" w:tentative="1">
      <w:start w:val="1"/>
      <w:numFmt w:val="decimal"/>
      <w:lvlText w:val="%4."/>
      <w:lvlJc w:val="left"/>
      <w:pPr>
        <w:ind w:left="2880" w:hanging="360"/>
      </w:pPr>
    </w:lvl>
    <w:lvl w:ilvl="4" w:tplc="F76221F2" w:tentative="1">
      <w:start w:val="1"/>
      <w:numFmt w:val="lowerLetter"/>
      <w:lvlText w:val="%5."/>
      <w:lvlJc w:val="left"/>
      <w:pPr>
        <w:ind w:left="3600" w:hanging="360"/>
      </w:pPr>
    </w:lvl>
    <w:lvl w:ilvl="5" w:tplc="A34058F4" w:tentative="1">
      <w:start w:val="1"/>
      <w:numFmt w:val="lowerRoman"/>
      <w:lvlText w:val="%6."/>
      <w:lvlJc w:val="right"/>
      <w:pPr>
        <w:ind w:left="4320" w:hanging="180"/>
      </w:pPr>
    </w:lvl>
    <w:lvl w:ilvl="6" w:tplc="EE9EE7FE" w:tentative="1">
      <w:start w:val="1"/>
      <w:numFmt w:val="decimal"/>
      <w:lvlText w:val="%7."/>
      <w:lvlJc w:val="left"/>
      <w:pPr>
        <w:ind w:left="5040" w:hanging="360"/>
      </w:pPr>
    </w:lvl>
    <w:lvl w:ilvl="7" w:tplc="B83EA748" w:tentative="1">
      <w:start w:val="1"/>
      <w:numFmt w:val="lowerLetter"/>
      <w:lvlText w:val="%8."/>
      <w:lvlJc w:val="left"/>
      <w:pPr>
        <w:ind w:left="5760" w:hanging="360"/>
      </w:pPr>
    </w:lvl>
    <w:lvl w:ilvl="8" w:tplc="F6F0DED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2A6E7E4">
      <w:start w:val="1"/>
      <w:numFmt w:val="lowerRoman"/>
      <w:lvlText w:val="(%1)"/>
      <w:lvlJc w:val="left"/>
      <w:pPr>
        <w:ind w:left="1080" w:hanging="720"/>
      </w:pPr>
      <w:rPr>
        <w:rFonts w:hint="default"/>
      </w:rPr>
    </w:lvl>
    <w:lvl w:ilvl="1" w:tplc="A078C056" w:tentative="1">
      <w:start w:val="1"/>
      <w:numFmt w:val="lowerLetter"/>
      <w:lvlText w:val="%2."/>
      <w:lvlJc w:val="left"/>
      <w:pPr>
        <w:ind w:left="1440" w:hanging="360"/>
      </w:pPr>
    </w:lvl>
    <w:lvl w:ilvl="2" w:tplc="4CB07CA2" w:tentative="1">
      <w:start w:val="1"/>
      <w:numFmt w:val="lowerRoman"/>
      <w:lvlText w:val="%3."/>
      <w:lvlJc w:val="right"/>
      <w:pPr>
        <w:ind w:left="2160" w:hanging="180"/>
      </w:pPr>
    </w:lvl>
    <w:lvl w:ilvl="3" w:tplc="F954B71C" w:tentative="1">
      <w:start w:val="1"/>
      <w:numFmt w:val="decimal"/>
      <w:lvlText w:val="%4."/>
      <w:lvlJc w:val="left"/>
      <w:pPr>
        <w:ind w:left="2880" w:hanging="360"/>
      </w:pPr>
    </w:lvl>
    <w:lvl w:ilvl="4" w:tplc="39D283D0" w:tentative="1">
      <w:start w:val="1"/>
      <w:numFmt w:val="lowerLetter"/>
      <w:lvlText w:val="%5."/>
      <w:lvlJc w:val="left"/>
      <w:pPr>
        <w:ind w:left="3600" w:hanging="360"/>
      </w:pPr>
    </w:lvl>
    <w:lvl w:ilvl="5" w:tplc="369A0BA4" w:tentative="1">
      <w:start w:val="1"/>
      <w:numFmt w:val="lowerRoman"/>
      <w:lvlText w:val="%6."/>
      <w:lvlJc w:val="right"/>
      <w:pPr>
        <w:ind w:left="4320" w:hanging="180"/>
      </w:pPr>
    </w:lvl>
    <w:lvl w:ilvl="6" w:tplc="E528C2A6" w:tentative="1">
      <w:start w:val="1"/>
      <w:numFmt w:val="decimal"/>
      <w:lvlText w:val="%7."/>
      <w:lvlJc w:val="left"/>
      <w:pPr>
        <w:ind w:left="5040" w:hanging="360"/>
      </w:pPr>
    </w:lvl>
    <w:lvl w:ilvl="7" w:tplc="F1A27198" w:tentative="1">
      <w:start w:val="1"/>
      <w:numFmt w:val="lowerLetter"/>
      <w:lvlText w:val="%8."/>
      <w:lvlJc w:val="left"/>
      <w:pPr>
        <w:ind w:left="5760" w:hanging="360"/>
      </w:pPr>
    </w:lvl>
    <w:lvl w:ilvl="8" w:tplc="455E789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EC8F84A">
      <w:start w:val="1"/>
      <w:numFmt w:val="bullet"/>
      <w:lvlText w:val=""/>
      <w:lvlJc w:val="left"/>
      <w:pPr>
        <w:ind w:left="720" w:hanging="360"/>
      </w:pPr>
      <w:rPr>
        <w:rFonts w:ascii="Symbol" w:hAnsi="Symbol" w:hint="default"/>
        <w:color w:val="auto"/>
        <w:sz w:val="24"/>
        <w:szCs w:val="24"/>
      </w:rPr>
    </w:lvl>
    <w:lvl w:ilvl="1" w:tplc="C37E3D1E" w:tentative="1">
      <w:start w:val="1"/>
      <w:numFmt w:val="bullet"/>
      <w:lvlText w:val="o"/>
      <w:lvlJc w:val="left"/>
      <w:pPr>
        <w:ind w:left="1440" w:hanging="360"/>
      </w:pPr>
      <w:rPr>
        <w:rFonts w:ascii="Courier New" w:hAnsi="Courier New" w:cs="Courier New" w:hint="default"/>
      </w:rPr>
    </w:lvl>
    <w:lvl w:ilvl="2" w:tplc="036A5072" w:tentative="1">
      <w:start w:val="1"/>
      <w:numFmt w:val="bullet"/>
      <w:lvlText w:val=""/>
      <w:lvlJc w:val="left"/>
      <w:pPr>
        <w:ind w:left="2160" w:hanging="360"/>
      </w:pPr>
      <w:rPr>
        <w:rFonts w:ascii="Wingdings" w:hAnsi="Wingdings" w:hint="default"/>
      </w:rPr>
    </w:lvl>
    <w:lvl w:ilvl="3" w:tplc="B8262CE4" w:tentative="1">
      <w:start w:val="1"/>
      <w:numFmt w:val="bullet"/>
      <w:lvlText w:val=""/>
      <w:lvlJc w:val="left"/>
      <w:pPr>
        <w:ind w:left="2880" w:hanging="360"/>
      </w:pPr>
      <w:rPr>
        <w:rFonts w:ascii="Symbol" w:hAnsi="Symbol" w:hint="default"/>
      </w:rPr>
    </w:lvl>
    <w:lvl w:ilvl="4" w:tplc="A99C3F24" w:tentative="1">
      <w:start w:val="1"/>
      <w:numFmt w:val="bullet"/>
      <w:lvlText w:val="o"/>
      <w:lvlJc w:val="left"/>
      <w:pPr>
        <w:ind w:left="3600" w:hanging="360"/>
      </w:pPr>
      <w:rPr>
        <w:rFonts w:ascii="Courier New" w:hAnsi="Courier New" w:cs="Courier New" w:hint="default"/>
      </w:rPr>
    </w:lvl>
    <w:lvl w:ilvl="5" w:tplc="DA7C7C04" w:tentative="1">
      <w:start w:val="1"/>
      <w:numFmt w:val="bullet"/>
      <w:lvlText w:val=""/>
      <w:lvlJc w:val="left"/>
      <w:pPr>
        <w:ind w:left="4320" w:hanging="360"/>
      </w:pPr>
      <w:rPr>
        <w:rFonts w:ascii="Wingdings" w:hAnsi="Wingdings" w:hint="default"/>
      </w:rPr>
    </w:lvl>
    <w:lvl w:ilvl="6" w:tplc="0B725BA2" w:tentative="1">
      <w:start w:val="1"/>
      <w:numFmt w:val="bullet"/>
      <w:lvlText w:val=""/>
      <w:lvlJc w:val="left"/>
      <w:pPr>
        <w:ind w:left="5040" w:hanging="360"/>
      </w:pPr>
      <w:rPr>
        <w:rFonts w:ascii="Symbol" w:hAnsi="Symbol" w:hint="default"/>
      </w:rPr>
    </w:lvl>
    <w:lvl w:ilvl="7" w:tplc="CF30EC96" w:tentative="1">
      <w:start w:val="1"/>
      <w:numFmt w:val="bullet"/>
      <w:lvlText w:val="o"/>
      <w:lvlJc w:val="left"/>
      <w:pPr>
        <w:ind w:left="5760" w:hanging="360"/>
      </w:pPr>
      <w:rPr>
        <w:rFonts w:ascii="Courier New" w:hAnsi="Courier New" w:cs="Courier New" w:hint="default"/>
      </w:rPr>
    </w:lvl>
    <w:lvl w:ilvl="8" w:tplc="E770758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97C1DE2">
      <w:start w:val="1"/>
      <w:numFmt w:val="lowerRoman"/>
      <w:lvlText w:val="(%1)"/>
      <w:lvlJc w:val="left"/>
      <w:pPr>
        <w:ind w:left="1080" w:hanging="720"/>
      </w:pPr>
      <w:rPr>
        <w:rFonts w:hint="default"/>
      </w:rPr>
    </w:lvl>
    <w:lvl w:ilvl="1" w:tplc="D0A6FB16" w:tentative="1">
      <w:start w:val="1"/>
      <w:numFmt w:val="lowerLetter"/>
      <w:lvlText w:val="%2."/>
      <w:lvlJc w:val="left"/>
      <w:pPr>
        <w:ind w:left="1440" w:hanging="360"/>
      </w:pPr>
    </w:lvl>
    <w:lvl w:ilvl="2" w:tplc="398C278E" w:tentative="1">
      <w:start w:val="1"/>
      <w:numFmt w:val="lowerRoman"/>
      <w:lvlText w:val="%3."/>
      <w:lvlJc w:val="right"/>
      <w:pPr>
        <w:ind w:left="2160" w:hanging="180"/>
      </w:pPr>
    </w:lvl>
    <w:lvl w:ilvl="3" w:tplc="C7A0EB3C" w:tentative="1">
      <w:start w:val="1"/>
      <w:numFmt w:val="decimal"/>
      <w:lvlText w:val="%4."/>
      <w:lvlJc w:val="left"/>
      <w:pPr>
        <w:ind w:left="2880" w:hanging="360"/>
      </w:pPr>
    </w:lvl>
    <w:lvl w:ilvl="4" w:tplc="1B32B91C" w:tentative="1">
      <w:start w:val="1"/>
      <w:numFmt w:val="lowerLetter"/>
      <w:lvlText w:val="%5."/>
      <w:lvlJc w:val="left"/>
      <w:pPr>
        <w:ind w:left="3600" w:hanging="360"/>
      </w:pPr>
    </w:lvl>
    <w:lvl w:ilvl="5" w:tplc="EEC24288" w:tentative="1">
      <w:start w:val="1"/>
      <w:numFmt w:val="lowerRoman"/>
      <w:lvlText w:val="%6."/>
      <w:lvlJc w:val="right"/>
      <w:pPr>
        <w:ind w:left="4320" w:hanging="180"/>
      </w:pPr>
    </w:lvl>
    <w:lvl w:ilvl="6" w:tplc="C2782E2C" w:tentative="1">
      <w:start w:val="1"/>
      <w:numFmt w:val="decimal"/>
      <w:lvlText w:val="%7."/>
      <w:lvlJc w:val="left"/>
      <w:pPr>
        <w:ind w:left="5040" w:hanging="360"/>
      </w:pPr>
    </w:lvl>
    <w:lvl w:ilvl="7" w:tplc="B344C08E" w:tentative="1">
      <w:start w:val="1"/>
      <w:numFmt w:val="lowerLetter"/>
      <w:lvlText w:val="%8."/>
      <w:lvlJc w:val="left"/>
      <w:pPr>
        <w:ind w:left="5760" w:hanging="360"/>
      </w:pPr>
    </w:lvl>
    <w:lvl w:ilvl="8" w:tplc="87C2B98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73028A2">
      <w:start w:val="1"/>
      <w:numFmt w:val="lowerRoman"/>
      <w:lvlText w:val="(%1)"/>
      <w:lvlJc w:val="left"/>
      <w:pPr>
        <w:ind w:left="1080" w:hanging="720"/>
      </w:pPr>
      <w:rPr>
        <w:rFonts w:hint="default"/>
      </w:rPr>
    </w:lvl>
    <w:lvl w:ilvl="1" w:tplc="2FD0B80E" w:tentative="1">
      <w:start w:val="1"/>
      <w:numFmt w:val="lowerLetter"/>
      <w:lvlText w:val="%2."/>
      <w:lvlJc w:val="left"/>
      <w:pPr>
        <w:ind w:left="1440" w:hanging="360"/>
      </w:pPr>
    </w:lvl>
    <w:lvl w:ilvl="2" w:tplc="63868A44" w:tentative="1">
      <w:start w:val="1"/>
      <w:numFmt w:val="lowerRoman"/>
      <w:lvlText w:val="%3."/>
      <w:lvlJc w:val="right"/>
      <w:pPr>
        <w:ind w:left="2160" w:hanging="180"/>
      </w:pPr>
    </w:lvl>
    <w:lvl w:ilvl="3" w:tplc="F1EED43C" w:tentative="1">
      <w:start w:val="1"/>
      <w:numFmt w:val="decimal"/>
      <w:lvlText w:val="%4."/>
      <w:lvlJc w:val="left"/>
      <w:pPr>
        <w:ind w:left="2880" w:hanging="360"/>
      </w:pPr>
    </w:lvl>
    <w:lvl w:ilvl="4" w:tplc="9C68C086" w:tentative="1">
      <w:start w:val="1"/>
      <w:numFmt w:val="lowerLetter"/>
      <w:lvlText w:val="%5."/>
      <w:lvlJc w:val="left"/>
      <w:pPr>
        <w:ind w:left="3600" w:hanging="360"/>
      </w:pPr>
    </w:lvl>
    <w:lvl w:ilvl="5" w:tplc="819CAE18" w:tentative="1">
      <w:start w:val="1"/>
      <w:numFmt w:val="lowerRoman"/>
      <w:lvlText w:val="%6."/>
      <w:lvlJc w:val="right"/>
      <w:pPr>
        <w:ind w:left="4320" w:hanging="180"/>
      </w:pPr>
    </w:lvl>
    <w:lvl w:ilvl="6" w:tplc="5DF87056" w:tentative="1">
      <w:start w:val="1"/>
      <w:numFmt w:val="decimal"/>
      <w:lvlText w:val="%7."/>
      <w:lvlJc w:val="left"/>
      <w:pPr>
        <w:ind w:left="5040" w:hanging="360"/>
      </w:pPr>
    </w:lvl>
    <w:lvl w:ilvl="7" w:tplc="FD80A5E8" w:tentative="1">
      <w:start w:val="1"/>
      <w:numFmt w:val="lowerLetter"/>
      <w:lvlText w:val="%8."/>
      <w:lvlJc w:val="left"/>
      <w:pPr>
        <w:ind w:left="5760" w:hanging="360"/>
      </w:pPr>
    </w:lvl>
    <w:lvl w:ilvl="8" w:tplc="688C58A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51E8FD0">
      <w:start w:val="1"/>
      <w:numFmt w:val="lowerRoman"/>
      <w:lvlText w:val="(%1)"/>
      <w:lvlJc w:val="left"/>
      <w:pPr>
        <w:ind w:left="1080" w:hanging="720"/>
      </w:pPr>
      <w:rPr>
        <w:rFonts w:hint="default"/>
      </w:rPr>
    </w:lvl>
    <w:lvl w:ilvl="1" w:tplc="A6D607F2" w:tentative="1">
      <w:start w:val="1"/>
      <w:numFmt w:val="lowerLetter"/>
      <w:lvlText w:val="%2."/>
      <w:lvlJc w:val="left"/>
      <w:pPr>
        <w:ind w:left="1440" w:hanging="360"/>
      </w:pPr>
    </w:lvl>
    <w:lvl w:ilvl="2" w:tplc="4A3C5A7E" w:tentative="1">
      <w:start w:val="1"/>
      <w:numFmt w:val="lowerRoman"/>
      <w:lvlText w:val="%3."/>
      <w:lvlJc w:val="right"/>
      <w:pPr>
        <w:ind w:left="2160" w:hanging="180"/>
      </w:pPr>
    </w:lvl>
    <w:lvl w:ilvl="3" w:tplc="E6BC6188" w:tentative="1">
      <w:start w:val="1"/>
      <w:numFmt w:val="decimal"/>
      <w:lvlText w:val="%4."/>
      <w:lvlJc w:val="left"/>
      <w:pPr>
        <w:ind w:left="2880" w:hanging="360"/>
      </w:pPr>
    </w:lvl>
    <w:lvl w:ilvl="4" w:tplc="03C63EF8" w:tentative="1">
      <w:start w:val="1"/>
      <w:numFmt w:val="lowerLetter"/>
      <w:lvlText w:val="%5."/>
      <w:lvlJc w:val="left"/>
      <w:pPr>
        <w:ind w:left="3600" w:hanging="360"/>
      </w:pPr>
    </w:lvl>
    <w:lvl w:ilvl="5" w:tplc="211A561E" w:tentative="1">
      <w:start w:val="1"/>
      <w:numFmt w:val="lowerRoman"/>
      <w:lvlText w:val="%6."/>
      <w:lvlJc w:val="right"/>
      <w:pPr>
        <w:ind w:left="4320" w:hanging="180"/>
      </w:pPr>
    </w:lvl>
    <w:lvl w:ilvl="6" w:tplc="448AF502" w:tentative="1">
      <w:start w:val="1"/>
      <w:numFmt w:val="decimal"/>
      <w:lvlText w:val="%7."/>
      <w:lvlJc w:val="left"/>
      <w:pPr>
        <w:ind w:left="5040" w:hanging="360"/>
      </w:pPr>
    </w:lvl>
    <w:lvl w:ilvl="7" w:tplc="187A75AC" w:tentative="1">
      <w:start w:val="1"/>
      <w:numFmt w:val="lowerLetter"/>
      <w:lvlText w:val="%8."/>
      <w:lvlJc w:val="left"/>
      <w:pPr>
        <w:ind w:left="5760" w:hanging="360"/>
      </w:pPr>
    </w:lvl>
    <w:lvl w:ilvl="8" w:tplc="CE4AA0B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63A92D0">
      <w:start w:val="1"/>
      <w:numFmt w:val="lowerRoman"/>
      <w:lvlText w:val="(%1)"/>
      <w:lvlJc w:val="left"/>
      <w:pPr>
        <w:ind w:left="1080" w:hanging="720"/>
      </w:pPr>
      <w:rPr>
        <w:rFonts w:hint="default"/>
      </w:rPr>
    </w:lvl>
    <w:lvl w:ilvl="1" w:tplc="CA2A378A" w:tentative="1">
      <w:start w:val="1"/>
      <w:numFmt w:val="lowerLetter"/>
      <w:lvlText w:val="%2."/>
      <w:lvlJc w:val="left"/>
      <w:pPr>
        <w:ind w:left="1440" w:hanging="360"/>
      </w:pPr>
    </w:lvl>
    <w:lvl w:ilvl="2" w:tplc="32124E14" w:tentative="1">
      <w:start w:val="1"/>
      <w:numFmt w:val="lowerRoman"/>
      <w:lvlText w:val="%3."/>
      <w:lvlJc w:val="right"/>
      <w:pPr>
        <w:ind w:left="2160" w:hanging="180"/>
      </w:pPr>
    </w:lvl>
    <w:lvl w:ilvl="3" w:tplc="EEE4408A" w:tentative="1">
      <w:start w:val="1"/>
      <w:numFmt w:val="decimal"/>
      <w:lvlText w:val="%4."/>
      <w:lvlJc w:val="left"/>
      <w:pPr>
        <w:ind w:left="2880" w:hanging="360"/>
      </w:pPr>
    </w:lvl>
    <w:lvl w:ilvl="4" w:tplc="39EEA868" w:tentative="1">
      <w:start w:val="1"/>
      <w:numFmt w:val="lowerLetter"/>
      <w:lvlText w:val="%5."/>
      <w:lvlJc w:val="left"/>
      <w:pPr>
        <w:ind w:left="3600" w:hanging="360"/>
      </w:pPr>
    </w:lvl>
    <w:lvl w:ilvl="5" w:tplc="28440122" w:tentative="1">
      <w:start w:val="1"/>
      <w:numFmt w:val="lowerRoman"/>
      <w:lvlText w:val="%6."/>
      <w:lvlJc w:val="right"/>
      <w:pPr>
        <w:ind w:left="4320" w:hanging="180"/>
      </w:pPr>
    </w:lvl>
    <w:lvl w:ilvl="6" w:tplc="CFE62C10" w:tentative="1">
      <w:start w:val="1"/>
      <w:numFmt w:val="decimal"/>
      <w:lvlText w:val="%7."/>
      <w:lvlJc w:val="left"/>
      <w:pPr>
        <w:ind w:left="5040" w:hanging="360"/>
      </w:pPr>
    </w:lvl>
    <w:lvl w:ilvl="7" w:tplc="C9A68382" w:tentative="1">
      <w:start w:val="1"/>
      <w:numFmt w:val="lowerLetter"/>
      <w:lvlText w:val="%8."/>
      <w:lvlJc w:val="left"/>
      <w:pPr>
        <w:ind w:left="5760" w:hanging="360"/>
      </w:pPr>
    </w:lvl>
    <w:lvl w:ilvl="8" w:tplc="7EC82E5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C4C5C80">
      <w:start w:val="1"/>
      <w:numFmt w:val="lowerRoman"/>
      <w:lvlText w:val="(%1)"/>
      <w:lvlJc w:val="left"/>
      <w:pPr>
        <w:ind w:left="1080" w:hanging="720"/>
      </w:pPr>
      <w:rPr>
        <w:rFonts w:hint="default"/>
      </w:rPr>
    </w:lvl>
    <w:lvl w:ilvl="1" w:tplc="0652F298" w:tentative="1">
      <w:start w:val="1"/>
      <w:numFmt w:val="lowerLetter"/>
      <w:lvlText w:val="%2."/>
      <w:lvlJc w:val="left"/>
      <w:pPr>
        <w:ind w:left="1440" w:hanging="360"/>
      </w:pPr>
    </w:lvl>
    <w:lvl w:ilvl="2" w:tplc="33EC402E" w:tentative="1">
      <w:start w:val="1"/>
      <w:numFmt w:val="lowerRoman"/>
      <w:lvlText w:val="%3."/>
      <w:lvlJc w:val="right"/>
      <w:pPr>
        <w:ind w:left="2160" w:hanging="180"/>
      </w:pPr>
    </w:lvl>
    <w:lvl w:ilvl="3" w:tplc="AF7EE098" w:tentative="1">
      <w:start w:val="1"/>
      <w:numFmt w:val="decimal"/>
      <w:lvlText w:val="%4."/>
      <w:lvlJc w:val="left"/>
      <w:pPr>
        <w:ind w:left="2880" w:hanging="360"/>
      </w:pPr>
    </w:lvl>
    <w:lvl w:ilvl="4" w:tplc="BA9CA13E" w:tentative="1">
      <w:start w:val="1"/>
      <w:numFmt w:val="lowerLetter"/>
      <w:lvlText w:val="%5."/>
      <w:lvlJc w:val="left"/>
      <w:pPr>
        <w:ind w:left="3600" w:hanging="360"/>
      </w:pPr>
    </w:lvl>
    <w:lvl w:ilvl="5" w:tplc="6A6E72C4" w:tentative="1">
      <w:start w:val="1"/>
      <w:numFmt w:val="lowerRoman"/>
      <w:lvlText w:val="%6."/>
      <w:lvlJc w:val="right"/>
      <w:pPr>
        <w:ind w:left="4320" w:hanging="180"/>
      </w:pPr>
    </w:lvl>
    <w:lvl w:ilvl="6" w:tplc="69FA01DA" w:tentative="1">
      <w:start w:val="1"/>
      <w:numFmt w:val="decimal"/>
      <w:lvlText w:val="%7."/>
      <w:lvlJc w:val="left"/>
      <w:pPr>
        <w:ind w:left="5040" w:hanging="360"/>
      </w:pPr>
    </w:lvl>
    <w:lvl w:ilvl="7" w:tplc="71AAE160" w:tentative="1">
      <w:start w:val="1"/>
      <w:numFmt w:val="lowerLetter"/>
      <w:lvlText w:val="%8."/>
      <w:lvlJc w:val="left"/>
      <w:pPr>
        <w:ind w:left="5760" w:hanging="360"/>
      </w:pPr>
    </w:lvl>
    <w:lvl w:ilvl="8" w:tplc="A27875E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C7C898C">
      <w:start w:val="1"/>
      <w:numFmt w:val="lowerRoman"/>
      <w:lvlText w:val="(%1)"/>
      <w:lvlJc w:val="left"/>
      <w:pPr>
        <w:ind w:left="1080" w:hanging="720"/>
      </w:pPr>
      <w:rPr>
        <w:rFonts w:hint="default"/>
      </w:rPr>
    </w:lvl>
    <w:lvl w:ilvl="1" w:tplc="54128D1A" w:tentative="1">
      <w:start w:val="1"/>
      <w:numFmt w:val="lowerLetter"/>
      <w:lvlText w:val="%2."/>
      <w:lvlJc w:val="left"/>
      <w:pPr>
        <w:ind w:left="1440" w:hanging="360"/>
      </w:pPr>
    </w:lvl>
    <w:lvl w:ilvl="2" w:tplc="AE265E16" w:tentative="1">
      <w:start w:val="1"/>
      <w:numFmt w:val="lowerRoman"/>
      <w:lvlText w:val="%3."/>
      <w:lvlJc w:val="right"/>
      <w:pPr>
        <w:ind w:left="2160" w:hanging="180"/>
      </w:pPr>
    </w:lvl>
    <w:lvl w:ilvl="3" w:tplc="FCC47A06" w:tentative="1">
      <w:start w:val="1"/>
      <w:numFmt w:val="decimal"/>
      <w:lvlText w:val="%4."/>
      <w:lvlJc w:val="left"/>
      <w:pPr>
        <w:ind w:left="2880" w:hanging="360"/>
      </w:pPr>
    </w:lvl>
    <w:lvl w:ilvl="4" w:tplc="DA0C83F0" w:tentative="1">
      <w:start w:val="1"/>
      <w:numFmt w:val="lowerLetter"/>
      <w:lvlText w:val="%5."/>
      <w:lvlJc w:val="left"/>
      <w:pPr>
        <w:ind w:left="3600" w:hanging="360"/>
      </w:pPr>
    </w:lvl>
    <w:lvl w:ilvl="5" w:tplc="20023F8A" w:tentative="1">
      <w:start w:val="1"/>
      <w:numFmt w:val="lowerRoman"/>
      <w:lvlText w:val="%6."/>
      <w:lvlJc w:val="right"/>
      <w:pPr>
        <w:ind w:left="4320" w:hanging="180"/>
      </w:pPr>
    </w:lvl>
    <w:lvl w:ilvl="6" w:tplc="DCDC7780" w:tentative="1">
      <w:start w:val="1"/>
      <w:numFmt w:val="decimal"/>
      <w:lvlText w:val="%7."/>
      <w:lvlJc w:val="left"/>
      <w:pPr>
        <w:ind w:left="5040" w:hanging="360"/>
      </w:pPr>
    </w:lvl>
    <w:lvl w:ilvl="7" w:tplc="FC0884D0" w:tentative="1">
      <w:start w:val="1"/>
      <w:numFmt w:val="lowerLetter"/>
      <w:lvlText w:val="%8."/>
      <w:lvlJc w:val="left"/>
      <w:pPr>
        <w:ind w:left="5760" w:hanging="360"/>
      </w:pPr>
    </w:lvl>
    <w:lvl w:ilvl="8" w:tplc="AC245C0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42557373">
    <w:abstractNumId w:val="11"/>
  </w:num>
  <w:num w:numId="2" w16cid:durableId="993531569">
    <w:abstractNumId w:val="4"/>
  </w:num>
  <w:num w:numId="3" w16cid:durableId="1876697507">
    <w:abstractNumId w:val="2"/>
  </w:num>
  <w:num w:numId="4" w16cid:durableId="971599753">
    <w:abstractNumId w:val="7"/>
  </w:num>
  <w:num w:numId="5" w16cid:durableId="881207016">
    <w:abstractNumId w:val="6"/>
  </w:num>
  <w:num w:numId="6" w16cid:durableId="449208752">
    <w:abstractNumId w:val="1"/>
  </w:num>
  <w:num w:numId="7" w16cid:durableId="315576147">
    <w:abstractNumId w:val="9"/>
  </w:num>
  <w:num w:numId="8" w16cid:durableId="1413089289">
    <w:abstractNumId w:val="5"/>
  </w:num>
  <w:num w:numId="9" w16cid:durableId="917785070">
    <w:abstractNumId w:val="8"/>
  </w:num>
  <w:num w:numId="10" w16cid:durableId="1145506879">
    <w:abstractNumId w:val="3"/>
  </w:num>
  <w:num w:numId="11" w16cid:durableId="1218662633">
    <w:abstractNumId w:val="10"/>
  </w:num>
  <w:num w:numId="12" w16cid:durableId="907811554">
    <w:abstractNumId w:val="0"/>
  </w:num>
  <w:num w:numId="13" w16cid:durableId="696200293">
    <w:abstractNumId w:val="11"/>
  </w:num>
  <w:num w:numId="14" w16cid:durableId="69122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71"/>
    <w:rsid w:val="00041B56"/>
    <w:rsid w:val="000F5A58"/>
    <w:rsid w:val="0012590C"/>
    <w:rsid w:val="001F5BD5"/>
    <w:rsid w:val="00243570"/>
    <w:rsid w:val="00252403"/>
    <w:rsid w:val="00286640"/>
    <w:rsid w:val="003F26BB"/>
    <w:rsid w:val="0041719D"/>
    <w:rsid w:val="004648F3"/>
    <w:rsid w:val="00480F71"/>
    <w:rsid w:val="005D00C1"/>
    <w:rsid w:val="00662EB9"/>
    <w:rsid w:val="00727430"/>
    <w:rsid w:val="00762D28"/>
    <w:rsid w:val="00937671"/>
    <w:rsid w:val="009E374E"/>
    <w:rsid w:val="00B22BB2"/>
    <w:rsid w:val="00D74DD5"/>
    <w:rsid w:val="00D94434"/>
    <w:rsid w:val="00EC0EF4"/>
    <w:rsid w:val="00EF31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FF40"/>
  <w15:docId w15:val="{ABA8C728-2396-4997-808D-D945C79E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A5921" w:rsidRDefault="0000000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A5921" w:rsidRDefault="0000000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A5921" w:rsidRDefault="0000000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A5921" w:rsidRDefault="0000000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A5921" w:rsidRDefault="0000000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A5921" w:rsidRDefault="0000000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A5921" w:rsidRDefault="0000000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A5921" w:rsidRDefault="0000000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A5921" w:rsidRDefault="0000000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A5921" w:rsidRDefault="0000000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A5921" w:rsidRDefault="0000000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A5921" w:rsidRDefault="0000000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A5921" w:rsidRDefault="0000000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A5921" w:rsidRDefault="0000000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A5921" w:rsidRDefault="0000000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A5921" w:rsidRDefault="0000000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A5921" w:rsidRDefault="0000000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A5921" w:rsidRDefault="0000000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A5921" w:rsidRDefault="0000000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A5921" w:rsidRDefault="0000000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A5921" w:rsidRDefault="0000000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A5921" w:rsidRDefault="0000000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A5921" w:rsidRDefault="0000000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A5921" w:rsidRDefault="0000000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A5921" w:rsidRDefault="0000000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A5921" w:rsidRDefault="0000000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A5921" w:rsidRDefault="0000000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A5921" w:rsidRDefault="0000000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A5921" w:rsidRDefault="0000000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A5921" w:rsidRDefault="0000000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A5921" w:rsidRDefault="0000000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A5921" w:rsidRDefault="0000000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A5921" w:rsidRDefault="0000000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A5921" w:rsidRDefault="0000000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A5921" w:rsidRDefault="0000000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A5921" w:rsidRDefault="0000000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A5921" w:rsidRDefault="0000000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A5921" w:rsidRDefault="0000000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A5921" w:rsidRDefault="0000000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A5921" w:rsidRDefault="0000000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A5921" w:rsidRDefault="0000000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A5921" w:rsidRDefault="0000000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A5921" w:rsidRDefault="0000000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A5921" w:rsidRDefault="0000000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A5921" w:rsidRDefault="0000000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A5921" w:rsidRDefault="0000000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A5921" w:rsidRDefault="0000000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A5921" w:rsidRDefault="0000000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A5921" w:rsidRDefault="0000000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A5921" w:rsidRDefault="0000000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A5921" w:rsidRDefault="0000000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68CD"/>
    <w:rsid w:val="003F26BB"/>
    <w:rsid w:val="004648F3"/>
    <w:rsid w:val="00480C52"/>
    <w:rsid w:val="004C38E7"/>
    <w:rsid w:val="00A468CD"/>
    <w:rsid w:val="00B22BB2"/>
    <w:rsid w:val="00DE0672"/>
    <w:rsid w:val="00FA59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BA25E8C7-E7ED-43D0-8D82-D428C48A68DE}"/>
</file>

<file path=docProps/app.xml><?xml version="1.0" encoding="utf-8"?>
<Properties xmlns="http://schemas.openxmlformats.org/officeDocument/2006/extended-properties" xmlns:vt="http://schemas.openxmlformats.org/officeDocument/2006/docPropsVTypes">
  <Template>Normal</Template>
  <TotalTime>1</TotalTime>
  <Pages>23</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2025-03-24T03:29:00Z</dcterms:created>
  <dcterms:modified xsi:type="dcterms:W3CDTF">2025-03-24T03:29:00Z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