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42EB" w14:textId="14C510AA" w:rsidR="00FC0D35" w:rsidRDefault="00FC0D35" w:rsidP="00FC0D35">
      <w:pPr>
        <w:pStyle w:val="Title"/>
        <w:spacing w:before="400"/>
        <w:rPr>
          <w:szCs w:val="72"/>
        </w:rPr>
      </w:pPr>
      <w:r>
        <w:rPr>
          <w:noProof/>
          <w:lang w:eastAsia="en-AU"/>
        </w:rPr>
        <w:drawing>
          <wp:anchor distT="0" distB="0" distL="114300" distR="114300" simplePos="0" relativeHeight="251658240" behindDoc="1" locked="0" layoutInCell="1" allowOverlap="1" wp14:anchorId="13068B25" wp14:editId="2FEADA38">
            <wp:simplePos x="0" y="0"/>
            <wp:positionH relativeFrom="page">
              <wp:posOffset>-1</wp:posOffset>
            </wp:positionH>
            <wp:positionV relativeFrom="paragraph">
              <wp:posOffset>-1080135</wp:posOffset>
            </wp:positionV>
            <wp:extent cx="7566463" cy="2152650"/>
            <wp:effectExtent l="0" t="0" r="0" b="0"/>
            <wp:wrapNone/>
            <wp:docPr id="23" name="Picture 23" descr="Aged Care Quality and Safety Commission coat of arms and blue strip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5646" cy="2158108"/>
                    </a:xfrm>
                    <a:prstGeom prst="rect">
                      <a:avLst/>
                    </a:prstGeom>
                    <a:noFill/>
                  </pic:spPr>
                </pic:pic>
              </a:graphicData>
            </a:graphic>
            <wp14:sizeRelH relativeFrom="page">
              <wp14:pctWidth>0</wp14:pctWidth>
            </wp14:sizeRelH>
            <wp14:sizeRelV relativeFrom="page">
              <wp14:pctHeight>0</wp14:pctHeight>
            </wp14:sizeRelV>
          </wp:anchor>
        </w:drawing>
      </w:r>
      <w:r>
        <w:rPr>
          <w:szCs w:val="72"/>
        </w:rPr>
        <w:t>Regulatory Bulletin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074"/>
      </w:tblGrid>
      <w:tr w:rsidR="00FC0D35" w14:paraId="47CF0A18" w14:textId="77777777" w:rsidTr="00FC0D35">
        <w:tc>
          <w:tcPr>
            <w:tcW w:w="1330" w:type="pct"/>
            <w:tcBorders>
              <w:top w:val="single" w:sz="12" w:space="0" w:color="auto"/>
              <w:left w:val="nil"/>
              <w:bottom w:val="single" w:sz="12" w:space="0" w:color="auto"/>
              <w:right w:val="nil"/>
            </w:tcBorders>
            <w:hideMark/>
          </w:tcPr>
          <w:p w14:paraId="3C762549" w14:textId="77777777" w:rsidR="00FC0D35" w:rsidRDefault="00FC0D35">
            <w:pPr>
              <w:spacing w:before="120"/>
              <w:rPr>
                <w:b/>
                <w:sz w:val="28"/>
              </w:rPr>
            </w:pPr>
            <w:r>
              <w:rPr>
                <w:b/>
                <w:sz w:val="28"/>
              </w:rPr>
              <w:t>TITLE</w:t>
            </w:r>
          </w:p>
        </w:tc>
        <w:tc>
          <w:tcPr>
            <w:tcW w:w="3670" w:type="pct"/>
            <w:tcBorders>
              <w:top w:val="single" w:sz="12" w:space="0" w:color="auto"/>
              <w:left w:val="nil"/>
              <w:bottom w:val="single" w:sz="12" w:space="0" w:color="auto"/>
              <w:right w:val="nil"/>
            </w:tcBorders>
            <w:hideMark/>
          </w:tcPr>
          <w:p w14:paraId="1B813B5C" w14:textId="277A7BEF" w:rsidR="00FC0D35" w:rsidRDefault="00817B7B">
            <w:pPr>
              <w:spacing w:before="120"/>
              <w:rPr>
                <w:b/>
                <w:sz w:val="28"/>
              </w:rPr>
            </w:pPr>
            <w:r>
              <w:rPr>
                <w:b/>
                <w:sz w:val="28"/>
              </w:rPr>
              <w:t>Change in service ownership</w:t>
            </w:r>
          </w:p>
        </w:tc>
      </w:tr>
      <w:tr w:rsidR="00354816" w14:paraId="4D37C8CF" w14:textId="77777777" w:rsidTr="00FC0D35">
        <w:tc>
          <w:tcPr>
            <w:tcW w:w="1330" w:type="pct"/>
            <w:tcBorders>
              <w:top w:val="single" w:sz="12" w:space="0" w:color="auto"/>
              <w:left w:val="nil"/>
              <w:bottom w:val="single" w:sz="2" w:space="0" w:color="auto"/>
              <w:right w:val="nil"/>
            </w:tcBorders>
            <w:hideMark/>
          </w:tcPr>
          <w:p w14:paraId="6CC3141B" w14:textId="77777777" w:rsidR="00354816" w:rsidRPr="003D0C90" w:rsidRDefault="00354816" w:rsidP="00354816">
            <w:pPr>
              <w:spacing w:before="120"/>
            </w:pPr>
            <w:r w:rsidRPr="003D0C90">
              <w:t>Bulletin number</w:t>
            </w:r>
          </w:p>
        </w:tc>
        <w:tc>
          <w:tcPr>
            <w:tcW w:w="3670" w:type="pct"/>
            <w:tcBorders>
              <w:top w:val="single" w:sz="12" w:space="0" w:color="auto"/>
              <w:left w:val="nil"/>
              <w:bottom w:val="single" w:sz="2" w:space="0" w:color="auto"/>
              <w:right w:val="nil"/>
            </w:tcBorders>
            <w:hideMark/>
          </w:tcPr>
          <w:p w14:paraId="12E74466" w14:textId="5525E77E" w:rsidR="00354816" w:rsidRDefault="00354816" w:rsidP="00354816">
            <w:pPr>
              <w:spacing w:before="120"/>
            </w:pPr>
            <w:r w:rsidRPr="003E2563">
              <w:t>RB 20</w:t>
            </w:r>
            <w:r w:rsidR="00CC129E">
              <w:t>2</w:t>
            </w:r>
            <w:r w:rsidRPr="003E2563">
              <w:t>1-</w:t>
            </w:r>
            <w:r w:rsidR="00B3358F">
              <w:t>1</w:t>
            </w:r>
            <w:r w:rsidR="000A12B2">
              <w:t>4</w:t>
            </w:r>
          </w:p>
        </w:tc>
      </w:tr>
      <w:tr w:rsidR="00354816" w14:paraId="66DB7007" w14:textId="77777777" w:rsidTr="00FC0D35">
        <w:tc>
          <w:tcPr>
            <w:tcW w:w="1330" w:type="pct"/>
            <w:tcBorders>
              <w:top w:val="single" w:sz="2" w:space="0" w:color="auto"/>
              <w:left w:val="nil"/>
              <w:bottom w:val="single" w:sz="2" w:space="0" w:color="auto"/>
              <w:right w:val="nil"/>
            </w:tcBorders>
            <w:hideMark/>
          </w:tcPr>
          <w:p w14:paraId="701F792D" w14:textId="77777777" w:rsidR="00354816" w:rsidRDefault="00354816" w:rsidP="00354816">
            <w:pPr>
              <w:spacing w:before="120"/>
            </w:pPr>
            <w:r>
              <w:t>Version number</w:t>
            </w:r>
          </w:p>
        </w:tc>
        <w:tc>
          <w:tcPr>
            <w:tcW w:w="3670" w:type="pct"/>
            <w:tcBorders>
              <w:top w:val="single" w:sz="2" w:space="0" w:color="auto"/>
              <w:left w:val="nil"/>
              <w:bottom w:val="single" w:sz="2" w:space="0" w:color="auto"/>
              <w:right w:val="nil"/>
            </w:tcBorders>
            <w:hideMark/>
          </w:tcPr>
          <w:p w14:paraId="0278943C" w14:textId="0AA1E31F" w:rsidR="00354816" w:rsidRDefault="00B3358F" w:rsidP="00354816">
            <w:pPr>
              <w:spacing w:before="120"/>
            </w:pPr>
            <w:r>
              <w:t>1</w:t>
            </w:r>
            <w:r w:rsidR="00CB6E6C">
              <w:t>.0</w:t>
            </w:r>
          </w:p>
        </w:tc>
      </w:tr>
      <w:tr w:rsidR="00354816" w14:paraId="595BC012" w14:textId="77777777" w:rsidTr="00FC0D35">
        <w:tc>
          <w:tcPr>
            <w:tcW w:w="1330" w:type="pct"/>
            <w:tcBorders>
              <w:top w:val="single" w:sz="2" w:space="0" w:color="auto"/>
              <w:left w:val="nil"/>
              <w:bottom w:val="single" w:sz="2" w:space="0" w:color="auto"/>
              <w:right w:val="nil"/>
            </w:tcBorders>
            <w:hideMark/>
          </w:tcPr>
          <w:p w14:paraId="0B659929" w14:textId="77777777" w:rsidR="00354816" w:rsidRDefault="00354816" w:rsidP="00354816">
            <w:pPr>
              <w:spacing w:before="120"/>
            </w:pPr>
            <w:r>
              <w:t>Document number</w:t>
            </w:r>
          </w:p>
        </w:tc>
        <w:tc>
          <w:tcPr>
            <w:tcW w:w="3670" w:type="pct"/>
            <w:tcBorders>
              <w:top w:val="single" w:sz="2" w:space="0" w:color="auto"/>
              <w:left w:val="nil"/>
              <w:bottom w:val="single" w:sz="2" w:space="0" w:color="auto"/>
              <w:right w:val="nil"/>
            </w:tcBorders>
            <w:hideMark/>
          </w:tcPr>
          <w:p w14:paraId="53B1717E" w14:textId="121CB15A" w:rsidR="00354816" w:rsidRDefault="00354816" w:rsidP="00354816">
            <w:pPr>
              <w:spacing w:before="120"/>
            </w:pPr>
            <w:r w:rsidRPr="003E2563">
              <w:t>FRM-AC</w:t>
            </w:r>
            <w:r w:rsidRPr="009631B7">
              <w:t>C-</w:t>
            </w:r>
            <w:r w:rsidR="009631B7" w:rsidRPr="009631B7">
              <w:t>0753</w:t>
            </w:r>
          </w:p>
        </w:tc>
      </w:tr>
      <w:tr w:rsidR="00354816" w14:paraId="071E178E" w14:textId="77777777" w:rsidTr="00FC0D35">
        <w:tc>
          <w:tcPr>
            <w:tcW w:w="1330" w:type="pct"/>
            <w:tcBorders>
              <w:top w:val="single" w:sz="2" w:space="0" w:color="auto"/>
              <w:left w:val="nil"/>
              <w:bottom w:val="single" w:sz="2" w:space="0" w:color="auto"/>
              <w:right w:val="nil"/>
            </w:tcBorders>
            <w:hideMark/>
          </w:tcPr>
          <w:p w14:paraId="2FE44F74" w14:textId="77777777" w:rsidR="00354816" w:rsidRDefault="00354816" w:rsidP="00354816">
            <w:pPr>
              <w:spacing w:before="120"/>
            </w:pPr>
            <w:r>
              <w:t>Publication date</w:t>
            </w:r>
          </w:p>
        </w:tc>
        <w:tc>
          <w:tcPr>
            <w:tcW w:w="3670" w:type="pct"/>
            <w:tcBorders>
              <w:top w:val="single" w:sz="2" w:space="0" w:color="auto"/>
              <w:left w:val="nil"/>
              <w:bottom w:val="single" w:sz="2" w:space="0" w:color="auto"/>
              <w:right w:val="nil"/>
            </w:tcBorders>
            <w:hideMark/>
          </w:tcPr>
          <w:p w14:paraId="64C8D19B" w14:textId="2EDD2C45" w:rsidR="00354816" w:rsidRDefault="003D5C7C" w:rsidP="00CE3A52">
            <w:pPr>
              <w:spacing w:before="120"/>
            </w:pPr>
            <w:r w:rsidRPr="00DC6AFB">
              <w:t>2</w:t>
            </w:r>
            <w:r w:rsidR="00134A61" w:rsidRPr="00DC6AFB">
              <w:t>5</w:t>
            </w:r>
            <w:r w:rsidR="00AD5306">
              <w:t xml:space="preserve"> </w:t>
            </w:r>
            <w:r w:rsidR="00CE3A52">
              <w:t>August</w:t>
            </w:r>
            <w:r w:rsidR="00C16180" w:rsidRPr="003E2563">
              <w:t xml:space="preserve"> </w:t>
            </w:r>
            <w:r w:rsidR="00354816" w:rsidRPr="003E2563">
              <w:t>202</w:t>
            </w:r>
            <w:r w:rsidR="00C16180">
              <w:t>1</w:t>
            </w:r>
          </w:p>
        </w:tc>
      </w:tr>
      <w:tr w:rsidR="00354816" w14:paraId="7F1C9DF7" w14:textId="77777777" w:rsidTr="00FC0D35">
        <w:tc>
          <w:tcPr>
            <w:tcW w:w="1330" w:type="pct"/>
            <w:tcBorders>
              <w:top w:val="single" w:sz="2" w:space="0" w:color="auto"/>
              <w:left w:val="nil"/>
              <w:bottom w:val="single" w:sz="4" w:space="0" w:color="auto"/>
              <w:right w:val="nil"/>
            </w:tcBorders>
            <w:hideMark/>
          </w:tcPr>
          <w:p w14:paraId="287A59CF" w14:textId="77777777" w:rsidR="00354816" w:rsidRDefault="00354816" w:rsidP="00354816">
            <w:pPr>
              <w:spacing w:before="120"/>
            </w:pPr>
            <w:r>
              <w:t>Replaces</w:t>
            </w:r>
          </w:p>
        </w:tc>
        <w:tc>
          <w:tcPr>
            <w:tcW w:w="3670" w:type="pct"/>
            <w:tcBorders>
              <w:top w:val="single" w:sz="2" w:space="0" w:color="auto"/>
              <w:left w:val="nil"/>
              <w:bottom w:val="single" w:sz="4" w:space="0" w:color="auto"/>
              <w:right w:val="nil"/>
            </w:tcBorders>
            <w:hideMark/>
          </w:tcPr>
          <w:p w14:paraId="78D42F04" w14:textId="4A815B75" w:rsidR="00354816" w:rsidRDefault="00471183" w:rsidP="00354816">
            <w:pPr>
              <w:spacing w:before="120"/>
            </w:pPr>
            <w:r>
              <w:t>n/a</w:t>
            </w:r>
          </w:p>
        </w:tc>
      </w:tr>
      <w:tr w:rsidR="00354816" w14:paraId="77A2B1C5" w14:textId="77777777" w:rsidTr="00FC0D35">
        <w:tc>
          <w:tcPr>
            <w:tcW w:w="1330" w:type="pct"/>
            <w:tcBorders>
              <w:top w:val="single" w:sz="4" w:space="0" w:color="auto"/>
              <w:left w:val="nil"/>
              <w:bottom w:val="single" w:sz="4" w:space="0" w:color="auto"/>
              <w:right w:val="nil"/>
            </w:tcBorders>
            <w:hideMark/>
          </w:tcPr>
          <w:p w14:paraId="07E51421" w14:textId="77777777" w:rsidR="00354816" w:rsidRDefault="00354816" w:rsidP="00354816">
            <w:pPr>
              <w:spacing w:before="120"/>
            </w:pPr>
            <w:r>
              <w:t>Information in this bulletin applies to</w:t>
            </w:r>
          </w:p>
        </w:tc>
        <w:tc>
          <w:tcPr>
            <w:tcW w:w="3670" w:type="pct"/>
            <w:tcBorders>
              <w:top w:val="single" w:sz="4" w:space="0" w:color="auto"/>
              <w:left w:val="nil"/>
              <w:bottom w:val="single" w:sz="4" w:space="0" w:color="auto"/>
              <w:right w:val="nil"/>
            </w:tcBorders>
            <w:hideMark/>
          </w:tcPr>
          <w:p w14:paraId="4EF3BCE6" w14:textId="30919128" w:rsidR="00D37B9F" w:rsidRDefault="00886CF2" w:rsidP="004770A6">
            <w:pPr>
              <w:pStyle w:val="ListBullet"/>
              <w:numPr>
                <w:ilvl w:val="0"/>
                <w:numId w:val="0"/>
              </w:numPr>
              <w:spacing w:before="120"/>
            </w:pPr>
            <w:r>
              <w:t>A</w:t>
            </w:r>
            <w:r w:rsidR="005A2436">
              <w:t>pp</w:t>
            </w:r>
            <w:r>
              <w:t xml:space="preserve">roved providers of </w:t>
            </w:r>
            <w:r w:rsidR="004770A6">
              <w:t xml:space="preserve">residential </w:t>
            </w:r>
            <w:r>
              <w:t>aged care services</w:t>
            </w:r>
            <w:r w:rsidR="00612A10">
              <w:t xml:space="preserve"> and </w:t>
            </w:r>
            <w:r w:rsidR="00C9359D">
              <w:t>flexible care services through which short-term restorative care (STRC services) is provided in a residential care setting.</w:t>
            </w:r>
          </w:p>
        </w:tc>
      </w:tr>
      <w:tr w:rsidR="00B44E0A" w14:paraId="26676563" w14:textId="77777777" w:rsidTr="00FC0D35">
        <w:tc>
          <w:tcPr>
            <w:tcW w:w="1330" w:type="pct"/>
            <w:tcBorders>
              <w:top w:val="single" w:sz="4" w:space="0" w:color="auto"/>
              <w:left w:val="nil"/>
              <w:bottom w:val="single" w:sz="4" w:space="0" w:color="auto"/>
              <w:right w:val="nil"/>
            </w:tcBorders>
          </w:tcPr>
          <w:p w14:paraId="045D48ED" w14:textId="1ABB7DC2" w:rsidR="00B44E0A" w:rsidRDefault="00B44E0A" w:rsidP="00354816">
            <w:pPr>
              <w:spacing w:before="120"/>
            </w:pPr>
            <w:r>
              <w:t>Attachment</w:t>
            </w:r>
          </w:p>
        </w:tc>
        <w:tc>
          <w:tcPr>
            <w:tcW w:w="3670" w:type="pct"/>
            <w:tcBorders>
              <w:top w:val="single" w:sz="4" w:space="0" w:color="auto"/>
              <w:left w:val="nil"/>
              <w:bottom w:val="single" w:sz="4" w:space="0" w:color="auto"/>
              <w:right w:val="nil"/>
            </w:tcBorders>
          </w:tcPr>
          <w:p w14:paraId="09C35A2F" w14:textId="23A2BD04" w:rsidR="00B44E0A" w:rsidRDefault="00B44E0A" w:rsidP="004770A6">
            <w:pPr>
              <w:pStyle w:val="ListBullet"/>
              <w:numPr>
                <w:ilvl w:val="0"/>
                <w:numId w:val="0"/>
              </w:numPr>
              <w:spacing w:before="120"/>
            </w:pPr>
            <w:r>
              <w:t>n/a</w:t>
            </w:r>
          </w:p>
        </w:tc>
      </w:tr>
      <w:tr w:rsidR="00354816" w14:paraId="21B8C227" w14:textId="77777777" w:rsidTr="00FC0D35">
        <w:tc>
          <w:tcPr>
            <w:tcW w:w="1330" w:type="pct"/>
            <w:tcBorders>
              <w:top w:val="single" w:sz="2" w:space="0" w:color="auto"/>
              <w:left w:val="nil"/>
              <w:bottom w:val="single" w:sz="2" w:space="0" w:color="auto"/>
              <w:right w:val="nil"/>
            </w:tcBorders>
            <w:hideMark/>
          </w:tcPr>
          <w:p w14:paraId="77FC194D" w14:textId="77777777" w:rsidR="00354816" w:rsidRDefault="00354816" w:rsidP="0081399F">
            <w:pPr>
              <w:spacing w:before="120"/>
            </w:pPr>
            <w:r>
              <w:t>Notes</w:t>
            </w:r>
          </w:p>
        </w:tc>
        <w:tc>
          <w:tcPr>
            <w:tcW w:w="3670" w:type="pct"/>
            <w:tcBorders>
              <w:top w:val="single" w:sz="2" w:space="0" w:color="auto"/>
              <w:left w:val="nil"/>
              <w:bottom w:val="single" w:sz="2" w:space="0" w:color="auto"/>
              <w:right w:val="nil"/>
            </w:tcBorders>
          </w:tcPr>
          <w:p w14:paraId="2C17A244" w14:textId="0F0E28A0" w:rsidR="002F2C86" w:rsidRPr="00D15B6F" w:rsidRDefault="00354816" w:rsidP="00051405">
            <w:pPr>
              <w:spacing w:before="120"/>
              <w:rPr>
                <w:rFonts w:eastAsia="Times New Roman"/>
                <w:bCs/>
                <w:szCs w:val="24"/>
                <w:lang w:eastAsia="en-AU"/>
              </w:rPr>
            </w:pPr>
            <w:r w:rsidRPr="003E2563">
              <w:t xml:space="preserve">This Regulatory Bulletin </w:t>
            </w:r>
            <w:r w:rsidR="00051405">
              <w:t>is a new bulletin</w:t>
            </w:r>
            <w:r w:rsidR="00810311" w:rsidRPr="0019518D">
              <w:t>.</w:t>
            </w:r>
          </w:p>
        </w:tc>
      </w:tr>
      <w:tr w:rsidR="00354816" w14:paraId="6A137D3E" w14:textId="77777777" w:rsidTr="00FC0D35">
        <w:tc>
          <w:tcPr>
            <w:tcW w:w="1330" w:type="pct"/>
            <w:tcBorders>
              <w:top w:val="single" w:sz="2" w:space="0" w:color="auto"/>
              <w:left w:val="nil"/>
              <w:bottom w:val="single" w:sz="2" w:space="0" w:color="auto"/>
              <w:right w:val="nil"/>
            </w:tcBorders>
            <w:hideMark/>
          </w:tcPr>
          <w:p w14:paraId="47FD1587" w14:textId="77777777" w:rsidR="00354816" w:rsidRDefault="00354816" w:rsidP="00354816">
            <w:pPr>
              <w:spacing w:before="120"/>
            </w:pPr>
            <w:r w:rsidRPr="000667E6">
              <w:rPr>
                <w:shd w:val="clear" w:color="auto" w:fill="FFFFFF"/>
              </w:rPr>
              <w:t>To be reviewed</w:t>
            </w:r>
          </w:p>
        </w:tc>
        <w:tc>
          <w:tcPr>
            <w:tcW w:w="3670" w:type="pct"/>
            <w:tcBorders>
              <w:top w:val="single" w:sz="2" w:space="0" w:color="auto"/>
              <w:left w:val="nil"/>
              <w:bottom w:val="single" w:sz="2" w:space="0" w:color="auto"/>
              <w:right w:val="nil"/>
            </w:tcBorders>
            <w:hideMark/>
          </w:tcPr>
          <w:p w14:paraId="532FC132" w14:textId="6DB76B0A" w:rsidR="00354816" w:rsidRDefault="00134A61" w:rsidP="00354816">
            <w:pPr>
              <w:spacing w:before="120"/>
            </w:pPr>
            <w:r w:rsidRPr="00DC6AFB">
              <w:t>25</w:t>
            </w:r>
            <w:r w:rsidR="00E80AC7">
              <w:t xml:space="preserve"> </w:t>
            </w:r>
            <w:r w:rsidR="005E65B8">
              <w:t>August</w:t>
            </w:r>
            <w:r w:rsidR="008B7ABB">
              <w:t xml:space="preserve"> </w:t>
            </w:r>
            <w:r w:rsidR="00C16180">
              <w:t>2022</w:t>
            </w:r>
          </w:p>
        </w:tc>
      </w:tr>
    </w:tbl>
    <w:p w14:paraId="2F7DA7A2" w14:textId="77777777" w:rsidR="00FC0D35" w:rsidRDefault="00FC0D35" w:rsidP="00FC0D35">
      <w:pPr>
        <w:spacing w:before="0" w:after="160" w:line="256" w:lineRule="auto"/>
        <w:rPr>
          <w:b/>
          <w:color w:val="000000" w:themeColor="text1"/>
          <w:sz w:val="56"/>
          <w:szCs w:val="32"/>
        </w:rPr>
      </w:pPr>
      <w:r>
        <w:br w:type="page"/>
      </w:r>
    </w:p>
    <w:p w14:paraId="0294C2EE" w14:textId="77777777" w:rsidR="00FC0D35" w:rsidRDefault="00FC0D35" w:rsidP="00FC0D35">
      <w:pPr>
        <w:pStyle w:val="Subtitle"/>
      </w:pPr>
      <w:r>
        <w:lastRenderedPageBreak/>
        <w:t>Regulatory Bulletin</w:t>
      </w:r>
    </w:p>
    <w:p w14:paraId="2006C61B" w14:textId="0D57ECFE" w:rsidR="00FC0D35" w:rsidRDefault="00547FE9" w:rsidP="00FC0D35">
      <w:pPr>
        <w:pStyle w:val="Heading1"/>
      </w:pPr>
      <w:r w:rsidRPr="00547FE9">
        <w:t>RB 20</w:t>
      </w:r>
      <w:r w:rsidR="00817B7B">
        <w:t>2</w:t>
      </w:r>
      <w:r w:rsidRPr="00547FE9">
        <w:t>1-</w:t>
      </w:r>
      <w:r w:rsidR="00817B7B">
        <w:t>1</w:t>
      </w:r>
      <w:r w:rsidR="005913EA">
        <w:t>4</w:t>
      </w:r>
      <w:r w:rsidRPr="00547FE9">
        <w:t xml:space="preserve">: </w:t>
      </w:r>
      <w:r w:rsidR="00817B7B">
        <w:t>Change in service ownership</w:t>
      </w:r>
    </w:p>
    <w:p w14:paraId="5A96A704" w14:textId="77777777" w:rsidR="004167D3" w:rsidRDefault="007B32E2" w:rsidP="00177A35">
      <w:r>
        <w:t>The</w:t>
      </w:r>
      <w:r w:rsidR="00114B56">
        <w:t xml:space="preserve"> ownership of a residential aged care service </w:t>
      </w:r>
      <w:r w:rsidR="00A2185B">
        <w:t xml:space="preserve">may be changed from </w:t>
      </w:r>
      <w:r w:rsidR="00550598">
        <w:t xml:space="preserve">one approved provider </w:t>
      </w:r>
      <w:r w:rsidR="00114B56">
        <w:t>to another</w:t>
      </w:r>
      <w:r w:rsidR="00930D05">
        <w:t xml:space="preserve"> for various reasons</w:t>
      </w:r>
      <w:r w:rsidR="00114B56">
        <w:t xml:space="preserve">. </w:t>
      </w:r>
      <w:r w:rsidR="00171912" w:rsidRPr="00A53FF0">
        <w:t xml:space="preserve">For the purposes of this </w:t>
      </w:r>
      <w:r w:rsidR="00171912">
        <w:t>bulletin</w:t>
      </w:r>
      <w:r w:rsidR="00171912" w:rsidRPr="00A53FF0">
        <w:t>, th</w:t>
      </w:r>
      <w:r w:rsidR="00171912">
        <w:t>is is referred to as a transfer.</w:t>
      </w:r>
      <w:r w:rsidR="00171912" w:rsidRPr="00A53FF0">
        <w:t> </w:t>
      </w:r>
    </w:p>
    <w:p w14:paraId="0BFAD4A6" w14:textId="77083618" w:rsidR="00177A35" w:rsidRDefault="0031734A" w:rsidP="00177A35">
      <w:r>
        <w:t xml:space="preserve">The </w:t>
      </w:r>
      <w:r w:rsidR="0050672A">
        <w:t xml:space="preserve">Aged Care Quality and Safety </w:t>
      </w:r>
      <w:r>
        <w:t xml:space="preserve">Commission </w:t>
      </w:r>
      <w:r w:rsidR="009017D3">
        <w:t xml:space="preserve">(Commission) </w:t>
      </w:r>
      <w:r w:rsidR="00BB13D1">
        <w:t xml:space="preserve">engages with </w:t>
      </w:r>
      <w:r w:rsidR="008726D4">
        <w:t>a</w:t>
      </w:r>
      <w:r w:rsidR="00BB13D1">
        <w:t xml:space="preserve"> new </w:t>
      </w:r>
      <w:r w:rsidR="005E0074">
        <w:t xml:space="preserve">approved </w:t>
      </w:r>
      <w:r w:rsidR="00BB13D1">
        <w:t>provider prior to, during and after the transfer of a service</w:t>
      </w:r>
      <w:r w:rsidR="000C52E1">
        <w:t xml:space="preserve"> to </w:t>
      </w:r>
      <w:r w:rsidR="00896B1F">
        <w:t>ensure</w:t>
      </w:r>
      <w:r w:rsidR="00E10935">
        <w:t xml:space="preserve"> that</w:t>
      </w:r>
      <w:r w:rsidR="00896B1F">
        <w:t xml:space="preserve"> the</w:t>
      </w:r>
      <w:r w:rsidR="000C52E1">
        <w:t xml:space="preserve"> new </w:t>
      </w:r>
      <w:r w:rsidR="005E0074">
        <w:t xml:space="preserve">approved </w:t>
      </w:r>
      <w:r w:rsidR="000C52E1">
        <w:t xml:space="preserve">provider </w:t>
      </w:r>
      <w:r w:rsidR="00FE760E">
        <w:t>complies</w:t>
      </w:r>
      <w:r w:rsidR="000C52E1">
        <w:t xml:space="preserve"> </w:t>
      </w:r>
      <w:r w:rsidR="00B23563">
        <w:t xml:space="preserve">with </w:t>
      </w:r>
      <w:r w:rsidR="00C763BD">
        <w:t xml:space="preserve">their </w:t>
      </w:r>
      <w:r w:rsidR="00760979">
        <w:t xml:space="preserve">aged care responsibilities </w:t>
      </w:r>
      <w:r w:rsidR="00FE760E">
        <w:t>including</w:t>
      </w:r>
      <w:r w:rsidR="00760979">
        <w:t xml:space="preserve"> </w:t>
      </w:r>
      <w:r w:rsidR="00B23563">
        <w:t>the Aged Care Quality Standards (Quality Standards)</w:t>
      </w:r>
      <w:r w:rsidR="00E10935">
        <w:t>.</w:t>
      </w:r>
      <w:r w:rsidR="00FD43F2">
        <w:t xml:space="preserve"> The Commissio</w:t>
      </w:r>
      <w:r w:rsidR="00E633EA">
        <w:t xml:space="preserve">n </w:t>
      </w:r>
      <w:r w:rsidR="00FD43F2">
        <w:t xml:space="preserve">also </w:t>
      </w:r>
      <w:r w:rsidR="00CE3A52">
        <w:t xml:space="preserve">works with new approved providers to </w:t>
      </w:r>
      <w:r w:rsidR="00177A35">
        <w:t xml:space="preserve">mitigate and manage risks to </w:t>
      </w:r>
      <w:r w:rsidR="00C24C82">
        <w:t>the delivery of quality and safe care to consumers at a service following transfer.</w:t>
      </w:r>
    </w:p>
    <w:p w14:paraId="05553BBE" w14:textId="0A16DF3C" w:rsidR="004339C1" w:rsidRDefault="005A6EAA" w:rsidP="00A46C3F">
      <w:pPr>
        <w:rPr>
          <w:rStyle w:val="normaltextrun"/>
          <w:color w:val="000000"/>
          <w:shd w:val="clear" w:color="auto" w:fill="FFFFFF"/>
        </w:rPr>
      </w:pPr>
      <w:r w:rsidRPr="00A53FF0">
        <w:t xml:space="preserve">This Regulatory Bulletin outlines the Commission’s </w:t>
      </w:r>
      <w:r w:rsidR="00D74440">
        <w:t xml:space="preserve">regulatory </w:t>
      </w:r>
      <w:r w:rsidR="001706E0">
        <w:t xml:space="preserve">approach </w:t>
      </w:r>
      <w:r w:rsidR="00482F7C">
        <w:t>where there is a</w:t>
      </w:r>
      <w:r w:rsidR="007B03CF">
        <w:t xml:space="preserve"> </w:t>
      </w:r>
      <w:r w:rsidR="00376B29">
        <w:t>transfer</w:t>
      </w:r>
      <w:r w:rsidR="001706E0">
        <w:t>.</w:t>
      </w:r>
      <w:r w:rsidR="00376B29">
        <w:t xml:space="preserve"> </w:t>
      </w:r>
      <w:r w:rsidRPr="003E2563">
        <w:rPr>
          <w:rFonts w:eastAsia="Calibri" w:cs="Times New Roman"/>
        </w:rPr>
        <w:t xml:space="preserve">It </w:t>
      </w:r>
      <w:r w:rsidR="005D3554">
        <w:rPr>
          <w:rFonts w:eastAsia="Calibri" w:cs="Times New Roman"/>
        </w:rPr>
        <w:t xml:space="preserve">includes </w:t>
      </w:r>
      <w:r w:rsidR="00034DEF">
        <w:rPr>
          <w:rFonts w:eastAsia="Calibri" w:cs="Times New Roman"/>
        </w:rPr>
        <w:t xml:space="preserve">the approach to </w:t>
      </w:r>
      <w:r w:rsidR="00096686">
        <w:rPr>
          <w:rFonts w:eastAsia="Calibri" w:cs="Times New Roman"/>
        </w:rPr>
        <w:t>accreditation</w:t>
      </w:r>
      <w:r w:rsidR="00034DEF">
        <w:rPr>
          <w:rFonts w:eastAsia="Calibri" w:cs="Times New Roman"/>
        </w:rPr>
        <w:t xml:space="preserve"> arrangements</w:t>
      </w:r>
      <w:r w:rsidR="005C5B2A">
        <w:rPr>
          <w:rFonts w:eastAsia="Calibri" w:cs="Times New Roman"/>
        </w:rPr>
        <w:t xml:space="preserve">, </w:t>
      </w:r>
      <w:r w:rsidR="00A779C5">
        <w:rPr>
          <w:rFonts w:eastAsia="Calibri" w:cs="Times New Roman"/>
        </w:rPr>
        <w:t>management of any</w:t>
      </w:r>
      <w:r w:rsidR="005C5B2A">
        <w:rPr>
          <w:rFonts w:eastAsia="Calibri" w:cs="Times New Roman"/>
        </w:rPr>
        <w:t xml:space="preserve"> </w:t>
      </w:r>
      <w:r w:rsidR="00EC2321">
        <w:rPr>
          <w:rStyle w:val="normaltextrun"/>
          <w:color w:val="000000"/>
          <w:shd w:val="clear" w:color="auto" w:fill="FFFFFF"/>
        </w:rPr>
        <w:t>non</w:t>
      </w:r>
      <w:r w:rsidR="006862EC">
        <w:rPr>
          <w:rStyle w:val="normaltextrun"/>
          <w:color w:val="000000"/>
          <w:shd w:val="clear" w:color="auto" w:fill="FFFFFF"/>
        </w:rPr>
        <w:noBreakHyphen/>
      </w:r>
      <w:r w:rsidR="00EC2321">
        <w:rPr>
          <w:rStyle w:val="normaltextrun"/>
          <w:color w:val="000000"/>
          <w:shd w:val="clear" w:color="auto" w:fill="FFFFFF"/>
        </w:rPr>
        <w:t>compliance and enforcement actions</w:t>
      </w:r>
      <w:r w:rsidR="00A779C5">
        <w:rPr>
          <w:rStyle w:val="normaltextrun"/>
          <w:color w:val="000000"/>
          <w:shd w:val="clear" w:color="auto" w:fill="FFFFFF"/>
        </w:rPr>
        <w:t xml:space="preserve"> or unresolved complaints</w:t>
      </w:r>
      <w:r w:rsidR="00EC2321">
        <w:rPr>
          <w:rStyle w:val="normaltextrun"/>
          <w:color w:val="000000"/>
          <w:shd w:val="clear" w:color="auto" w:fill="FFFFFF"/>
        </w:rPr>
        <w:t>, </w:t>
      </w:r>
      <w:r w:rsidR="00311DBD">
        <w:rPr>
          <w:rStyle w:val="normaltextrun"/>
          <w:color w:val="000000"/>
          <w:shd w:val="clear" w:color="auto" w:fill="FFFFFF"/>
        </w:rPr>
        <w:t>a</w:t>
      </w:r>
      <w:r w:rsidR="00A779C5">
        <w:rPr>
          <w:rStyle w:val="normaltextrun"/>
          <w:color w:val="000000"/>
          <w:shd w:val="clear" w:color="auto" w:fill="FFFFFF"/>
        </w:rPr>
        <w:t xml:space="preserve">s well as </w:t>
      </w:r>
      <w:r w:rsidR="0010331C">
        <w:rPr>
          <w:rStyle w:val="normaltextrun"/>
          <w:color w:val="000000"/>
          <w:shd w:val="clear" w:color="auto" w:fill="FFFFFF"/>
        </w:rPr>
        <w:t>publication of</w:t>
      </w:r>
      <w:r w:rsidR="004339C1">
        <w:rPr>
          <w:rStyle w:val="normaltextrun"/>
          <w:color w:val="000000"/>
          <w:shd w:val="clear" w:color="auto" w:fill="FFFFFF"/>
        </w:rPr>
        <w:t xml:space="preserve"> </w:t>
      </w:r>
      <w:r w:rsidR="00EC2321">
        <w:rPr>
          <w:rStyle w:val="normaltextrun"/>
          <w:color w:val="000000"/>
          <w:shd w:val="clear" w:color="auto" w:fill="FFFFFF"/>
        </w:rPr>
        <w:t>performance</w:t>
      </w:r>
      <w:r w:rsidR="004339C1">
        <w:rPr>
          <w:rStyle w:val="normaltextrun"/>
          <w:color w:val="000000"/>
          <w:shd w:val="clear" w:color="auto" w:fill="FFFFFF"/>
        </w:rPr>
        <w:t xml:space="preserve"> </w:t>
      </w:r>
      <w:r w:rsidR="00EC2321">
        <w:rPr>
          <w:rStyle w:val="normaltextrun"/>
          <w:color w:val="000000"/>
          <w:shd w:val="clear" w:color="auto" w:fill="FFFFFF"/>
        </w:rPr>
        <w:t>and</w:t>
      </w:r>
      <w:r w:rsidR="004339C1">
        <w:rPr>
          <w:rStyle w:val="normaltextrun"/>
          <w:color w:val="000000"/>
          <w:shd w:val="clear" w:color="auto" w:fill="FFFFFF"/>
        </w:rPr>
        <w:t xml:space="preserve"> </w:t>
      </w:r>
      <w:r w:rsidR="00EC2321">
        <w:rPr>
          <w:rStyle w:val="normaltextrun"/>
          <w:color w:val="000000"/>
          <w:shd w:val="clear" w:color="auto" w:fill="FFFFFF"/>
        </w:rPr>
        <w:t>compliance information</w:t>
      </w:r>
      <w:r w:rsidR="004339C1">
        <w:rPr>
          <w:rStyle w:val="normaltextrun"/>
          <w:color w:val="000000"/>
          <w:shd w:val="clear" w:color="auto" w:fill="FFFFFF"/>
        </w:rPr>
        <w:t>.</w:t>
      </w:r>
    </w:p>
    <w:p w14:paraId="01899747" w14:textId="62682213" w:rsidR="00FD1EAD" w:rsidRDefault="0029431B" w:rsidP="0044566A">
      <w:r>
        <w:t>In this Bulletin:</w:t>
      </w:r>
    </w:p>
    <w:p w14:paraId="0D270531" w14:textId="096E4A77" w:rsidR="003846CA" w:rsidRPr="003E6504" w:rsidRDefault="003846CA" w:rsidP="003846CA">
      <w:pPr>
        <w:pStyle w:val="ListBullet"/>
        <w:ind w:left="426" w:hanging="426"/>
        <w:rPr>
          <w:b/>
        </w:rPr>
      </w:pPr>
      <w:r w:rsidRPr="003E6504">
        <w:rPr>
          <w:b/>
        </w:rPr>
        <w:t xml:space="preserve">New approved provider </w:t>
      </w:r>
      <w:r>
        <w:t>means the approved provider of a service following transfer.</w:t>
      </w:r>
    </w:p>
    <w:p w14:paraId="5998D8E0" w14:textId="2CFED383" w:rsidR="003846CA" w:rsidRDefault="003846CA" w:rsidP="003846CA">
      <w:pPr>
        <w:pStyle w:val="ListBullet"/>
        <w:ind w:left="426" w:hanging="426"/>
      </w:pPr>
      <w:r>
        <w:rPr>
          <w:b/>
        </w:rPr>
        <w:t xml:space="preserve">Previous approved provider </w:t>
      </w:r>
      <w:r>
        <w:t>means the approved provider of a service prior to transfer.</w:t>
      </w:r>
    </w:p>
    <w:p w14:paraId="646437CD" w14:textId="7542FB7F" w:rsidR="00CE508C" w:rsidRDefault="004339C1" w:rsidP="00CE508C">
      <w:pPr>
        <w:pStyle w:val="ListBullet"/>
        <w:ind w:left="426" w:hanging="426"/>
      </w:pPr>
      <w:r>
        <w:rPr>
          <w:b/>
        </w:rPr>
        <w:t>Transfer</w:t>
      </w:r>
      <w:r w:rsidR="00CE508C" w:rsidRPr="00CE508C">
        <w:t xml:space="preserve"> means the </w:t>
      </w:r>
      <w:r w:rsidR="004922B8">
        <w:t>ownership of a service moving from one approved provider to another approved provider.</w:t>
      </w:r>
    </w:p>
    <w:p w14:paraId="1E9AFF1D" w14:textId="3E31E33D" w:rsidR="00304955" w:rsidRPr="00C33890" w:rsidRDefault="00304955" w:rsidP="00CE508C">
      <w:pPr>
        <w:pStyle w:val="ListBullet"/>
        <w:ind w:left="426" w:hanging="426"/>
        <w:rPr>
          <w:b/>
        </w:rPr>
      </w:pPr>
      <w:r>
        <w:rPr>
          <w:b/>
        </w:rPr>
        <w:t xml:space="preserve">Transferred service </w:t>
      </w:r>
      <w:r>
        <w:t>means a service whose ownership has transferred from one approved provider to another approved provider.</w:t>
      </w:r>
    </w:p>
    <w:p w14:paraId="4F39ED56" w14:textId="16B7F1D6" w:rsidR="00FC0D35" w:rsidRPr="001D0B01" w:rsidRDefault="007F6653" w:rsidP="00CF558F">
      <w:pPr>
        <w:spacing w:after="360"/>
      </w:pPr>
      <w:r w:rsidRPr="009116BE">
        <w:t xml:space="preserve">Refer to the </w:t>
      </w:r>
      <w:hyperlink r:id="rId9" w:history="1">
        <w:r w:rsidRPr="007F6653">
          <w:rPr>
            <w:rStyle w:val="Hyperlink"/>
            <w:i/>
          </w:rPr>
          <w:t>Commission’s glossary</w:t>
        </w:r>
      </w:hyperlink>
      <w:r w:rsidR="001E2E5D">
        <w:rPr>
          <w:rStyle w:val="FootnoteReference"/>
        </w:rPr>
        <w:footnoteReference w:id="2"/>
      </w:r>
      <w:r w:rsidR="001E2E5D">
        <w:t xml:space="preserve"> </w:t>
      </w:r>
      <w:r w:rsidRPr="009116BE">
        <w:t>for definitions of key terms.</w:t>
      </w:r>
    </w:p>
    <w:p w14:paraId="11B4EC40" w14:textId="77777777" w:rsidR="00FC0D35" w:rsidRDefault="00FC0D35" w:rsidP="00FC0D35">
      <w:pPr>
        <w:pStyle w:val="Heading1"/>
      </w:pPr>
      <w:r w:rsidRPr="00A46785">
        <w:t>Key Points</w:t>
      </w:r>
    </w:p>
    <w:p w14:paraId="18B8FCCF" w14:textId="15039C95" w:rsidR="00CB5797" w:rsidRPr="00FA4C55" w:rsidRDefault="00FA4C55" w:rsidP="00FA4C55">
      <w:pPr>
        <w:pStyle w:val="ListBullet"/>
        <w:ind w:left="426" w:hanging="426"/>
      </w:pPr>
      <w:r w:rsidRPr="00FA4C55">
        <w:t>Where there is a transfer of a service, the service’s accreditation status and period of accreditation remain the same</w:t>
      </w:r>
      <w:r w:rsidR="000927F8">
        <w:t xml:space="preserve"> as before the transfer</w:t>
      </w:r>
      <w:r w:rsidRPr="00FA4C55">
        <w:t>.</w:t>
      </w:r>
    </w:p>
    <w:p w14:paraId="414CEE24" w14:textId="77777777" w:rsidR="00364830" w:rsidRPr="00364830" w:rsidRDefault="00364830">
      <w:pPr>
        <w:pStyle w:val="ListBullet"/>
        <w:ind w:left="426" w:hanging="426"/>
      </w:pPr>
      <w:r w:rsidRPr="008B563A">
        <w:t xml:space="preserve">As non-compliance relates to an approved provider’s aged care responsibilities in relation to a service, the non-compliance of a previous approved provider is not attributed to a new approved provider of a service following transfer. </w:t>
      </w:r>
    </w:p>
    <w:p w14:paraId="43F01B32" w14:textId="574FB1C7" w:rsidR="008B563A" w:rsidRPr="008B563A" w:rsidRDefault="009A554F" w:rsidP="008B563A">
      <w:pPr>
        <w:pStyle w:val="ListBullet"/>
        <w:ind w:left="426" w:hanging="426"/>
      </w:pPr>
      <w:r>
        <w:lastRenderedPageBreak/>
        <w:t>In situations where</w:t>
      </w:r>
      <w:r w:rsidR="001D2070">
        <w:t xml:space="preserve"> the previous approved provider </w:t>
      </w:r>
      <w:r w:rsidR="002A3B32">
        <w:t>had been found</w:t>
      </w:r>
      <w:r w:rsidR="00BC17E0">
        <w:t xml:space="preserve"> </w:t>
      </w:r>
      <w:r w:rsidR="001D2070">
        <w:t>non-compliant</w:t>
      </w:r>
      <w:r w:rsidR="00474A44">
        <w:t xml:space="preserve"> with the</w:t>
      </w:r>
      <w:r w:rsidR="00884F16">
        <w:t>ir aged care responsibilities</w:t>
      </w:r>
      <w:r w:rsidR="001D2070">
        <w:t xml:space="preserve">, the non-compliance </w:t>
      </w:r>
      <w:r w:rsidR="00C85A5A" w:rsidRPr="00FA4C55">
        <w:t xml:space="preserve">does not continue to </w:t>
      </w:r>
      <w:r w:rsidR="004A7267">
        <w:t xml:space="preserve">apply </w:t>
      </w:r>
      <w:r w:rsidR="00C85A5A" w:rsidRPr="00FA4C55">
        <w:t>to </w:t>
      </w:r>
      <w:r w:rsidR="00F75361">
        <w:t>the</w:t>
      </w:r>
      <w:r w:rsidR="00C85A5A" w:rsidRPr="00FA4C55">
        <w:t xml:space="preserve"> new </w:t>
      </w:r>
      <w:r w:rsidR="00F75361">
        <w:t xml:space="preserve">approved </w:t>
      </w:r>
      <w:r w:rsidR="00C85A5A" w:rsidRPr="00FA4C55">
        <w:t>provider</w:t>
      </w:r>
      <w:r w:rsidR="00C85A5A">
        <w:t>.</w:t>
      </w:r>
      <w:r w:rsidR="00854975">
        <w:t xml:space="preserve"> </w:t>
      </w:r>
      <w:r w:rsidR="008B563A" w:rsidRPr="008B563A">
        <w:t xml:space="preserve">This means: </w:t>
      </w:r>
    </w:p>
    <w:p w14:paraId="6D50390F" w14:textId="4B36BEA0" w:rsidR="008B563A" w:rsidRDefault="008B563A" w:rsidP="008B563A">
      <w:pPr>
        <w:pStyle w:val="ListParagraph"/>
        <w:widowControl w:val="0"/>
        <w:numPr>
          <w:ilvl w:val="1"/>
          <w:numId w:val="17"/>
        </w:numPr>
        <w:spacing w:before="0"/>
        <w:contextualSpacing w:val="0"/>
        <w:rPr>
          <w:rFonts w:eastAsia="Arial"/>
          <w:color w:val="000000" w:themeColor="text1"/>
          <w:szCs w:val="24"/>
        </w:rPr>
      </w:pPr>
      <w:r w:rsidRPr="2A7AB206">
        <w:rPr>
          <w:rFonts w:eastAsia="Arial"/>
          <w:color w:val="000000" w:themeColor="text1"/>
          <w:szCs w:val="24"/>
        </w:rPr>
        <w:t xml:space="preserve">any enforceable regulatory action taken by the Commission in response to non-compliance by the previous approved provider does not continue to be applied to the new </w:t>
      </w:r>
      <w:r w:rsidR="00676DF3">
        <w:rPr>
          <w:rFonts w:eastAsia="Arial"/>
          <w:color w:val="000000" w:themeColor="text1"/>
          <w:szCs w:val="24"/>
        </w:rPr>
        <w:t xml:space="preserve">approved </w:t>
      </w:r>
      <w:r w:rsidRPr="2A7AB206">
        <w:rPr>
          <w:rFonts w:eastAsia="Arial"/>
          <w:color w:val="000000" w:themeColor="text1"/>
          <w:szCs w:val="24"/>
        </w:rPr>
        <w:t>provider</w:t>
      </w:r>
    </w:p>
    <w:p w14:paraId="39A9E3DE" w14:textId="1B2D3B12" w:rsidR="008B563A" w:rsidRPr="001462C3" w:rsidRDefault="008B563A" w:rsidP="008B563A">
      <w:pPr>
        <w:pStyle w:val="ListParagraph"/>
        <w:widowControl w:val="0"/>
        <w:numPr>
          <w:ilvl w:val="1"/>
          <w:numId w:val="17"/>
        </w:numPr>
        <w:spacing w:before="0"/>
        <w:contextualSpacing w:val="0"/>
        <w:rPr>
          <w:rFonts w:eastAsia="Arial"/>
          <w:color w:val="000000" w:themeColor="text1"/>
          <w:szCs w:val="24"/>
        </w:rPr>
      </w:pPr>
      <w:r>
        <w:rPr>
          <w:rFonts w:eastAsia="Arial"/>
          <w:color w:val="000000" w:themeColor="text1"/>
          <w:szCs w:val="24"/>
        </w:rPr>
        <w:t>w</w:t>
      </w:r>
      <w:r w:rsidRPr="001462C3">
        <w:rPr>
          <w:rFonts w:eastAsia="Arial"/>
          <w:color w:val="000000" w:themeColor="text1"/>
          <w:szCs w:val="24"/>
        </w:rPr>
        <w:t xml:space="preserve">here the Commission has made a finding of non-compliance with the </w:t>
      </w:r>
      <w:r>
        <w:rPr>
          <w:rFonts w:eastAsia="Arial"/>
          <w:color w:val="000000" w:themeColor="text1"/>
          <w:szCs w:val="24"/>
        </w:rPr>
        <w:t>Quality Standards prior to transfer</w:t>
      </w:r>
      <w:r w:rsidRPr="001462C3">
        <w:rPr>
          <w:rFonts w:eastAsia="Arial"/>
          <w:color w:val="000000" w:themeColor="text1"/>
          <w:szCs w:val="24"/>
        </w:rPr>
        <w:t xml:space="preserve">, the non-compliance does not continue to be applied to </w:t>
      </w:r>
      <w:r>
        <w:rPr>
          <w:rFonts w:eastAsia="Arial"/>
          <w:color w:val="000000" w:themeColor="text1"/>
          <w:szCs w:val="24"/>
        </w:rPr>
        <w:t>the</w:t>
      </w:r>
      <w:r w:rsidRPr="001462C3">
        <w:rPr>
          <w:rFonts w:eastAsia="Arial"/>
          <w:color w:val="000000" w:themeColor="text1"/>
          <w:szCs w:val="24"/>
        </w:rPr>
        <w:t xml:space="preserve"> new </w:t>
      </w:r>
      <w:r w:rsidR="00676DF3">
        <w:rPr>
          <w:rFonts w:eastAsia="Arial"/>
          <w:color w:val="000000" w:themeColor="text1"/>
          <w:szCs w:val="24"/>
        </w:rPr>
        <w:t xml:space="preserve">approved </w:t>
      </w:r>
      <w:r w:rsidRPr="001462C3">
        <w:rPr>
          <w:rFonts w:eastAsia="Arial"/>
          <w:color w:val="000000" w:themeColor="text1"/>
          <w:szCs w:val="24"/>
        </w:rPr>
        <w:t>provider.</w:t>
      </w:r>
    </w:p>
    <w:p w14:paraId="2DE8822F" w14:textId="7076C900" w:rsidR="00233AF5" w:rsidRPr="00233AF5" w:rsidRDefault="686A0873" w:rsidP="00446EEC">
      <w:pPr>
        <w:pStyle w:val="ListBullet"/>
        <w:ind w:left="426" w:hanging="426"/>
      </w:pPr>
      <w:r w:rsidRPr="44B408FB">
        <w:rPr>
          <w:rFonts w:eastAsia="Arial"/>
          <w:color w:val="000000" w:themeColor="text1"/>
        </w:rPr>
        <w:t xml:space="preserve">In </w:t>
      </w:r>
      <w:r w:rsidR="3B6C2A25" w:rsidRPr="44B408FB">
        <w:rPr>
          <w:rFonts w:eastAsia="Arial"/>
          <w:color w:val="000000" w:themeColor="text1"/>
        </w:rPr>
        <w:t>these circumstances</w:t>
      </w:r>
      <w:r w:rsidR="00A0471A">
        <w:rPr>
          <w:rFonts w:eastAsia="Arial"/>
          <w:color w:val="000000" w:themeColor="text1"/>
        </w:rPr>
        <w:t>,</w:t>
      </w:r>
      <w:r w:rsidR="3B6C2A25" w:rsidRPr="44B408FB">
        <w:rPr>
          <w:rFonts w:eastAsia="Arial"/>
          <w:color w:val="000000" w:themeColor="text1"/>
        </w:rPr>
        <w:t xml:space="preserve"> </w:t>
      </w:r>
      <w:r w:rsidR="1FDA4F1F" w:rsidRPr="44B408FB">
        <w:rPr>
          <w:rFonts w:eastAsia="Arial"/>
          <w:color w:val="000000" w:themeColor="text1"/>
        </w:rPr>
        <w:t>t</w:t>
      </w:r>
      <w:r w:rsidR="46CB97F9" w:rsidRPr="44B408FB">
        <w:rPr>
          <w:rFonts w:eastAsia="Arial"/>
          <w:color w:val="000000" w:themeColor="text1"/>
        </w:rPr>
        <w:t xml:space="preserve">he Commission determines its regulatory response to mitigate and manage </w:t>
      </w:r>
      <w:r w:rsidR="37C9C1A4" w:rsidRPr="44B408FB">
        <w:rPr>
          <w:rFonts w:eastAsia="Arial"/>
          <w:color w:val="000000" w:themeColor="text1"/>
        </w:rPr>
        <w:t>any</w:t>
      </w:r>
      <w:r w:rsidR="46CB97F9" w:rsidRPr="44B408FB">
        <w:rPr>
          <w:rFonts w:eastAsia="Arial"/>
          <w:color w:val="000000" w:themeColor="text1"/>
        </w:rPr>
        <w:t xml:space="preserve"> risks to the delivery of quality and safe care to consumers at the service. This includes monitoring activities and performance assessments following transfer.</w:t>
      </w:r>
    </w:p>
    <w:p w14:paraId="763BF6C5" w14:textId="430A4F6F" w:rsidR="00103BD3" w:rsidRPr="00103BD3" w:rsidRDefault="00103BD3" w:rsidP="00446EEC">
      <w:pPr>
        <w:pStyle w:val="ListBullet"/>
        <w:ind w:left="426" w:hanging="426"/>
      </w:pPr>
      <w:r w:rsidRPr="201C5944">
        <w:rPr>
          <w:rFonts w:eastAsia="Arial"/>
          <w:color w:val="000000" w:themeColor="text1"/>
          <w:szCs w:val="24"/>
        </w:rPr>
        <w:t xml:space="preserve">The Commission seeks engagement with the new </w:t>
      </w:r>
      <w:r w:rsidR="00131B7E">
        <w:rPr>
          <w:rFonts w:eastAsia="Arial"/>
          <w:color w:val="000000" w:themeColor="text1"/>
          <w:szCs w:val="24"/>
        </w:rPr>
        <w:t xml:space="preserve">approved </w:t>
      </w:r>
      <w:r w:rsidRPr="201C5944">
        <w:rPr>
          <w:rFonts w:eastAsia="Arial"/>
          <w:color w:val="000000" w:themeColor="text1"/>
          <w:szCs w:val="24"/>
        </w:rPr>
        <w:t xml:space="preserve">provider prior to, during and after transfer of the service. </w:t>
      </w:r>
    </w:p>
    <w:p w14:paraId="6E7FDDE5" w14:textId="2CD804C6" w:rsidR="00FC0D35" w:rsidRDefault="00FA4C55" w:rsidP="0025616E">
      <w:pPr>
        <w:pStyle w:val="ListBullet"/>
        <w:spacing w:after="0"/>
        <w:ind w:left="426" w:hanging="426"/>
      </w:pPr>
      <w:r w:rsidRPr="00FA4C55">
        <w:t>The Commission publishes information on the Commission website where there is a transfer of a service.</w:t>
      </w:r>
      <w:r w:rsidR="00FC0D35">
        <w:t xml:space="preserve"> </w:t>
      </w:r>
    </w:p>
    <w:p w14:paraId="27D89EA1" w14:textId="77777777" w:rsidR="00FC679F" w:rsidRDefault="00FC679F" w:rsidP="0025616E">
      <w:pPr>
        <w:pStyle w:val="ListBullet"/>
        <w:numPr>
          <w:ilvl w:val="0"/>
          <w:numId w:val="0"/>
        </w:numPr>
        <w:pBdr>
          <w:bottom w:val="single" w:sz="4" w:space="1" w:color="auto"/>
        </w:pBdr>
        <w:spacing w:before="0"/>
      </w:pPr>
    </w:p>
    <w:p w14:paraId="0211308D" w14:textId="396ED44E" w:rsidR="009A669F" w:rsidRPr="009B23B2" w:rsidRDefault="009B23B2" w:rsidP="009A669F">
      <w:pPr>
        <w:pStyle w:val="Heading1"/>
      </w:pPr>
      <w:r>
        <w:t xml:space="preserve">Legislative </w:t>
      </w:r>
      <w:r w:rsidR="001F3D3F">
        <w:t>Authority</w:t>
      </w:r>
    </w:p>
    <w:p w14:paraId="1B2F22DF" w14:textId="106C3FF7" w:rsidR="00AD6DF1" w:rsidRDefault="00AD6DF1" w:rsidP="003471D5">
      <w:r>
        <w:t>The Commission’s regulatory functions include the accreditation of residential</w:t>
      </w:r>
      <w:r w:rsidR="00F425F5">
        <w:t xml:space="preserve"> aged</w:t>
      </w:r>
      <w:r>
        <w:t xml:space="preserve"> care services in accordance with the </w:t>
      </w:r>
      <w:r w:rsidR="001B2016" w:rsidRPr="00CF696F">
        <w:t xml:space="preserve">Aged Care Quality and Safety Commission Rules 2018 </w:t>
      </w:r>
      <w:r w:rsidR="001B2016">
        <w:t>(</w:t>
      </w:r>
      <w:r>
        <w:t>Commission Rules</w:t>
      </w:r>
      <w:r w:rsidR="001B2016">
        <w:t>)</w:t>
      </w:r>
      <w:r>
        <w:t>.</w:t>
      </w:r>
      <w:r w:rsidR="00447DB7">
        <w:t xml:space="preserve"> This includes the accreditation of a </w:t>
      </w:r>
      <w:r w:rsidR="00F97FF3">
        <w:t>transferred service</w:t>
      </w:r>
      <w:r w:rsidR="00D46824">
        <w:t>.</w:t>
      </w:r>
    </w:p>
    <w:p w14:paraId="5FE174CE" w14:textId="5EA862CF" w:rsidR="002E5310" w:rsidRDefault="00781C8B" w:rsidP="004574CF">
      <w:r>
        <w:t>The Commission undertakes</w:t>
      </w:r>
      <w:r w:rsidR="00D35330">
        <w:t xml:space="preserve"> monitor</w:t>
      </w:r>
      <w:r w:rsidR="00EA4654">
        <w:t>ing,</w:t>
      </w:r>
      <w:r>
        <w:t xml:space="preserve"> compliance and enforcement actions as part of </w:t>
      </w:r>
      <w:r w:rsidR="003855FF">
        <w:t>its regulatory functions. This includes ensuring</w:t>
      </w:r>
      <w:r>
        <w:t xml:space="preserve"> </w:t>
      </w:r>
      <w:r w:rsidR="00CE3A52">
        <w:t xml:space="preserve">that </w:t>
      </w:r>
      <w:r w:rsidR="003D7C9C">
        <w:t>approved providers</w:t>
      </w:r>
      <w:r w:rsidR="00A71D04">
        <w:t xml:space="preserve">, </w:t>
      </w:r>
      <w:r w:rsidR="00F97FF3">
        <w:t>including new approved providers</w:t>
      </w:r>
      <w:r w:rsidR="00F22CC8">
        <w:t xml:space="preserve"> of transferred services</w:t>
      </w:r>
      <w:r w:rsidR="00A71D04">
        <w:t>,</w:t>
      </w:r>
      <w:r w:rsidR="008F24FE">
        <w:t xml:space="preserve"> </w:t>
      </w:r>
      <w:r w:rsidR="000F0F6B">
        <w:t xml:space="preserve">comply with responsibilities </w:t>
      </w:r>
      <w:r w:rsidR="00F314C4">
        <w:t xml:space="preserve">in delivering aged care </w:t>
      </w:r>
      <w:r w:rsidR="00543648">
        <w:t>services</w:t>
      </w:r>
      <w:r w:rsidR="00CE3A52">
        <w:t>,</w:t>
      </w:r>
      <w:r w:rsidR="00543648">
        <w:t xml:space="preserve"> and</w:t>
      </w:r>
      <w:r w:rsidR="00AE6C71">
        <w:t xml:space="preserve"> </w:t>
      </w:r>
      <w:r w:rsidR="00543648">
        <w:t>hold</w:t>
      </w:r>
      <w:r w:rsidR="003855FF">
        <w:t xml:space="preserve">ing </w:t>
      </w:r>
      <w:r w:rsidR="00A578B6">
        <w:t>approved providers to account when they fail or refuse to comply with their responsibilities.</w:t>
      </w:r>
    </w:p>
    <w:p w14:paraId="7C2B0373" w14:textId="3860C0D6" w:rsidR="00C757F5" w:rsidRPr="004B561F" w:rsidRDefault="004B561F" w:rsidP="0025616E">
      <w:pPr>
        <w:spacing w:after="0"/>
      </w:pPr>
      <w:r w:rsidRPr="004B561F">
        <w:t>Responsibilities of approved providers are outlined in Part 4 of the </w:t>
      </w:r>
      <w:r w:rsidRPr="00C33890">
        <w:rPr>
          <w:i/>
        </w:rPr>
        <w:t>Aged Care Act 1997</w:t>
      </w:r>
      <w:r w:rsidR="00C9234E">
        <w:t xml:space="preserve"> </w:t>
      </w:r>
      <w:r w:rsidRPr="004B561F">
        <w:t>(Aged Care Act)</w:t>
      </w:r>
      <w:r w:rsidR="00D55438" w:rsidRPr="00261FB8">
        <w:rPr>
          <w:rFonts w:eastAsia="Arial"/>
          <w:color w:val="000000" w:themeColor="text1"/>
          <w:szCs w:val="24"/>
        </w:rPr>
        <w:t xml:space="preserve">; the breach of which effectively triggers the Commission’s compliance functions under Part 7B of the </w:t>
      </w:r>
      <w:r w:rsidR="0025702D" w:rsidRPr="00856AF5">
        <w:rPr>
          <w:i/>
        </w:rPr>
        <w:t>Aged Care Quality and Safety Commission Act</w:t>
      </w:r>
      <w:r w:rsidR="0025702D">
        <w:rPr>
          <w:i/>
        </w:rPr>
        <w:t> </w:t>
      </w:r>
      <w:r w:rsidR="0025702D" w:rsidRPr="00856AF5">
        <w:rPr>
          <w:i/>
        </w:rPr>
        <w:t>2018</w:t>
      </w:r>
      <w:r w:rsidR="0025702D">
        <w:t xml:space="preserve"> (Commission Act) </w:t>
      </w:r>
      <w:r w:rsidR="00D55438" w:rsidRPr="00261FB8">
        <w:rPr>
          <w:rFonts w:eastAsia="Arial"/>
          <w:color w:val="000000" w:themeColor="text1"/>
          <w:szCs w:val="24"/>
        </w:rPr>
        <w:t xml:space="preserve">and specified enforcement powers from the </w:t>
      </w:r>
      <w:r w:rsidR="00180179" w:rsidRPr="0025616E">
        <w:rPr>
          <w:i/>
        </w:rPr>
        <w:t>Regulatory Powers (Standard Provisions) Act 2014</w:t>
      </w:r>
      <w:r w:rsidR="00180179">
        <w:t xml:space="preserve"> </w:t>
      </w:r>
      <w:r w:rsidR="00D55438" w:rsidRPr="00261FB8">
        <w:rPr>
          <w:rFonts w:eastAsia="Arial"/>
          <w:color w:val="000000" w:themeColor="text1"/>
          <w:szCs w:val="24"/>
        </w:rPr>
        <w:t>under Part 8A</w:t>
      </w:r>
      <w:r w:rsidR="0025616E">
        <w:rPr>
          <w:rFonts w:eastAsia="Arial"/>
          <w:color w:val="000000" w:themeColor="text1"/>
          <w:szCs w:val="24"/>
        </w:rPr>
        <w:t xml:space="preserve"> of the Commission Act.</w:t>
      </w:r>
    </w:p>
    <w:p w14:paraId="0B344997" w14:textId="77777777" w:rsidR="004F094F" w:rsidRDefault="004F094F" w:rsidP="0025616E">
      <w:pPr>
        <w:pBdr>
          <w:bottom w:val="single" w:sz="4" w:space="1" w:color="auto"/>
        </w:pBdr>
        <w:spacing w:before="0"/>
      </w:pPr>
    </w:p>
    <w:p w14:paraId="7BCCA0F4" w14:textId="58AC148F" w:rsidR="00FB0D7C" w:rsidRPr="00264E9E" w:rsidRDefault="006A172A" w:rsidP="00587DC9">
      <w:pPr>
        <w:pStyle w:val="Heading1"/>
      </w:pPr>
      <w:r>
        <w:t>R</w:t>
      </w:r>
      <w:r w:rsidR="00EB0CD6">
        <w:t>egulatory approach to change of ownership</w:t>
      </w:r>
      <w:r w:rsidR="00B3787B">
        <w:t xml:space="preserve"> of a residential aged care service</w:t>
      </w:r>
    </w:p>
    <w:p w14:paraId="24BC286E" w14:textId="7C133234" w:rsidR="003A311A" w:rsidRPr="003D45FB" w:rsidRDefault="003A311A" w:rsidP="003D45FB">
      <w:pPr>
        <w:pStyle w:val="Heading2"/>
        <w:numPr>
          <w:ilvl w:val="0"/>
          <w:numId w:val="0"/>
        </w:numPr>
        <w:rPr>
          <w:color w:val="00577D"/>
          <w:sz w:val="24"/>
          <w:szCs w:val="24"/>
        </w:rPr>
      </w:pPr>
      <w:r w:rsidRPr="003D45FB">
        <w:rPr>
          <w:color w:val="00577D"/>
          <w:sz w:val="24"/>
          <w:szCs w:val="24"/>
        </w:rPr>
        <w:t>Accreditation </w:t>
      </w:r>
      <w:r w:rsidR="00586979" w:rsidRPr="003D45FB">
        <w:rPr>
          <w:color w:val="00577D"/>
          <w:sz w:val="24"/>
          <w:szCs w:val="24"/>
        </w:rPr>
        <w:t xml:space="preserve">of residential </w:t>
      </w:r>
      <w:r w:rsidR="009F0ABA" w:rsidRPr="003D45FB">
        <w:rPr>
          <w:color w:val="00577D"/>
          <w:sz w:val="24"/>
          <w:szCs w:val="24"/>
        </w:rPr>
        <w:t xml:space="preserve">aged care </w:t>
      </w:r>
      <w:r w:rsidR="00586979" w:rsidRPr="003D45FB">
        <w:rPr>
          <w:color w:val="00577D"/>
          <w:sz w:val="24"/>
          <w:szCs w:val="24"/>
        </w:rPr>
        <w:t>services</w:t>
      </w:r>
    </w:p>
    <w:p w14:paraId="1DED0431" w14:textId="4268D103" w:rsidR="00347EC7" w:rsidRDefault="00B7169F" w:rsidP="00347EC7">
      <w:r>
        <w:t>Residential aged care services</w:t>
      </w:r>
      <w:r w:rsidR="00C9359D">
        <w:t xml:space="preserve"> </w:t>
      </w:r>
      <w:r w:rsidR="00FF3306">
        <w:t>are required to be accredited to receive Australian Government subsidies.</w:t>
      </w:r>
      <w:r w:rsidR="00330F1A">
        <w:t xml:space="preserve"> </w:t>
      </w:r>
      <w:r w:rsidR="00B57A88">
        <w:t>The</w:t>
      </w:r>
      <w:r w:rsidR="00714FF2">
        <w:t xml:space="preserve"> Commission </w:t>
      </w:r>
      <w:r w:rsidR="00B03B42">
        <w:t>accredits services</w:t>
      </w:r>
      <w:r w:rsidR="00B57A88">
        <w:t xml:space="preserve"> with</w:t>
      </w:r>
      <w:r w:rsidR="008D66B7">
        <w:t xml:space="preserve"> regard</w:t>
      </w:r>
      <w:r w:rsidR="00B57A88">
        <w:t>s</w:t>
      </w:r>
      <w:r w:rsidR="008D66B7">
        <w:t xml:space="preserve"> to </w:t>
      </w:r>
      <w:r w:rsidR="006F55DF">
        <w:t xml:space="preserve">the quality </w:t>
      </w:r>
      <w:r w:rsidR="00DF17E1">
        <w:t xml:space="preserve">of care and </w:t>
      </w:r>
      <w:r w:rsidR="006F55DF">
        <w:t>service</w:t>
      </w:r>
      <w:r w:rsidR="00DF17E1">
        <w:t xml:space="preserve">s </w:t>
      </w:r>
      <w:r w:rsidR="0081441D">
        <w:t xml:space="preserve">delivered </w:t>
      </w:r>
      <w:r w:rsidR="00B57A88">
        <w:t>by the approved provider</w:t>
      </w:r>
      <w:r w:rsidR="006F55DF">
        <w:t xml:space="preserve"> </w:t>
      </w:r>
      <w:r w:rsidR="00CE3A52">
        <w:t xml:space="preserve">assessed </w:t>
      </w:r>
      <w:r w:rsidR="006A2E05">
        <w:t xml:space="preserve">against the Quality </w:t>
      </w:r>
      <w:r w:rsidR="006A2E05">
        <w:lastRenderedPageBreak/>
        <w:t>Standards</w:t>
      </w:r>
      <w:r w:rsidR="007F3F64">
        <w:t xml:space="preserve">. </w:t>
      </w:r>
      <w:r w:rsidR="00CC4D4E">
        <w:t xml:space="preserve">The Commission’s decision to accredit a service is also </w:t>
      </w:r>
      <w:r w:rsidR="007C7D0F">
        <w:t xml:space="preserve">based on the </w:t>
      </w:r>
      <w:r w:rsidR="00D23E5D">
        <w:t>extent</w:t>
      </w:r>
      <w:r w:rsidR="00BB59B0">
        <w:t xml:space="preserve"> to which </w:t>
      </w:r>
      <w:r w:rsidR="001E7184">
        <w:t xml:space="preserve">the approved provider </w:t>
      </w:r>
      <w:r w:rsidR="009B357C">
        <w:t xml:space="preserve">demonstrates a commitment to undertake </w:t>
      </w:r>
      <w:r w:rsidR="00983E46">
        <w:t xml:space="preserve">continuous improvement </w:t>
      </w:r>
      <w:r w:rsidR="00BB59B0">
        <w:t>of the</w:t>
      </w:r>
      <w:r w:rsidR="00983E46">
        <w:t xml:space="preserve"> service</w:t>
      </w:r>
      <w:r w:rsidR="007F3F64">
        <w:t xml:space="preserve"> </w:t>
      </w:r>
      <w:r w:rsidR="00CE3A52">
        <w:t xml:space="preserve">in relation to </w:t>
      </w:r>
      <w:r w:rsidR="007F3F64">
        <w:t>the Quality Standards</w:t>
      </w:r>
      <w:r w:rsidR="00D432E7">
        <w:t>.</w:t>
      </w:r>
    </w:p>
    <w:p w14:paraId="16140E16" w14:textId="77777777" w:rsidR="009A584B" w:rsidRDefault="009A584B" w:rsidP="009A584B">
      <w:pPr>
        <w:shd w:val="clear" w:color="auto" w:fill="FFFFFF" w:themeFill="background1"/>
      </w:pPr>
      <w:r>
        <w:t>Wh</w:t>
      </w:r>
      <w:r w:rsidRPr="001C3A3A">
        <w:t>ere there is a transfer of a service</w:t>
      </w:r>
      <w:r>
        <w:t xml:space="preserve">, </w:t>
      </w:r>
      <w:r w:rsidRPr="001C3A3A">
        <w:t xml:space="preserve">the </w:t>
      </w:r>
      <w:r w:rsidRPr="00024FAA">
        <w:rPr>
          <w:b/>
        </w:rPr>
        <w:t>accreditation status of that service and the period of accreditation remains the same</w:t>
      </w:r>
      <w:r w:rsidRPr="001C3A3A">
        <w:t xml:space="preserve">. That is, </w:t>
      </w:r>
      <w:r>
        <w:t xml:space="preserve">accreditation of a service </w:t>
      </w:r>
      <w:r w:rsidRPr="001C3A3A">
        <w:t>continues until it expires</w:t>
      </w:r>
      <w:r>
        <w:t>.</w:t>
      </w:r>
    </w:p>
    <w:p w14:paraId="5AFAD6B2" w14:textId="28BB585F" w:rsidR="00643B75" w:rsidRDefault="003A311A" w:rsidP="001C3A3A">
      <w:r w:rsidRPr="001C3A3A">
        <w:t xml:space="preserve">When accreditation expires after transfer </w:t>
      </w:r>
      <w:r w:rsidR="009928BA">
        <w:t xml:space="preserve">of the service </w:t>
      </w:r>
      <w:r w:rsidRPr="001C3A3A">
        <w:t>or where accreditation has expired prior to transfer</w:t>
      </w:r>
      <w:r w:rsidR="00DA526A">
        <w:t xml:space="preserve">, </w:t>
      </w:r>
      <w:r w:rsidRPr="001C3A3A">
        <w:t>for example where accreditation has been</w:t>
      </w:r>
      <w:r w:rsidR="00002BF5">
        <w:t xml:space="preserve"> </w:t>
      </w:r>
      <w:r w:rsidRPr="001C3A3A">
        <w:t xml:space="preserve">revoked, the new </w:t>
      </w:r>
      <w:r w:rsidR="00131B7E">
        <w:t xml:space="preserve">approved </w:t>
      </w:r>
      <w:r w:rsidRPr="001C3A3A">
        <w:t>provider can apply for re-accreditation of the service.</w:t>
      </w:r>
      <w:r w:rsidR="00182598">
        <w:t xml:space="preserve"> </w:t>
      </w:r>
      <w:r w:rsidR="00B040F2">
        <w:t xml:space="preserve">In this circumstance, the new approved provider will not be eligible for Australian Government subsidies until the service </w:t>
      </w:r>
      <w:r w:rsidR="00AF44ED">
        <w:t>meets its accreditation requirement</w:t>
      </w:r>
      <w:r w:rsidR="00B01DD8">
        <w:t xml:space="preserve">. </w:t>
      </w:r>
      <w:r w:rsidR="00310257">
        <w:t xml:space="preserve">Decisions relating to accreditation </w:t>
      </w:r>
      <w:r w:rsidR="00596235">
        <w:t xml:space="preserve">of aged care services </w:t>
      </w:r>
      <w:r w:rsidR="00D84FC9">
        <w:t>are published on the Commission’s website.</w:t>
      </w:r>
    </w:p>
    <w:p w14:paraId="428E4FC4" w14:textId="2993DC66" w:rsidR="003A311A" w:rsidRPr="003D45FB" w:rsidRDefault="003A311A" w:rsidP="003D45FB">
      <w:pPr>
        <w:pStyle w:val="Heading2"/>
        <w:numPr>
          <w:ilvl w:val="0"/>
          <w:numId w:val="0"/>
        </w:numPr>
        <w:rPr>
          <w:color w:val="00577D"/>
          <w:sz w:val="24"/>
          <w:szCs w:val="24"/>
        </w:rPr>
      </w:pPr>
      <w:r w:rsidRPr="003D45FB">
        <w:rPr>
          <w:color w:val="00577D"/>
          <w:sz w:val="24"/>
          <w:szCs w:val="24"/>
        </w:rPr>
        <w:t>Existing compliance and enforcement action </w:t>
      </w:r>
    </w:p>
    <w:p w14:paraId="3949CA9D" w14:textId="63A9A509" w:rsidR="0019354F" w:rsidRDefault="0019354F" w:rsidP="00CE08D0">
      <w:r>
        <w:t xml:space="preserve">The Commission’s regulatory powers to respond to non-compliance are detailed in the </w:t>
      </w:r>
      <w:hyperlink r:id="rId10" w:history="1">
        <w:r w:rsidRPr="005B5974">
          <w:rPr>
            <w:rStyle w:val="Hyperlink"/>
          </w:rPr>
          <w:t>Compliance and Enforcement Policy</w:t>
        </w:r>
      </w:hyperlink>
      <w:r w:rsidR="005B5974">
        <w:rPr>
          <w:rStyle w:val="FootnoteReference"/>
        </w:rPr>
        <w:footnoteReference w:id="3"/>
      </w:r>
      <w:r>
        <w:t>.</w:t>
      </w:r>
    </w:p>
    <w:p w14:paraId="7D16B170" w14:textId="58C0868C" w:rsidR="003A311A" w:rsidRDefault="00351392" w:rsidP="00CE08D0">
      <w:r>
        <w:t xml:space="preserve">Where there is a transfer of a service, </w:t>
      </w:r>
      <w:r>
        <w:rPr>
          <w:b/>
        </w:rPr>
        <w:t>a</w:t>
      </w:r>
      <w:r w:rsidR="001B61B7">
        <w:rPr>
          <w:b/>
        </w:rPr>
        <w:t>ny r</w:t>
      </w:r>
      <w:r w:rsidR="001570BC" w:rsidRPr="005D5052">
        <w:rPr>
          <w:b/>
        </w:rPr>
        <w:t>egulatory action taken by the Commission in response to</w:t>
      </w:r>
      <w:r w:rsidR="00017AC7">
        <w:rPr>
          <w:b/>
        </w:rPr>
        <w:t xml:space="preserve"> the previous approved provider’s</w:t>
      </w:r>
      <w:r w:rsidR="001570BC" w:rsidRPr="005D5052">
        <w:rPr>
          <w:b/>
        </w:rPr>
        <w:t xml:space="preserve"> non-compliance </w:t>
      </w:r>
      <w:r w:rsidR="00017AC7">
        <w:rPr>
          <w:b/>
        </w:rPr>
        <w:t xml:space="preserve">with aged care responsibilities </w:t>
      </w:r>
      <w:r>
        <w:rPr>
          <w:b/>
        </w:rPr>
        <w:t xml:space="preserve">does not continue to be applied to </w:t>
      </w:r>
      <w:r w:rsidR="00BD7F5B">
        <w:rPr>
          <w:b/>
        </w:rPr>
        <w:t>the</w:t>
      </w:r>
      <w:r w:rsidR="003A311A" w:rsidRPr="005D5052">
        <w:rPr>
          <w:b/>
        </w:rPr>
        <w:t xml:space="preserve"> new </w:t>
      </w:r>
      <w:r w:rsidR="00F70621">
        <w:rPr>
          <w:b/>
        </w:rPr>
        <w:t xml:space="preserve">approved </w:t>
      </w:r>
      <w:r w:rsidR="003A311A" w:rsidRPr="005D5052">
        <w:rPr>
          <w:b/>
        </w:rPr>
        <w:t>provider</w:t>
      </w:r>
      <w:r w:rsidR="003A311A" w:rsidRPr="00CE08D0">
        <w:t>. This includes</w:t>
      </w:r>
      <w:r w:rsidR="004C79C2">
        <w:t xml:space="preserve"> </w:t>
      </w:r>
      <w:r w:rsidR="00213569">
        <w:t xml:space="preserve">but </w:t>
      </w:r>
      <w:r w:rsidR="00C21F51">
        <w:t>is</w:t>
      </w:r>
      <w:r w:rsidR="00E14216">
        <w:t xml:space="preserve"> </w:t>
      </w:r>
      <w:r w:rsidR="00213569">
        <w:t>not limited</w:t>
      </w:r>
      <w:r w:rsidR="00652CA6">
        <w:t xml:space="preserve"> to</w:t>
      </w:r>
      <w:r w:rsidR="003A311A" w:rsidRPr="00CE08D0">
        <w:t xml:space="preserve"> where the Commission has issued </w:t>
      </w:r>
      <w:r w:rsidR="0031450B">
        <w:t>to the previous approved provider</w:t>
      </w:r>
      <w:r w:rsidR="0031450B" w:rsidRPr="00CE08D0">
        <w:t xml:space="preserve"> </w:t>
      </w:r>
      <w:r w:rsidR="003A311A" w:rsidRPr="00CE08D0">
        <w:t>a direction to revise a plan for continuous improvement, a Non-Compliance Notice, </w:t>
      </w:r>
      <w:r w:rsidR="004767FF">
        <w:t>a</w:t>
      </w:r>
      <w:r w:rsidR="003A311A" w:rsidRPr="00CE08D0">
        <w:t xml:space="preserve"> </w:t>
      </w:r>
      <w:r w:rsidR="00EB02A9" w:rsidRPr="00DC373E">
        <w:t xml:space="preserve">Notice of Requirement to Agree to Certain Matters </w:t>
      </w:r>
      <w:r w:rsidR="004767FF">
        <w:t>or a</w:t>
      </w:r>
      <w:r w:rsidR="004767FF" w:rsidRPr="00CE08D0">
        <w:t xml:space="preserve"> sanction</w:t>
      </w:r>
      <w:r w:rsidR="00395659">
        <w:t>.</w:t>
      </w:r>
      <w:r w:rsidR="003A311A" w:rsidRPr="00CE08D0">
        <w:t> </w:t>
      </w:r>
    </w:p>
    <w:p w14:paraId="79A01469" w14:textId="77777777" w:rsidR="003A311A" w:rsidRPr="003D45FB" w:rsidRDefault="003A311A" w:rsidP="003D45FB">
      <w:pPr>
        <w:pStyle w:val="Heading2"/>
        <w:numPr>
          <w:ilvl w:val="0"/>
          <w:numId w:val="0"/>
        </w:numPr>
        <w:rPr>
          <w:color w:val="00577D"/>
          <w:sz w:val="24"/>
          <w:szCs w:val="24"/>
        </w:rPr>
      </w:pPr>
      <w:r w:rsidRPr="003D45FB">
        <w:rPr>
          <w:color w:val="00577D"/>
          <w:sz w:val="24"/>
          <w:szCs w:val="24"/>
        </w:rPr>
        <w:t>Compliance with the Aged Care Quality Standards </w:t>
      </w:r>
    </w:p>
    <w:p w14:paraId="273FDD61" w14:textId="4263D91F" w:rsidR="007F506D" w:rsidRDefault="003A311A" w:rsidP="0087656E">
      <w:r w:rsidRPr="0087656E">
        <w:t>The responsibilities of an approved provider in relation to the quality of the aged care</w:t>
      </w:r>
      <w:r w:rsidR="00FA7D7B">
        <w:t xml:space="preserve"> and services</w:t>
      </w:r>
      <w:r w:rsidRPr="0087656E">
        <w:t xml:space="preserve"> that they provide include compliance with the Quality Standards. </w:t>
      </w:r>
    </w:p>
    <w:p w14:paraId="0D3BEFB7" w14:textId="0CE06D68" w:rsidR="003A311A" w:rsidRPr="0087656E" w:rsidRDefault="003A311A" w:rsidP="0087656E">
      <w:r w:rsidRPr="0087656E">
        <w:t xml:space="preserve">Where the Commission has made a </w:t>
      </w:r>
      <w:r w:rsidRPr="00C33890">
        <w:rPr>
          <w:b/>
        </w:rPr>
        <w:t>finding of non-compliance with the Quality Standards, although this is in relation to a service,</w:t>
      </w:r>
      <w:r w:rsidRPr="0087656E">
        <w:t xml:space="preserve"> </w:t>
      </w:r>
      <w:r w:rsidRPr="00C33890">
        <w:rPr>
          <w:b/>
        </w:rPr>
        <w:t xml:space="preserve">the non-compliance does not continue to be applied to </w:t>
      </w:r>
      <w:r w:rsidR="00184B71">
        <w:rPr>
          <w:b/>
        </w:rPr>
        <w:t>the new approved provider</w:t>
      </w:r>
      <w:r w:rsidRPr="00C33890">
        <w:rPr>
          <w:b/>
        </w:rPr>
        <w:t xml:space="preserve"> on transfer of </w:t>
      </w:r>
      <w:r w:rsidR="0095107A">
        <w:rPr>
          <w:b/>
        </w:rPr>
        <w:t>th</w:t>
      </w:r>
      <w:r w:rsidRPr="00C33890">
        <w:rPr>
          <w:b/>
        </w:rPr>
        <w:t>a</w:t>
      </w:r>
      <w:r w:rsidR="0095107A">
        <w:rPr>
          <w:b/>
        </w:rPr>
        <w:t>t</w:t>
      </w:r>
      <w:r w:rsidRPr="00C33890">
        <w:rPr>
          <w:b/>
        </w:rPr>
        <w:t xml:space="preserve"> service</w:t>
      </w:r>
      <w:r w:rsidRPr="0087656E">
        <w:t>. </w:t>
      </w:r>
    </w:p>
    <w:p w14:paraId="648C93E5" w14:textId="7FBFB70F" w:rsidR="003A311A" w:rsidRDefault="003A311A" w:rsidP="0087656E">
      <w:r w:rsidRPr="00C33890">
        <w:t xml:space="preserve">Where </w:t>
      </w:r>
      <w:r w:rsidR="008D4F8E">
        <w:t xml:space="preserve">the previous approved provider has been </w:t>
      </w:r>
      <w:r w:rsidR="00F267C1">
        <w:t xml:space="preserve">found to be </w:t>
      </w:r>
      <w:r w:rsidR="008D4F8E">
        <w:t xml:space="preserve">non-compliant </w:t>
      </w:r>
      <w:r w:rsidR="00B778BD">
        <w:t>with the Quality Standards</w:t>
      </w:r>
      <w:r w:rsidR="008D4F8E">
        <w:t xml:space="preserve">, </w:t>
      </w:r>
      <w:r w:rsidRPr="008A56F0">
        <w:rPr>
          <w:b/>
        </w:rPr>
        <w:t xml:space="preserve">the Commission would seek to </w:t>
      </w:r>
      <w:r w:rsidR="00856749">
        <w:rPr>
          <w:b/>
        </w:rPr>
        <w:t>assess</w:t>
      </w:r>
      <w:r w:rsidRPr="008A56F0">
        <w:rPr>
          <w:b/>
        </w:rPr>
        <w:t xml:space="preserve"> the</w:t>
      </w:r>
      <w:r w:rsidR="00C632F2" w:rsidRPr="008A56F0">
        <w:rPr>
          <w:b/>
        </w:rPr>
        <w:t xml:space="preserve"> new approved</w:t>
      </w:r>
      <w:r w:rsidRPr="008A56F0">
        <w:rPr>
          <w:b/>
        </w:rPr>
        <w:t xml:space="preserve"> provider’s performance against the Quality Standards following transfer</w:t>
      </w:r>
      <w:r w:rsidRPr="0087656E">
        <w:t xml:space="preserve">. This may occur through a site audit where the </w:t>
      </w:r>
      <w:r w:rsidR="009015BA">
        <w:t xml:space="preserve">new approved </w:t>
      </w:r>
      <w:r w:rsidRPr="0087656E">
        <w:t xml:space="preserve">provider has applied for </w:t>
      </w:r>
      <w:r w:rsidR="009015BA">
        <w:t>re</w:t>
      </w:r>
      <w:r w:rsidR="00FC58C8">
        <w:noBreakHyphen/>
      </w:r>
      <w:r w:rsidRPr="0087656E">
        <w:t>accreditation, through an assessment contact (performance assessment), or a review audit where there are new concerns regarding the quality of care and services. </w:t>
      </w:r>
    </w:p>
    <w:p w14:paraId="2A2509FD" w14:textId="0F44766B" w:rsidR="008B3135" w:rsidRDefault="008B3135" w:rsidP="008B3135">
      <w:r>
        <w:t xml:space="preserve">Where the Commission is not satisfied that an accredited residential aged care service is meeting the Quality Standards and has low confidence in the </w:t>
      </w:r>
      <w:r w:rsidR="00A716F2">
        <w:t xml:space="preserve">new </w:t>
      </w:r>
      <w:r>
        <w:t>approved provider’s commitment to sustained continuous improvement with respect to that service, the Commission may decide to vary or reduce the period of accreditation for the aged care service following a site audit or review audit. This may occur where the service is found to have significant non-compliance with the Quality Standards.</w:t>
      </w:r>
    </w:p>
    <w:p w14:paraId="0012A238" w14:textId="71881B9D" w:rsidR="003A311A" w:rsidRDefault="003A311A" w:rsidP="0087656E">
      <w:r w:rsidRPr="0087656E">
        <w:lastRenderedPageBreak/>
        <w:t xml:space="preserve">Where there is no </w:t>
      </w:r>
      <w:r w:rsidR="00E039BB">
        <w:t xml:space="preserve">finding of </w:t>
      </w:r>
      <w:r w:rsidRPr="0087656E">
        <w:t xml:space="preserve">non-compliance </w:t>
      </w:r>
      <w:r w:rsidR="0095107A">
        <w:t xml:space="preserve">in relation to </w:t>
      </w:r>
      <w:r w:rsidR="00E039BB">
        <w:t xml:space="preserve">the service </w:t>
      </w:r>
      <w:r w:rsidR="0095107A">
        <w:t xml:space="preserve">operated by </w:t>
      </w:r>
      <w:r w:rsidRPr="0087656E">
        <w:t>the previous approved provider at the point of transfer</w:t>
      </w:r>
      <w:r w:rsidR="00A415A3">
        <w:t>,</w:t>
      </w:r>
      <w:r w:rsidRPr="0087656E">
        <w:t> the Commission consider</w:t>
      </w:r>
      <w:r w:rsidR="008A2DB8">
        <w:t>s</w:t>
      </w:r>
      <w:r w:rsidRPr="0087656E">
        <w:t xml:space="preserve"> the risk profile of the service and new </w:t>
      </w:r>
      <w:r w:rsidR="00D30318">
        <w:t xml:space="preserve">approved </w:t>
      </w:r>
      <w:r w:rsidRPr="0087656E">
        <w:t xml:space="preserve">provider to determine </w:t>
      </w:r>
      <w:r w:rsidR="00E039BB">
        <w:t xml:space="preserve">its </w:t>
      </w:r>
      <w:r w:rsidRPr="0087656E">
        <w:t>regulatory monitoring response. </w:t>
      </w:r>
    </w:p>
    <w:p w14:paraId="65E5F2A4" w14:textId="77777777" w:rsidR="003A311A" w:rsidRPr="003D45FB" w:rsidRDefault="003A311A" w:rsidP="003D45FB">
      <w:pPr>
        <w:pStyle w:val="Heading2"/>
        <w:numPr>
          <w:ilvl w:val="0"/>
          <w:numId w:val="0"/>
        </w:numPr>
        <w:rPr>
          <w:color w:val="00577D"/>
          <w:sz w:val="24"/>
          <w:szCs w:val="24"/>
        </w:rPr>
      </w:pPr>
      <w:r w:rsidRPr="003D45FB">
        <w:rPr>
          <w:color w:val="00577D"/>
          <w:sz w:val="24"/>
          <w:szCs w:val="24"/>
        </w:rPr>
        <w:t>Monitoring </w:t>
      </w:r>
    </w:p>
    <w:p w14:paraId="75960470" w14:textId="52FC0F60" w:rsidR="00940296" w:rsidRDefault="608E2EAD" w:rsidP="27B9C7BB">
      <w:pPr>
        <w:rPr>
          <w:rFonts w:eastAsia="Arial"/>
          <w:color w:val="000000" w:themeColor="text1"/>
        </w:rPr>
      </w:pPr>
      <w:r w:rsidRPr="44B408FB">
        <w:rPr>
          <w:rFonts w:eastAsia="Arial"/>
          <w:color w:val="000000" w:themeColor="text1"/>
        </w:rPr>
        <w:t>Intelligence</w:t>
      </w:r>
      <w:r w:rsidR="6379FCD4" w:rsidRPr="44B408FB">
        <w:rPr>
          <w:rFonts w:eastAsia="Arial"/>
          <w:color w:val="000000" w:themeColor="text1"/>
        </w:rPr>
        <w:t xml:space="preserve"> and risk profiling on the new </w:t>
      </w:r>
      <w:r w:rsidR="00131B7E">
        <w:rPr>
          <w:rFonts w:eastAsia="Arial"/>
          <w:color w:val="000000" w:themeColor="text1"/>
        </w:rPr>
        <w:t xml:space="preserve">approved </w:t>
      </w:r>
      <w:r w:rsidR="6379FCD4" w:rsidRPr="44B408FB">
        <w:rPr>
          <w:rFonts w:eastAsia="Arial"/>
          <w:color w:val="000000" w:themeColor="text1"/>
        </w:rPr>
        <w:t xml:space="preserve">provider, </w:t>
      </w:r>
      <w:r w:rsidRPr="44B408FB">
        <w:rPr>
          <w:rFonts w:eastAsia="Arial"/>
          <w:color w:val="000000" w:themeColor="text1"/>
        </w:rPr>
        <w:t xml:space="preserve">including </w:t>
      </w:r>
      <w:r w:rsidR="6379FCD4" w:rsidRPr="44B408FB">
        <w:rPr>
          <w:rFonts w:eastAsia="Arial"/>
          <w:color w:val="000000" w:themeColor="text1"/>
        </w:rPr>
        <w:t xml:space="preserve">advice </w:t>
      </w:r>
      <w:r w:rsidRPr="44B408FB">
        <w:rPr>
          <w:rFonts w:eastAsia="Arial"/>
          <w:color w:val="000000" w:themeColor="text1"/>
        </w:rPr>
        <w:t xml:space="preserve">from the provider </w:t>
      </w:r>
      <w:r w:rsidR="6379FCD4" w:rsidRPr="44B408FB">
        <w:rPr>
          <w:rFonts w:eastAsia="Arial"/>
          <w:color w:val="000000" w:themeColor="text1"/>
        </w:rPr>
        <w:t xml:space="preserve">on </w:t>
      </w:r>
      <w:r w:rsidRPr="44B408FB">
        <w:rPr>
          <w:rFonts w:eastAsia="Arial"/>
          <w:color w:val="000000" w:themeColor="text1"/>
        </w:rPr>
        <w:t>its</w:t>
      </w:r>
      <w:r w:rsidR="6379FCD4" w:rsidRPr="44B408FB">
        <w:rPr>
          <w:rFonts w:eastAsia="Arial"/>
          <w:color w:val="000000" w:themeColor="text1"/>
        </w:rPr>
        <w:t xml:space="preserve"> plans to manage the quality and safety risks to consumers at the service post transfer</w:t>
      </w:r>
      <w:r w:rsidR="672EA4A0" w:rsidRPr="44B408FB">
        <w:rPr>
          <w:rFonts w:eastAsia="Arial"/>
          <w:color w:val="000000" w:themeColor="text1"/>
        </w:rPr>
        <w:t>,</w:t>
      </w:r>
      <w:r w:rsidR="6379FCD4" w:rsidRPr="44B408FB">
        <w:rPr>
          <w:rFonts w:eastAsia="Arial"/>
          <w:color w:val="000000" w:themeColor="text1"/>
        </w:rPr>
        <w:t xml:space="preserve"> is critical in determining the Commission’s regulatory response post transfer.</w:t>
      </w:r>
    </w:p>
    <w:p w14:paraId="5D9C0F30" w14:textId="688D4DD3" w:rsidR="003A311A" w:rsidRDefault="003A311A" w:rsidP="00553E81">
      <w:r w:rsidRPr="00553E81">
        <w:t xml:space="preserve">While </w:t>
      </w:r>
      <w:r w:rsidR="00E039BB">
        <w:t xml:space="preserve">a </w:t>
      </w:r>
      <w:r w:rsidRPr="00553E81">
        <w:t xml:space="preserve">non-compliance </w:t>
      </w:r>
      <w:r w:rsidR="00E039BB">
        <w:t xml:space="preserve">finding for a service relating to </w:t>
      </w:r>
      <w:r w:rsidR="004C2FB3">
        <w:t xml:space="preserve">the previous approved provider </w:t>
      </w:r>
      <w:r w:rsidRPr="00553E81">
        <w:t xml:space="preserve">does not transfer to the new </w:t>
      </w:r>
      <w:r w:rsidR="004C2FB3">
        <w:t xml:space="preserve">approved </w:t>
      </w:r>
      <w:r w:rsidRPr="00553E81">
        <w:t>provider, the Commission</w:t>
      </w:r>
      <w:r w:rsidR="00553E81">
        <w:t xml:space="preserve"> </w:t>
      </w:r>
      <w:r w:rsidRPr="00553E81">
        <w:t>continues to monitor the quality of care and services at the service, and this includes consideration of</w:t>
      </w:r>
      <w:r w:rsidR="00D41012">
        <w:t xml:space="preserve"> any known areas of</w:t>
      </w:r>
      <w:r w:rsidRPr="00553E81">
        <w:t xml:space="preserve"> risk. </w:t>
      </w:r>
    </w:p>
    <w:p w14:paraId="5638E88D" w14:textId="77777777" w:rsidR="00D32A6A" w:rsidRPr="003D45FB" w:rsidRDefault="00D32A6A" w:rsidP="003D45FB">
      <w:pPr>
        <w:pStyle w:val="Heading2"/>
        <w:numPr>
          <w:ilvl w:val="0"/>
          <w:numId w:val="0"/>
        </w:numPr>
        <w:rPr>
          <w:color w:val="00577D"/>
          <w:sz w:val="24"/>
          <w:szCs w:val="24"/>
        </w:rPr>
      </w:pPr>
      <w:r w:rsidRPr="003D45FB">
        <w:rPr>
          <w:color w:val="00577D"/>
          <w:sz w:val="24"/>
          <w:szCs w:val="24"/>
        </w:rPr>
        <w:t>Complaints management</w:t>
      </w:r>
    </w:p>
    <w:p w14:paraId="13546171" w14:textId="417E4DAF" w:rsidR="00DF3E2E" w:rsidRDefault="00106D70" w:rsidP="003E388D">
      <w:r>
        <w:t xml:space="preserve">Complaints </w:t>
      </w:r>
      <w:r w:rsidR="005C4F81">
        <w:t>about aged care services</w:t>
      </w:r>
      <w:r w:rsidR="00360E67">
        <w:t xml:space="preserve"> delivered by the previous approved provider may be </w:t>
      </w:r>
      <w:r w:rsidR="00531B35">
        <w:t xml:space="preserve">unresolved </w:t>
      </w:r>
      <w:r w:rsidR="00267BD0">
        <w:t>at the time of transfer</w:t>
      </w:r>
      <w:r w:rsidR="00360E67">
        <w:t xml:space="preserve"> to </w:t>
      </w:r>
      <w:r w:rsidR="00267BD0">
        <w:t>a</w:t>
      </w:r>
      <w:r w:rsidR="00360E67">
        <w:t xml:space="preserve"> new approved provider. </w:t>
      </w:r>
      <w:r w:rsidR="00EE6C0B">
        <w:t xml:space="preserve">For complaints that are unresolved </w:t>
      </w:r>
      <w:r w:rsidR="0006523F">
        <w:t>upon</w:t>
      </w:r>
      <w:r w:rsidR="003E388D">
        <w:t xml:space="preserve"> transfer of a service, </w:t>
      </w:r>
      <w:r w:rsidR="00B4749E" w:rsidRPr="00C33890">
        <w:t xml:space="preserve">the Commission will confirm with the complainant whether </w:t>
      </w:r>
      <w:r w:rsidR="009F560B" w:rsidRPr="208210D2">
        <w:rPr>
          <w:rFonts w:eastAsia="Arial"/>
          <w:szCs w:val="24"/>
        </w:rPr>
        <w:t>the issue r</w:t>
      </w:r>
      <w:r w:rsidR="009F560B" w:rsidRPr="001052F6">
        <w:rPr>
          <w:rFonts w:eastAsia="Arial"/>
          <w:color w:val="000000" w:themeColor="text1"/>
          <w:szCs w:val="24"/>
          <w:lang w:eastAsia="en-AU"/>
        </w:rPr>
        <w:t>aised in the complaint is ongoing under the new approved provider</w:t>
      </w:r>
      <w:r w:rsidR="00DF3E2E">
        <w:t>.</w:t>
      </w:r>
    </w:p>
    <w:p w14:paraId="6D431B8F" w14:textId="419C1D11" w:rsidR="00666D9C" w:rsidRDefault="00DF3E2E" w:rsidP="00607B04">
      <w:r>
        <w:t xml:space="preserve">If </w:t>
      </w:r>
      <w:r w:rsidR="00263478">
        <w:t xml:space="preserve">a </w:t>
      </w:r>
      <w:r w:rsidR="00554F6A">
        <w:t xml:space="preserve">complaint </w:t>
      </w:r>
      <w:r w:rsidR="00803F0D">
        <w:t>relating to the</w:t>
      </w:r>
      <w:r w:rsidR="00A568B9">
        <w:t xml:space="preserve"> previous approved provider </w:t>
      </w:r>
      <w:r w:rsidR="00554F6A">
        <w:t xml:space="preserve">is </w:t>
      </w:r>
      <w:r w:rsidR="009F560B">
        <w:t xml:space="preserve">raised and remains </w:t>
      </w:r>
      <w:r w:rsidR="00554F6A">
        <w:t>unresolved</w:t>
      </w:r>
      <w:r w:rsidR="00C857D6">
        <w:t xml:space="preserve"> </w:t>
      </w:r>
      <w:r w:rsidR="00A568B9">
        <w:t>after a transfer</w:t>
      </w:r>
      <w:r w:rsidR="00C857D6">
        <w:t xml:space="preserve">, </w:t>
      </w:r>
      <w:r w:rsidR="00267BD0">
        <w:t xml:space="preserve">then the Commission will engage with the new approved provider to obtain new information about the issue raised in the complaint. </w:t>
      </w:r>
      <w:r w:rsidR="00666D9C">
        <w:t>The new approved provider</w:t>
      </w:r>
      <w:r w:rsidR="00933A18">
        <w:t xml:space="preserve"> will be required to cooperate with the Commission to resolve any ongoing complaints.</w:t>
      </w:r>
    </w:p>
    <w:p w14:paraId="3F975059" w14:textId="0FEF8055" w:rsidR="00607B04" w:rsidRPr="00502908" w:rsidRDefault="00607B04" w:rsidP="00607B04">
      <w:r w:rsidRPr="00C33890">
        <w:rPr>
          <w:b/>
        </w:rPr>
        <w:t>Any evidence available to the Commission which may indicate that the previous approved provider was not complying with its aged care responsibilities in relation to the service, cannot be attributed to the new approved provider</w:t>
      </w:r>
      <w:r w:rsidRPr="00502908">
        <w:t>.</w:t>
      </w:r>
    </w:p>
    <w:p w14:paraId="34D9382E" w14:textId="52F7DA03" w:rsidR="00DF3E2E" w:rsidRDefault="0074580C" w:rsidP="003E388D">
      <w:r>
        <w:t>The Commission will manage a</w:t>
      </w:r>
      <w:r w:rsidR="008514BD">
        <w:t xml:space="preserve">ll new complaints </w:t>
      </w:r>
      <w:r w:rsidR="0086711F">
        <w:t xml:space="preserve">received </w:t>
      </w:r>
      <w:r w:rsidR="008514BD">
        <w:t xml:space="preserve">after a transfer </w:t>
      </w:r>
      <w:r w:rsidR="00131724">
        <w:t xml:space="preserve">with the new </w:t>
      </w:r>
      <w:r w:rsidR="00DF57C2">
        <w:t>approved provider.</w:t>
      </w:r>
    </w:p>
    <w:p w14:paraId="6D4606D7" w14:textId="193396A6" w:rsidR="003A311A" w:rsidRPr="003D45FB" w:rsidRDefault="003A311A" w:rsidP="003D45FB">
      <w:pPr>
        <w:pStyle w:val="Heading2"/>
        <w:numPr>
          <w:ilvl w:val="0"/>
          <w:numId w:val="0"/>
        </w:numPr>
        <w:rPr>
          <w:color w:val="00577D"/>
          <w:sz w:val="24"/>
          <w:szCs w:val="24"/>
        </w:rPr>
      </w:pPr>
      <w:r w:rsidRPr="003D45FB">
        <w:rPr>
          <w:color w:val="00577D"/>
          <w:sz w:val="24"/>
          <w:szCs w:val="24"/>
        </w:rPr>
        <w:t xml:space="preserve">Publication of information and </w:t>
      </w:r>
      <w:r w:rsidR="0077682E" w:rsidRPr="003D45FB">
        <w:rPr>
          <w:color w:val="00577D"/>
          <w:sz w:val="24"/>
          <w:szCs w:val="24"/>
        </w:rPr>
        <w:t xml:space="preserve">performance </w:t>
      </w:r>
      <w:r w:rsidRPr="003D45FB">
        <w:rPr>
          <w:color w:val="00577D"/>
          <w:sz w:val="24"/>
          <w:szCs w:val="24"/>
        </w:rPr>
        <w:t>history</w:t>
      </w:r>
    </w:p>
    <w:p w14:paraId="541C5978" w14:textId="0D169529" w:rsidR="003E355D" w:rsidRDefault="003A311A" w:rsidP="004F10DA">
      <w:pPr>
        <w:spacing w:before="0" w:after="240"/>
      </w:pPr>
      <w:r w:rsidRPr="00553E81">
        <w:t xml:space="preserve">The Commission publishes information </w:t>
      </w:r>
      <w:r w:rsidR="00E039BB">
        <w:t xml:space="preserve">on its website </w:t>
      </w:r>
      <w:r w:rsidRPr="00553E81">
        <w:t>about a provider’s performance in relation to their responsibilities as an aged care provider</w:t>
      </w:r>
      <w:r w:rsidRPr="004167D3">
        <w:t>.</w:t>
      </w:r>
      <w:r w:rsidRPr="00553E81">
        <w:t xml:space="preserve"> </w:t>
      </w:r>
    </w:p>
    <w:p w14:paraId="045EBA1F" w14:textId="41EA0737" w:rsidR="005449BD" w:rsidRDefault="004F10DA" w:rsidP="004F10DA">
      <w:pPr>
        <w:spacing w:before="0" w:after="240"/>
      </w:pPr>
      <w:r>
        <w:t xml:space="preserve">Where there is a transfer of a service to a new </w:t>
      </w:r>
      <w:r w:rsidR="00131B7E">
        <w:t xml:space="preserve">approved </w:t>
      </w:r>
      <w:r>
        <w:t>provider, this is reflected on the Commission website</w:t>
      </w:r>
      <w:r w:rsidR="00177958">
        <w:t>. A</w:t>
      </w:r>
      <w:r w:rsidR="00355B46">
        <w:t>ll</w:t>
      </w:r>
      <w:r>
        <w:t xml:space="preserve"> performance reports </w:t>
      </w:r>
      <w:r w:rsidR="0038416E">
        <w:t>published</w:t>
      </w:r>
      <w:r>
        <w:t xml:space="preserve"> prior to the transfer remain published </w:t>
      </w:r>
      <w:r w:rsidR="00CD4062">
        <w:t>to provide</w:t>
      </w:r>
      <w:r>
        <w:t xml:space="preserve"> transparency</w:t>
      </w:r>
      <w:r w:rsidR="00CD4062">
        <w:t xml:space="preserve"> for consumers </w:t>
      </w:r>
      <w:r>
        <w:t xml:space="preserve">about </w:t>
      </w:r>
      <w:r w:rsidR="00CD4062">
        <w:t>previous</w:t>
      </w:r>
      <w:r>
        <w:t xml:space="preserve"> performance</w:t>
      </w:r>
      <w:r w:rsidR="00CD4062">
        <w:t xml:space="preserve"> assessments</w:t>
      </w:r>
      <w:r>
        <w:t xml:space="preserve"> at the service. </w:t>
      </w:r>
    </w:p>
    <w:p w14:paraId="7585C5F3" w14:textId="58A31B7F" w:rsidR="003A311A" w:rsidRPr="00553E81" w:rsidRDefault="00147456" w:rsidP="00C654C0">
      <w:pPr>
        <w:spacing w:before="0" w:after="240"/>
      </w:pPr>
      <w:r>
        <w:t>Information is also published on the service’s com</w:t>
      </w:r>
      <w:r w:rsidR="006C39DF">
        <w:t>pliance rating and Quality tabs o</w:t>
      </w:r>
      <w:r w:rsidR="00E039BB">
        <w:t>n</w:t>
      </w:r>
      <w:r w:rsidR="006C39DF">
        <w:t xml:space="preserve"> the </w:t>
      </w:r>
      <w:r w:rsidR="006C39DF" w:rsidRPr="00C33890">
        <w:rPr>
          <w:b/>
        </w:rPr>
        <w:t>My</w:t>
      </w:r>
      <w:r w:rsidR="00A222BF">
        <w:rPr>
          <w:b/>
        </w:rPr>
        <w:t> </w:t>
      </w:r>
      <w:r w:rsidR="006C39DF" w:rsidRPr="00C33890">
        <w:rPr>
          <w:b/>
        </w:rPr>
        <w:t>Aged Care Website</w:t>
      </w:r>
      <w:r w:rsidR="006C39DF">
        <w:t xml:space="preserve">. </w:t>
      </w:r>
      <w:r w:rsidR="003A311A" w:rsidRPr="00553E81">
        <w:t>Currently on </w:t>
      </w:r>
      <w:r w:rsidR="003A311A" w:rsidRPr="00C33890">
        <w:rPr>
          <w:b/>
        </w:rPr>
        <w:t>My Aged Care</w:t>
      </w:r>
      <w:r w:rsidR="003A311A" w:rsidRPr="00553E81">
        <w:t> when a service transfers to a new approved provider</w:t>
      </w:r>
      <w:r w:rsidR="00E039BB">
        <w:t>,</w:t>
      </w:r>
      <w:r w:rsidR="003A311A" w:rsidRPr="00553E81">
        <w:t xml:space="preserve"> the following occurs: </w:t>
      </w:r>
    </w:p>
    <w:p w14:paraId="2A21CF78" w14:textId="0D9851E6" w:rsidR="00CA493E" w:rsidRPr="00CA493E" w:rsidRDefault="671131B7" w:rsidP="27B9C7BB">
      <w:pPr>
        <w:pStyle w:val="ListBullet"/>
        <w:ind w:left="426" w:hanging="426"/>
        <w:rPr>
          <w:rFonts w:eastAsia="Arial"/>
          <w:color w:val="000000" w:themeColor="text1"/>
        </w:rPr>
      </w:pPr>
      <w:r w:rsidRPr="44B408FB">
        <w:rPr>
          <w:rFonts w:eastAsia="Arial"/>
          <w:b/>
          <w:bCs/>
          <w:color w:val="000000" w:themeColor="text1"/>
        </w:rPr>
        <w:t>Service Compliance Rating</w:t>
      </w:r>
      <w:r w:rsidRPr="44B408FB">
        <w:rPr>
          <w:rFonts w:eastAsia="Arial"/>
          <w:color w:val="000000" w:themeColor="text1"/>
        </w:rPr>
        <w:t xml:space="preserve"> – </w:t>
      </w:r>
      <w:r w:rsidR="00170ED0">
        <w:t>t</w:t>
      </w:r>
      <w:r w:rsidR="55CAD8FA">
        <w:t xml:space="preserve">he performance of each aged care service has a dot rating out of 4 to show if it is meeting the compliance requirements for quality and safety. A 4-dot status means that there were no areas for improvement identified in the </w:t>
      </w:r>
      <w:r w:rsidR="55CAD8FA">
        <w:lastRenderedPageBreak/>
        <w:t>most recent quality assessment. W</w:t>
      </w:r>
      <w:r w:rsidRPr="44B408FB">
        <w:rPr>
          <w:rFonts w:eastAsia="Arial"/>
          <w:color w:val="000000" w:themeColor="text1"/>
        </w:rPr>
        <w:t>here there is non-compliance with the transferring service</w:t>
      </w:r>
      <w:r w:rsidR="00E039BB">
        <w:rPr>
          <w:rFonts w:eastAsia="Arial"/>
          <w:color w:val="000000" w:themeColor="text1"/>
        </w:rPr>
        <w:t>,</w:t>
      </w:r>
      <w:r w:rsidRPr="44B408FB">
        <w:rPr>
          <w:rFonts w:eastAsia="Arial"/>
          <w:color w:val="000000" w:themeColor="text1"/>
        </w:rPr>
        <w:t xml:space="preserve"> the Commission archives any current sanctions (removing the 1 dot status) but retain</w:t>
      </w:r>
      <w:r w:rsidR="374A1F7F" w:rsidRPr="44B408FB">
        <w:rPr>
          <w:rFonts w:eastAsia="Arial"/>
          <w:color w:val="000000" w:themeColor="text1"/>
        </w:rPr>
        <w:t>s</w:t>
      </w:r>
      <w:r w:rsidRPr="44B408FB">
        <w:rPr>
          <w:rFonts w:eastAsia="Arial"/>
          <w:color w:val="000000" w:themeColor="text1"/>
        </w:rPr>
        <w:t xml:space="preserve"> </w:t>
      </w:r>
      <w:r w:rsidR="00E039BB">
        <w:rPr>
          <w:rFonts w:eastAsia="Arial"/>
          <w:color w:val="000000" w:themeColor="text1"/>
        </w:rPr>
        <w:t xml:space="preserve">information relating to the </w:t>
      </w:r>
      <w:r w:rsidRPr="44B408FB">
        <w:rPr>
          <w:rFonts w:eastAsia="Arial"/>
          <w:color w:val="000000" w:themeColor="text1"/>
        </w:rPr>
        <w:t xml:space="preserve">non-compliance against the Quality Standards arising from </w:t>
      </w:r>
      <w:r w:rsidR="00E039BB">
        <w:rPr>
          <w:rFonts w:eastAsia="Arial"/>
          <w:color w:val="000000" w:themeColor="text1"/>
        </w:rPr>
        <w:t xml:space="preserve">previous </w:t>
      </w:r>
      <w:r w:rsidRPr="44B408FB">
        <w:rPr>
          <w:rFonts w:eastAsia="Arial"/>
          <w:color w:val="000000" w:themeColor="text1"/>
        </w:rPr>
        <w:t>performance assessments. The expected Service Compliance Rating is 3 dots meaning ‘some improvements required’.</w:t>
      </w:r>
      <w:r w:rsidR="00E039BB">
        <w:rPr>
          <w:rFonts w:eastAsia="Arial"/>
          <w:color w:val="000000" w:themeColor="text1"/>
        </w:rPr>
        <w:t xml:space="preserve"> The first opportunity for this to be adjusted will be following a performance assessment or re</w:t>
      </w:r>
      <w:r w:rsidR="00074AC9">
        <w:rPr>
          <w:rFonts w:eastAsia="Arial"/>
          <w:color w:val="000000" w:themeColor="text1"/>
        </w:rPr>
        <w:t>-</w:t>
      </w:r>
      <w:r w:rsidR="00E039BB">
        <w:rPr>
          <w:rFonts w:eastAsia="Arial"/>
          <w:color w:val="000000" w:themeColor="text1"/>
        </w:rPr>
        <w:t xml:space="preserve">accreditation </w:t>
      </w:r>
      <w:r w:rsidR="00074AC9">
        <w:rPr>
          <w:rFonts w:eastAsia="Arial"/>
          <w:color w:val="000000" w:themeColor="text1"/>
        </w:rPr>
        <w:t xml:space="preserve">site </w:t>
      </w:r>
      <w:r w:rsidR="00E039BB">
        <w:rPr>
          <w:rFonts w:eastAsia="Arial"/>
          <w:color w:val="000000" w:themeColor="text1"/>
        </w:rPr>
        <w:t xml:space="preserve">audit of the service under the new approved provider </w:t>
      </w:r>
      <w:r w:rsidR="0059061C">
        <w:rPr>
          <w:rFonts w:eastAsia="Arial"/>
          <w:color w:val="000000" w:themeColor="text1"/>
        </w:rPr>
        <w:t>(whichever comes first).</w:t>
      </w:r>
    </w:p>
    <w:p w14:paraId="6E210A01" w14:textId="27F2EFBF" w:rsidR="00CA493E" w:rsidRPr="00CA493E" w:rsidRDefault="00CA493E" w:rsidP="27B9C7BB">
      <w:pPr>
        <w:pStyle w:val="ListBullet"/>
        <w:ind w:left="426" w:hanging="426"/>
        <w:rPr>
          <w:rFonts w:eastAsia="Arial"/>
          <w:color w:val="000000" w:themeColor="text1"/>
        </w:rPr>
      </w:pPr>
      <w:r w:rsidRPr="27B9C7BB">
        <w:rPr>
          <w:rFonts w:eastAsia="Arial"/>
          <w:b/>
          <w:bCs/>
          <w:color w:val="000000" w:themeColor="text1"/>
        </w:rPr>
        <w:t>Compliance Tab</w:t>
      </w:r>
      <w:r w:rsidRPr="27B9C7BB">
        <w:rPr>
          <w:rFonts w:eastAsia="Arial"/>
          <w:color w:val="000000" w:themeColor="text1"/>
        </w:rPr>
        <w:t xml:space="preserve"> – the compliance history of the service including th</w:t>
      </w:r>
      <w:r w:rsidR="0692252E" w:rsidRPr="27B9C7BB">
        <w:rPr>
          <w:rFonts w:eastAsia="Arial"/>
          <w:color w:val="000000" w:themeColor="text1"/>
        </w:rPr>
        <w:t>at pertaining to any</w:t>
      </w:r>
      <w:r w:rsidRPr="27B9C7BB">
        <w:rPr>
          <w:rFonts w:eastAsia="Arial"/>
          <w:color w:val="000000" w:themeColor="text1"/>
        </w:rPr>
        <w:t xml:space="preserve"> previous </w:t>
      </w:r>
      <w:r w:rsidR="00676DF3">
        <w:rPr>
          <w:rFonts w:eastAsia="Arial"/>
          <w:color w:val="000000" w:themeColor="text1"/>
        </w:rPr>
        <w:t xml:space="preserve">approved </w:t>
      </w:r>
      <w:r w:rsidRPr="27B9C7BB">
        <w:rPr>
          <w:rFonts w:eastAsia="Arial"/>
          <w:color w:val="000000" w:themeColor="text1"/>
        </w:rPr>
        <w:t>providers is retained under the Compliance Tab.</w:t>
      </w:r>
    </w:p>
    <w:p w14:paraId="0489B949" w14:textId="7DD9D12A" w:rsidR="00CA493E" w:rsidRPr="00CA493E" w:rsidRDefault="00CA493E" w:rsidP="00CA493E">
      <w:pPr>
        <w:pStyle w:val="ListBullet"/>
        <w:ind w:left="426" w:hanging="426"/>
        <w:rPr>
          <w:rFonts w:eastAsia="Arial"/>
          <w:color w:val="000000" w:themeColor="text1"/>
        </w:rPr>
      </w:pPr>
      <w:r w:rsidRPr="27B9C7BB">
        <w:rPr>
          <w:rFonts w:eastAsia="Arial"/>
          <w:b/>
          <w:bCs/>
          <w:color w:val="000000" w:themeColor="text1"/>
        </w:rPr>
        <w:t>Quality Tab</w:t>
      </w:r>
      <w:r w:rsidRPr="27B9C7BB">
        <w:rPr>
          <w:rFonts w:eastAsia="Arial"/>
          <w:color w:val="000000" w:themeColor="text1"/>
        </w:rPr>
        <w:t xml:space="preserve"> – the record of assessment of the performance against the Quality Standards in relation to the service remains in the Quality Tab. This is from the </w:t>
      </w:r>
      <w:r w:rsidR="0059061C">
        <w:rPr>
          <w:rFonts w:eastAsia="Arial"/>
          <w:color w:val="000000" w:themeColor="text1"/>
        </w:rPr>
        <w:t xml:space="preserve">most recent </w:t>
      </w:r>
      <w:r w:rsidRPr="27B9C7BB">
        <w:rPr>
          <w:rFonts w:eastAsia="Arial"/>
          <w:color w:val="000000" w:themeColor="text1"/>
        </w:rPr>
        <w:t xml:space="preserve">performance assessment at the service (even if this was with the previous </w:t>
      </w:r>
      <w:r w:rsidR="00676DF3">
        <w:rPr>
          <w:rFonts w:eastAsia="Arial"/>
          <w:color w:val="000000" w:themeColor="text1"/>
        </w:rPr>
        <w:t xml:space="preserve">approved </w:t>
      </w:r>
      <w:r w:rsidRPr="27B9C7BB">
        <w:rPr>
          <w:rFonts w:eastAsia="Arial"/>
          <w:color w:val="000000" w:themeColor="text1"/>
        </w:rPr>
        <w:t>provider).</w:t>
      </w:r>
    </w:p>
    <w:p w14:paraId="0E3248E0" w14:textId="2ADA38F5" w:rsidR="00781EA9" w:rsidRDefault="00CA493E">
      <w:pPr>
        <w:pStyle w:val="ListBullet"/>
        <w:numPr>
          <w:ilvl w:val="0"/>
          <w:numId w:val="0"/>
        </w:numPr>
      </w:pPr>
      <w:r w:rsidRPr="00FB2B27">
        <w:rPr>
          <w:rFonts w:eastAsiaTheme="minorEastAsia"/>
          <w:szCs w:val="24"/>
        </w:rPr>
        <w:t xml:space="preserve">This means that on My Aged Care, </w:t>
      </w:r>
      <w:r w:rsidR="0059061C">
        <w:rPr>
          <w:rFonts w:eastAsiaTheme="minorEastAsia"/>
          <w:szCs w:val="24"/>
        </w:rPr>
        <w:t xml:space="preserve">the compliance history of a service continues to be available </w:t>
      </w:r>
      <w:r w:rsidRPr="00FB2B27">
        <w:rPr>
          <w:rFonts w:eastAsiaTheme="minorEastAsia"/>
          <w:szCs w:val="24"/>
        </w:rPr>
        <w:t xml:space="preserve">when ownership has transferred to a new </w:t>
      </w:r>
      <w:r w:rsidR="00131B7E">
        <w:rPr>
          <w:rFonts w:eastAsiaTheme="minorEastAsia"/>
          <w:szCs w:val="24"/>
        </w:rPr>
        <w:t xml:space="preserve">approved </w:t>
      </w:r>
      <w:r w:rsidRPr="00FB2B27">
        <w:rPr>
          <w:rFonts w:eastAsiaTheme="minorEastAsia"/>
          <w:szCs w:val="24"/>
        </w:rPr>
        <w:t>provider.</w:t>
      </w:r>
      <w:r w:rsidR="093A21B1" w:rsidRPr="00FB2B27">
        <w:rPr>
          <w:rFonts w:eastAsiaTheme="minorEastAsia"/>
          <w:szCs w:val="24"/>
        </w:rPr>
        <w:t xml:space="preserve"> </w:t>
      </w:r>
      <w:r w:rsidR="093A21B1">
        <w:t>The Commission is working with the Department of Health to ensure that the information on My Aged Care accurately reflects the Commission’s regulatory decisions and actions at the service while providing transparency to consumers on previous performance assessments.</w:t>
      </w:r>
      <w:r w:rsidR="007F47A6">
        <w:t xml:space="preserve"> </w:t>
      </w:r>
    </w:p>
    <w:p w14:paraId="66BE7590" w14:textId="08229088" w:rsidR="005B594A" w:rsidRDefault="005B594A" w:rsidP="004B616A">
      <w:pPr>
        <w:pStyle w:val="ListBullet"/>
        <w:numPr>
          <w:ilvl w:val="0"/>
          <w:numId w:val="0"/>
        </w:numPr>
      </w:pPr>
      <w:r>
        <w:t xml:space="preserve">For more information about </w:t>
      </w:r>
      <w:r w:rsidR="008D3B46">
        <w:t>the types of information the Commission publishes about provider performance</w:t>
      </w:r>
      <w:r w:rsidR="0059061C">
        <w:t>,</w:t>
      </w:r>
      <w:r w:rsidR="008D3B46">
        <w:t xml:space="preserve"> refer to the </w:t>
      </w:r>
      <w:hyperlink r:id="rId11" w:history="1">
        <w:r w:rsidR="008D3B46" w:rsidRPr="007528B9">
          <w:rPr>
            <w:rStyle w:val="Hyperlink"/>
          </w:rPr>
          <w:t xml:space="preserve">Commission’s Regulatory Bulletin on </w:t>
        </w:r>
        <w:r w:rsidR="00A63780" w:rsidRPr="007528B9">
          <w:rPr>
            <w:rStyle w:val="Hyperlink"/>
          </w:rPr>
          <w:t>publication of provider performance information</w:t>
        </w:r>
      </w:hyperlink>
      <w:r w:rsidR="007528B9">
        <w:rPr>
          <w:rStyle w:val="FootnoteReference"/>
        </w:rPr>
        <w:footnoteReference w:id="4"/>
      </w:r>
      <w:r w:rsidR="00A63780">
        <w:t xml:space="preserve">. </w:t>
      </w:r>
    </w:p>
    <w:p w14:paraId="28796E9E" w14:textId="3DDCB8D8" w:rsidR="00701F89" w:rsidRDefault="00701F89" w:rsidP="00701F89">
      <w:pPr>
        <w:pStyle w:val="Heading1"/>
      </w:pPr>
      <w:r>
        <w:t>Frequently asked questions</w:t>
      </w:r>
    </w:p>
    <w:p w14:paraId="00A2D71B" w14:textId="77777777" w:rsidR="005629AD" w:rsidRDefault="005629AD" w:rsidP="008F2EF8">
      <w:pPr>
        <w:pStyle w:val="Heading2"/>
        <w:ind w:left="426" w:hanging="426"/>
      </w:pPr>
      <w:bookmarkStart w:id="0" w:name="_Hlk11246142"/>
      <w:r>
        <w:t>What is the accreditation process when a service has transferred to a new approved provider?</w:t>
      </w:r>
    </w:p>
    <w:p w14:paraId="23FF9535" w14:textId="4C47DBF9" w:rsidR="005629AD" w:rsidRDefault="005629AD" w:rsidP="005629AD">
      <w:r w:rsidRPr="001C3A3A">
        <w:t xml:space="preserve">When accreditation expires or where accreditation has expired prior to transfer, the new </w:t>
      </w:r>
      <w:r w:rsidR="00DB5BF4">
        <w:t xml:space="preserve">approved </w:t>
      </w:r>
      <w:r w:rsidRPr="001C3A3A">
        <w:t>provider can apply for re-accreditation of the service.  </w:t>
      </w:r>
    </w:p>
    <w:p w14:paraId="0222E7C7" w14:textId="5A0568CB" w:rsidR="005629AD" w:rsidRDefault="00FA3EAB" w:rsidP="005629AD">
      <w:r>
        <w:t>Application for re-accreditation of the service</w:t>
      </w:r>
      <w:r w:rsidR="005629AD" w:rsidRPr="001C3A3A">
        <w:t xml:space="preserve"> requires the </w:t>
      </w:r>
      <w:r>
        <w:t xml:space="preserve">new approved </w:t>
      </w:r>
      <w:r w:rsidR="005629AD" w:rsidRPr="001C3A3A">
        <w:t>provider to first complete a self-assessment of their</w:t>
      </w:r>
      <w:r w:rsidR="001F5763">
        <w:t xml:space="preserve"> </w:t>
      </w:r>
      <w:r w:rsidR="005629AD" w:rsidRPr="001C3A3A">
        <w:t>performance against the Quality Standards in relation to the service. </w:t>
      </w:r>
      <w:r w:rsidR="004B1B17">
        <w:t xml:space="preserve">In doing so, the new approved provider </w:t>
      </w:r>
      <w:r>
        <w:t>should consider</w:t>
      </w:r>
      <w:r w:rsidR="004B1B17">
        <w:t xml:space="preserve"> </w:t>
      </w:r>
      <w:r w:rsidR="00935655">
        <w:t>if</w:t>
      </w:r>
      <w:r w:rsidR="00AF7B93">
        <w:t xml:space="preserve"> there has been</w:t>
      </w:r>
      <w:r>
        <w:t xml:space="preserve"> </w:t>
      </w:r>
      <w:r w:rsidR="00AF7B93">
        <w:t xml:space="preserve">an </w:t>
      </w:r>
      <w:r>
        <w:t xml:space="preserve">improvement </w:t>
      </w:r>
      <w:r w:rsidR="00935655">
        <w:t xml:space="preserve">since the </w:t>
      </w:r>
      <w:r w:rsidR="001B7A51">
        <w:t>last</w:t>
      </w:r>
      <w:r>
        <w:t xml:space="preserve"> performance assessment</w:t>
      </w:r>
      <w:r w:rsidR="00C575D5">
        <w:t xml:space="preserve">, </w:t>
      </w:r>
      <w:r w:rsidR="00AF7B93">
        <w:t>even if</w:t>
      </w:r>
      <w:r w:rsidR="003D77CE">
        <w:t xml:space="preserve"> the assessment</w:t>
      </w:r>
      <w:r w:rsidR="00AF7B93">
        <w:t xml:space="preserve"> was under the previous approved provider.</w:t>
      </w:r>
      <w:r w:rsidR="005629AD" w:rsidRPr="001C3A3A">
        <w:t> </w:t>
      </w:r>
    </w:p>
    <w:p w14:paraId="10225CEB" w14:textId="0665DDF5" w:rsidR="005629AD" w:rsidRDefault="005629AD" w:rsidP="005629AD">
      <w:r w:rsidRPr="001C3A3A">
        <w:t xml:space="preserve">In making an accreditation decision, the </w:t>
      </w:r>
      <w:r w:rsidR="00986F94">
        <w:t xml:space="preserve">Commission will </w:t>
      </w:r>
      <w:r w:rsidRPr="001C3A3A">
        <w:t>need to be satisfied that if the service is re-accredited</w:t>
      </w:r>
      <w:r w:rsidR="00986F94">
        <w:t>,</w:t>
      </w:r>
      <w:r w:rsidRPr="001C3A3A">
        <w:t xml:space="preserve"> the new approved provider will undertake continuous improvement </w:t>
      </w:r>
      <w:r w:rsidR="001818E7">
        <w:t xml:space="preserve">of the service </w:t>
      </w:r>
      <w:r w:rsidR="0059061C">
        <w:t xml:space="preserve">in relation to </w:t>
      </w:r>
      <w:r w:rsidRPr="001C3A3A">
        <w:t>the Quality Standards.  </w:t>
      </w:r>
    </w:p>
    <w:p w14:paraId="602AED91" w14:textId="5D4D212B" w:rsidR="002348B1" w:rsidRDefault="002348B1" w:rsidP="005629AD">
      <w:r>
        <w:t>Information on applying for re-accreditation</w:t>
      </w:r>
      <w:r w:rsidR="00AE5A14">
        <w:t xml:space="preserve"> </w:t>
      </w:r>
      <w:r w:rsidR="00CE50C3">
        <w:t>can be</w:t>
      </w:r>
      <w:r w:rsidR="00834DA7">
        <w:t xml:space="preserve"> found </w:t>
      </w:r>
      <w:r w:rsidR="00AE5A14">
        <w:t>on the</w:t>
      </w:r>
      <w:r w:rsidR="009C5093">
        <w:t xml:space="preserve"> </w:t>
      </w:r>
      <w:hyperlink r:id="rId12" w:anchor="applying%20for%20reaccreditation" w:history="1">
        <w:r w:rsidR="009C5093" w:rsidRPr="009C5093">
          <w:rPr>
            <w:rStyle w:val="Hyperlink"/>
          </w:rPr>
          <w:t>Re-accreditation of residential services</w:t>
        </w:r>
      </w:hyperlink>
      <w:r w:rsidR="009C5093">
        <w:rPr>
          <w:rStyle w:val="FootnoteReference"/>
        </w:rPr>
        <w:footnoteReference w:id="5"/>
      </w:r>
      <w:r w:rsidR="009C5093">
        <w:t xml:space="preserve"> page of the</w:t>
      </w:r>
      <w:r w:rsidR="00AE5A14">
        <w:t xml:space="preserve"> </w:t>
      </w:r>
      <w:r w:rsidR="00AE5A14" w:rsidRPr="00C33890">
        <w:t>Commission website</w:t>
      </w:r>
      <w:r w:rsidR="00AE5A14" w:rsidRPr="004167D3">
        <w:t>.</w:t>
      </w:r>
    </w:p>
    <w:p w14:paraId="6FC860F2" w14:textId="72FE659B" w:rsidR="008F2DA5" w:rsidRDefault="000368C0" w:rsidP="008F2EF8">
      <w:pPr>
        <w:pStyle w:val="Heading2"/>
        <w:ind w:left="426" w:hanging="426"/>
      </w:pPr>
      <w:r>
        <w:lastRenderedPageBreak/>
        <w:t>Can the new approved provider of a transferred service apply for re-accreditation if the previous</w:t>
      </w:r>
      <w:r w:rsidR="00F73EB7">
        <w:t xml:space="preserve"> accreditation</w:t>
      </w:r>
      <w:r>
        <w:t xml:space="preserve"> (prior to transfer)</w:t>
      </w:r>
      <w:r w:rsidR="00F73EB7">
        <w:t xml:space="preserve"> has been revoked</w:t>
      </w:r>
      <w:r w:rsidR="008F2DA5" w:rsidRPr="00A35596">
        <w:t>?</w:t>
      </w:r>
    </w:p>
    <w:p w14:paraId="24943144" w14:textId="6E0D42DA" w:rsidR="00BD45C6" w:rsidRDefault="000368C0" w:rsidP="00F73EB7">
      <w:r>
        <w:t xml:space="preserve">Yes. </w:t>
      </w:r>
      <w:r w:rsidR="002956E9" w:rsidRPr="00C33890">
        <w:t xml:space="preserve">When accreditation </w:t>
      </w:r>
      <w:r w:rsidR="00CE0136" w:rsidRPr="00C33890">
        <w:t>has been revoked prior to transfer, the new</w:t>
      </w:r>
      <w:r w:rsidR="000A1328">
        <w:t xml:space="preserve"> approved</w:t>
      </w:r>
      <w:r w:rsidR="00CE0136" w:rsidRPr="00C33890">
        <w:t xml:space="preserve"> provider can apply for re-accreditation of the service.</w:t>
      </w:r>
    </w:p>
    <w:p w14:paraId="2ABA1EE5" w14:textId="6386AEF2" w:rsidR="00F73EB7" w:rsidRDefault="00BD45C6" w:rsidP="00F73EB7">
      <w:r>
        <w:t xml:space="preserve">The process to apply for re-accreditation of the service where accreditation has been revoked </w:t>
      </w:r>
      <w:r w:rsidR="00DF18B7">
        <w:t xml:space="preserve">prior to transfer </w:t>
      </w:r>
      <w:r>
        <w:t xml:space="preserve">is the same as the process </w:t>
      </w:r>
      <w:r w:rsidR="00DF18B7">
        <w:t>where the accreditation has expired prior to transfer. See response to Question 1 (above) for information.</w:t>
      </w:r>
    </w:p>
    <w:p w14:paraId="005AB438" w14:textId="2312D8E4" w:rsidR="00D607B4" w:rsidRPr="00D607B4" w:rsidRDefault="0055002A" w:rsidP="00D607B4">
      <w:pPr>
        <w:pStyle w:val="Heading2"/>
        <w:ind w:left="426" w:hanging="426"/>
      </w:pPr>
      <w:r>
        <w:t xml:space="preserve">Are </w:t>
      </w:r>
      <w:r w:rsidR="00D607B4" w:rsidRPr="001C3A3A">
        <w:t>Performance Report</w:t>
      </w:r>
      <w:r>
        <w:t>s relating to a previous approved provider removed from the Commission’s website?</w:t>
      </w:r>
      <w:r w:rsidR="00D607B4" w:rsidRPr="001C3A3A">
        <w:t> </w:t>
      </w:r>
    </w:p>
    <w:p w14:paraId="58E590F9" w14:textId="77777777" w:rsidR="00B91C93" w:rsidRDefault="00B91C93" w:rsidP="00B91C93">
      <w:pPr>
        <w:shd w:val="clear" w:color="auto" w:fill="FFFFFF" w:themeFill="background1"/>
      </w:pPr>
      <w:r>
        <w:t xml:space="preserve">The Commission produces a performance report following every site audit, review audit and assessment contact (performance assessment) undertaken with residential services. </w:t>
      </w:r>
    </w:p>
    <w:p w14:paraId="79F7835C" w14:textId="0D00B14F" w:rsidR="00B91C93" w:rsidRDefault="00B91C93" w:rsidP="00B91C93">
      <w:pPr>
        <w:shd w:val="clear" w:color="auto" w:fill="FFFFFF" w:themeFill="background1"/>
      </w:pPr>
      <w:r>
        <w:t>The performance report is prepared by a Commission delegate and details the assessment of the approved provider’s performance against the Quality Standards (compliance or non-compliance with the Quality Standards) in relation to a service. It</w:t>
      </w:r>
      <w:r w:rsidRPr="00024FAA">
        <w:t xml:space="preserve"> may also specify areas in which improvements must be made by the approved provider of the service to ensure the Quality Standards are complied with. </w:t>
      </w:r>
    </w:p>
    <w:p w14:paraId="6BF48DCD" w14:textId="507FB1B9" w:rsidR="001F6289" w:rsidRDefault="001A6B97" w:rsidP="00D607B4">
      <w:pPr>
        <w:shd w:val="clear" w:color="auto" w:fill="FFFFFF" w:themeFill="background1"/>
      </w:pPr>
      <w:r w:rsidRPr="00C33890">
        <w:t>Performance reports are not removed from the Commission website where there is a transfer of a service</w:t>
      </w:r>
      <w:r w:rsidRPr="004167D3">
        <w:t>.</w:t>
      </w:r>
      <w:r w:rsidRPr="00024FAA">
        <w:t> Th</w:t>
      </w:r>
      <w:r w:rsidR="00FC5F17">
        <w:t xml:space="preserve">is </w:t>
      </w:r>
      <w:r w:rsidRPr="00024FAA">
        <w:t xml:space="preserve">ensures transparency </w:t>
      </w:r>
      <w:r w:rsidR="00DB1592">
        <w:t xml:space="preserve">about the outcomes of </w:t>
      </w:r>
      <w:r w:rsidRPr="00024FAA">
        <w:t>the Commission’s performance assessment</w:t>
      </w:r>
      <w:r w:rsidR="00DB1592">
        <w:t xml:space="preserve"> processes</w:t>
      </w:r>
      <w:r w:rsidRPr="00024FAA">
        <w:t>.</w:t>
      </w:r>
      <w:r w:rsidR="00DB1592">
        <w:t xml:space="preserve"> </w:t>
      </w:r>
      <w:r w:rsidRPr="00024FAA">
        <w:t>All performance reports are published on the Commission website</w:t>
      </w:r>
      <w:r>
        <w:t xml:space="preserve"> and clearly </w:t>
      </w:r>
      <w:r w:rsidRPr="00024FAA">
        <w:t>identify the</w:t>
      </w:r>
      <w:r w:rsidR="0059061C" w:rsidRPr="00024FAA" w:rsidDel="0059061C">
        <w:t xml:space="preserve"> </w:t>
      </w:r>
      <w:r w:rsidRPr="00024FAA">
        <w:t xml:space="preserve">approved provider </w:t>
      </w:r>
      <w:r w:rsidR="0059061C">
        <w:t xml:space="preserve">related </w:t>
      </w:r>
      <w:r w:rsidRPr="00024FAA">
        <w:t xml:space="preserve">to </w:t>
      </w:r>
      <w:r>
        <w:t>that</w:t>
      </w:r>
      <w:r w:rsidRPr="00024FAA">
        <w:t xml:space="preserve"> performance assessment. </w:t>
      </w:r>
    </w:p>
    <w:p w14:paraId="6AF37BED" w14:textId="7C3022EE" w:rsidR="00CE08D0" w:rsidRDefault="00CE08D0" w:rsidP="00D607B4">
      <w:pPr>
        <w:shd w:val="clear" w:color="auto" w:fill="FFFFFF" w:themeFill="background1"/>
      </w:pPr>
      <w:r>
        <w:t xml:space="preserve">Performance reports can be accessed by searching for the service’s dedicated performance information page via the </w:t>
      </w:r>
      <w:hyperlink r:id="rId13" w:history="1">
        <w:r w:rsidRPr="00CE08D0">
          <w:rPr>
            <w:rStyle w:val="Hyperlink"/>
          </w:rPr>
          <w:t>Find a report</w:t>
        </w:r>
      </w:hyperlink>
      <w:r>
        <w:rPr>
          <w:rStyle w:val="FootnoteReference"/>
        </w:rPr>
        <w:footnoteReference w:id="6"/>
      </w:r>
      <w:r>
        <w:t xml:space="preserve"> function on the Commission website.</w:t>
      </w:r>
    </w:p>
    <w:p w14:paraId="2D8FDBF8" w14:textId="30D4CCE3" w:rsidR="00835362" w:rsidRDefault="00835362" w:rsidP="00EE0B98">
      <w:pPr>
        <w:pStyle w:val="Heading2"/>
        <w:ind w:left="426" w:hanging="426"/>
      </w:pPr>
      <w:r>
        <w:t>Will regulatory action</w:t>
      </w:r>
      <w:r w:rsidR="00EE57D7">
        <w:t xml:space="preserve"> relating to t</w:t>
      </w:r>
      <w:r>
        <w:t xml:space="preserve">he previous approved provider be attributed to the new approved provider of </w:t>
      </w:r>
      <w:r w:rsidR="003C5271">
        <w:t>a transferred</w:t>
      </w:r>
      <w:r>
        <w:t xml:space="preserve"> service?</w:t>
      </w:r>
    </w:p>
    <w:p w14:paraId="275FD59D" w14:textId="3EAADEAD" w:rsidR="00EC6879" w:rsidRDefault="00835362" w:rsidP="007A37C8">
      <w:r>
        <w:t xml:space="preserve">No. </w:t>
      </w:r>
      <w:r w:rsidR="002F52CD">
        <w:t xml:space="preserve">Any </w:t>
      </w:r>
      <w:r w:rsidR="00136794">
        <w:t xml:space="preserve">regulatory </w:t>
      </w:r>
      <w:r w:rsidR="00352036">
        <w:t xml:space="preserve">or enforceable regulatory </w:t>
      </w:r>
      <w:r w:rsidR="00136794">
        <w:t>action</w:t>
      </w:r>
      <w:r w:rsidR="002F52CD">
        <w:t xml:space="preserve"> taken by the Commission in response to a previous approved provider’s non-compliance with aged care responsibilities </w:t>
      </w:r>
      <w:r w:rsidR="007455D4">
        <w:t>or non-compliance with the Quality Standards does not continue to be applied to the new approved provider.</w:t>
      </w:r>
      <w:r w:rsidR="000C05BE">
        <w:t xml:space="preserve"> </w:t>
      </w:r>
    </w:p>
    <w:p w14:paraId="5A0C9759" w14:textId="13419B7D" w:rsidR="007455D4" w:rsidRDefault="006A0274" w:rsidP="007A37C8">
      <w:r>
        <w:t xml:space="preserve">Examples of regulatory </w:t>
      </w:r>
      <w:r w:rsidR="00352036">
        <w:t xml:space="preserve">or enforceable regulatory </w:t>
      </w:r>
      <w:r>
        <w:t xml:space="preserve">actions include </w:t>
      </w:r>
      <w:r w:rsidR="00A21473">
        <w:t xml:space="preserve">but are not limited to </w:t>
      </w:r>
      <w:r w:rsidRPr="00CE08D0">
        <w:t>a direction to revise a plan for continuous improvement, a</w:t>
      </w:r>
      <w:r w:rsidR="00352036">
        <w:t>n</w:t>
      </w:r>
      <w:r w:rsidRPr="00CE08D0">
        <w:t xml:space="preserve"> </w:t>
      </w:r>
      <w:r w:rsidR="00352036">
        <w:t xml:space="preserve">Incident Management </w:t>
      </w:r>
      <w:r w:rsidRPr="00CE08D0">
        <w:t>Compliance Notice, </w:t>
      </w:r>
      <w:r>
        <w:t>a</w:t>
      </w:r>
      <w:r w:rsidR="00AE5423">
        <w:t xml:space="preserve"> </w:t>
      </w:r>
      <w:r w:rsidR="0046673D">
        <w:t>Non-Compliance</w:t>
      </w:r>
      <w:r w:rsidR="00AE5423">
        <w:t xml:space="preserve"> Notice</w:t>
      </w:r>
      <w:r w:rsidR="0046673D">
        <w:t>, a</w:t>
      </w:r>
      <w:r w:rsidR="0046673D" w:rsidRPr="00CE08D0">
        <w:t xml:space="preserve"> </w:t>
      </w:r>
      <w:r w:rsidR="0046673D" w:rsidRPr="00DC373E">
        <w:t>Notice of Requirement to Agree to Certain Matters</w:t>
      </w:r>
      <w:r w:rsidR="0046673D">
        <w:t xml:space="preserve"> </w:t>
      </w:r>
      <w:r>
        <w:t>or a</w:t>
      </w:r>
      <w:r w:rsidRPr="00CE08D0">
        <w:t xml:space="preserve"> sanction</w:t>
      </w:r>
      <w:r>
        <w:t xml:space="preserve"> </w:t>
      </w:r>
      <w:r w:rsidR="00A15090">
        <w:t>on</w:t>
      </w:r>
      <w:r>
        <w:t xml:space="preserve"> the previous approved provider</w:t>
      </w:r>
      <w:r w:rsidR="001774AE">
        <w:t>.</w:t>
      </w:r>
    </w:p>
    <w:p w14:paraId="4C06725E" w14:textId="78E8ED78" w:rsidR="00280D9B" w:rsidRDefault="00280D9B" w:rsidP="007A37C8">
      <w:r>
        <w:t xml:space="preserve">The Commission will communicate with the new </w:t>
      </w:r>
      <w:r w:rsidR="003C5271">
        <w:t xml:space="preserve">approved </w:t>
      </w:r>
      <w:r>
        <w:t xml:space="preserve">provider about any </w:t>
      </w:r>
      <w:r w:rsidR="00BE479F">
        <w:t xml:space="preserve">recent </w:t>
      </w:r>
      <w:r w:rsidR="00074AC9">
        <w:t xml:space="preserve">areas of </w:t>
      </w:r>
      <w:r w:rsidR="009B7583">
        <w:t>non</w:t>
      </w:r>
      <w:r w:rsidR="00BE479F">
        <w:noBreakHyphen/>
      </w:r>
      <w:r w:rsidR="009B7583">
        <w:t>compliance</w:t>
      </w:r>
      <w:r w:rsidR="00453F03">
        <w:t xml:space="preserve"> </w:t>
      </w:r>
      <w:r w:rsidR="00074AC9">
        <w:t xml:space="preserve">at the service </w:t>
      </w:r>
      <w:r w:rsidR="00453F03">
        <w:t xml:space="preserve">under the previous approved </w:t>
      </w:r>
      <w:r w:rsidR="00BD257C">
        <w:t>provider, including</w:t>
      </w:r>
      <w:r w:rsidR="003379BB">
        <w:t xml:space="preserve"> advice that</w:t>
      </w:r>
      <w:r w:rsidR="004D37B9">
        <w:t xml:space="preserve"> these areas </w:t>
      </w:r>
      <w:r w:rsidR="00590041">
        <w:t>will be closely monitored by the Commission</w:t>
      </w:r>
      <w:r w:rsidR="00757133">
        <w:t xml:space="preserve"> following the transfer</w:t>
      </w:r>
      <w:r w:rsidR="00084A5F">
        <w:t>.</w:t>
      </w:r>
    </w:p>
    <w:p w14:paraId="1B6623D5" w14:textId="0D9C0147" w:rsidR="00544DDB" w:rsidRDefault="00544DDB" w:rsidP="007A37C8">
      <w:r>
        <w:lastRenderedPageBreak/>
        <w:t xml:space="preserve">The specific regulatory action </w:t>
      </w:r>
      <w:r w:rsidR="0058737E">
        <w:t xml:space="preserve">taken by the Commission </w:t>
      </w:r>
      <w:r w:rsidR="0059061C">
        <w:t xml:space="preserve">in relation to </w:t>
      </w:r>
      <w:r w:rsidR="0058737E">
        <w:t xml:space="preserve">the previous </w:t>
      </w:r>
      <w:r w:rsidR="00F6402D">
        <w:t xml:space="preserve">approved </w:t>
      </w:r>
      <w:r w:rsidR="0058737E">
        <w:t xml:space="preserve">provider will </w:t>
      </w:r>
      <w:r w:rsidR="00857470">
        <w:t>remain</w:t>
      </w:r>
      <w:r w:rsidR="0058737E">
        <w:t xml:space="preserve"> published on the Commission website.</w:t>
      </w:r>
    </w:p>
    <w:p w14:paraId="2453757C" w14:textId="2373C704" w:rsidR="00FC66B6" w:rsidRPr="00502908" w:rsidRDefault="00FC66B6" w:rsidP="00FC66B6">
      <w:pPr>
        <w:pStyle w:val="Heading2"/>
        <w:ind w:left="426" w:hanging="426"/>
      </w:pPr>
      <w:r w:rsidRPr="00502908">
        <w:t xml:space="preserve">What are the implications for the new approved provider where the previous approved provider </w:t>
      </w:r>
      <w:r w:rsidR="009A6A6D">
        <w:t>w</w:t>
      </w:r>
      <w:r w:rsidRPr="00502908">
        <w:t xml:space="preserve">as </w:t>
      </w:r>
      <w:r w:rsidR="00181C5D">
        <w:t xml:space="preserve">found to be </w:t>
      </w:r>
      <w:r w:rsidRPr="00502908">
        <w:t>non-complian</w:t>
      </w:r>
      <w:r w:rsidR="00201F17">
        <w:t>t</w:t>
      </w:r>
      <w:r w:rsidRPr="00502908">
        <w:t>?</w:t>
      </w:r>
    </w:p>
    <w:p w14:paraId="2ED1032E" w14:textId="77777777" w:rsidR="00C8534D" w:rsidRDefault="005F1400" w:rsidP="000603FE">
      <w:r>
        <w:t>W</w:t>
      </w:r>
      <w:r w:rsidR="00FC66B6" w:rsidRPr="00502908">
        <w:t xml:space="preserve">here </w:t>
      </w:r>
      <w:r w:rsidR="00D55918">
        <w:t xml:space="preserve">the previous approved provider </w:t>
      </w:r>
      <w:r w:rsidR="00FF5675">
        <w:t>had been</w:t>
      </w:r>
      <w:r w:rsidR="00D55918">
        <w:t xml:space="preserve"> </w:t>
      </w:r>
      <w:r w:rsidR="00181C5D">
        <w:t xml:space="preserve">found to be </w:t>
      </w:r>
      <w:r w:rsidR="00D55918">
        <w:t>non-compliant with the Quality Standards</w:t>
      </w:r>
      <w:r w:rsidR="005F55F4">
        <w:t xml:space="preserve">, the </w:t>
      </w:r>
      <w:r w:rsidR="00FC66B6" w:rsidRPr="00502908">
        <w:t xml:space="preserve">Commission would seek to </w:t>
      </w:r>
      <w:r w:rsidR="00FC66B6">
        <w:t>assess</w:t>
      </w:r>
      <w:r w:rsidR="00FC66B6" w:rsidRPr="00502908">
        <w:t xml:space="preserve"> the new approved provider’s performance against the Quality Standards</w:t>
      </w:r>
      <w:r w:rsidR="00505562">
        <w:t xml:space="preserve"> to mitigate and manage any risks to the delivery of quality and safe care to consumers at the service</w:t>
      </w:r>
      <w:r w:rsidR="00FC66B6" w:rsidRPr="00502908">
        <w:t>.</w:t>
      </w:r>
      <w:r w:rsidR="00FC66B6">
        <w:t> </w:t>
      </w:r>
      <w:r w:rsidR="00FF5675">
        <w:t xml:space="preserve"> </w:t>
      </w:r>
    </w:p>
    <w:p w14:paraId="21CDF5B3" w14:textId="34E9B0E6" w:rsidR="000603FE" w:rsidRDefault="003348DD" w:rsidP="000603FE">
      <w:r>
        <w:t xml:space="preserve">This may include a </w:t>
      </w:r>
      <w:r w:rsidR="00407445">
        <w:t>focus</w:t>
      </w:r>
      <w:r>
        <w:t xml:space="preserve"> on </w:t>
      </w:r>
      <w:r w:rsidR="00A26A13">
        <w:t>areas of non-compliance identified under the previous approved provider</w:t>
      </w:r>
      <w:r w:rsidR="00993EB0" w:rsidRPr="00993EB0">
        <w:t xml:space="preserve"> </w:t>
      </w:r>
      <w:r w:rsidR="00993EB0">
        <w:t>to ensure</w:t>
      </w:r>
      <w:r w:rsidR="001B0070">
        <w:t xml:space="preserve"> that </w:t>
      </w:r>
      <w:r w:rsidR="0059061C">
        <w:t xml:space="preserve">the new approved provider is addressing </w:t>
      </w:r>
      <w:r w:rsidR="001B0070">
        <w:t>known risks to</w:t>
      </w:r>
      <w:r w:rsidR="00993EB0">
        <w:t xml:space="preserve"> the quality and safety of care being delivered at the service</w:t>
      </w:r>
      <w:r w:rsidR="00A26A13">
        <w:t xml:space="preserve">. </w:t>
      </w:r>
    </w:p>
    <w:p w14:paraId="2094C2C9" w14:textId="1ADD4862" w:rsidR="000603FE" w:rsidRPr="00C33890" w:rsidRDefault="00FC66B6">
      <w:r>
        <w:t xml:space="preserve">This may occur through a site audit where the provider has applied for </w:t>
      </w:r>
      <w:r w:rsidR="00196128">
        <w:t>re-</w:t>
      </w:r>
      <w:r>
        <w:t>accreditation, through an assessment contact (performance assessment), or a review audit where there are new concerns regarding the quality of care and services. </w:t>
      </w:r>
      <w:r w:rsidR="00032A57">
        <w:t>The new approved provider will be required to cooperate through this process</w:t>
      </w:r>
      <w:r w:rsidR="002F0BE8" w:rsidRPr="00DF7C63">
        <w:t xml:space="preserve">. </w:t>
      </w:r>
    </w:p>
    <w:p w14:paraId="0885371D" w14:textId="61846AF8" w:rsidR="0087656E" w:rsidRPr="00C33890" w:rsidRDefault="008334D1" w:rsidP="0087656E">
      <w:pPr>
        <w:pStyle w:val="Heading2"/>
        <w:ind w:left="426" w:hanging="426"/>
      </w:pPr>
      <w:r>
        <w:t>What are the</w:t>
      </w:r>
      <w:r w:rsidR="00601114">
        <w:t xml:space="preserve"> circumstance</w:t>
      </w:r>
      <w:r>
        <w:t xml:space="preserve">s in which </w:t>
      </w:r>
      <w:r w:rsidR="00BF6417" w:rsidRPr="004167D3">
        <w:t xml:space="preserve">the Commission </w:t>
      </w:r>
      <w:r>
        <w:t xml:space="preserve">will </w:t>
      </w:r>
      <w:r w:rsidR="0059061C">
        <w:t xml:space="preserve">take </w:t>
      </w:r>
      <w:r w:rsidR="00BF6417" w:rsidRPr="00C33890">
        <w:t>c</w:t>
      </w:r>
      <w:r w:rsidR="0087656E" w:rsidRPr="00C33890">
        <w:t>ompliance action</w:t>
      </w:r>
      <w:r w:rsidR="00BF6417" w:rsidRPr="00C33890">
        <w:t xml:space="preserve"> </w:t>
      </w:r>
      <w:r w:rsidR="0059061C">
        <w:t xml:space="preserve">in relation to </w:t>
      </w:r>
      <w:r w:rsidR="00BF6417" w:rsidRPr="00C33890">
        <w:t xml:space="preserve">the new approved provider </w:t>
      </w:r>
      <w:r w:rsidR="00196128">
        <w:t>of a transferred service</w:t>
      </w:r>
      <w:r w:rsidR="0087656E" w:rsidRPr="00C33890">
        <w:t>? </w:t>
      </w:r>
    </w:p>
    <w:p w14:paraId="79A00C8D" w14:textId="30088FD3" w:rsidR="0087656E" w:rsidRPr="00D658CF" w:rsidRDefault="007C54F8">
      <w:r w:rsidRPr="00C33890">
        <w:t xml:space="preserve">The </w:t>
      </w:r>
      <w:r>
        <w:t xml:space="preserve">Commission will </w:t>
      </w:r>
      <w:r w:rsidR="00AE33EA">
        <w:t>take</w:t>
      </w:r>
      <w:r w:rsidR="008334D1">
        <w:t xml:space="preserve"> </w:t>
      </w:r>
      <w:r w:rsidR="0087656E" w:rsidRPr="00D658CF">
        <w:t>compliance action</w:t>
      </w:r>
      <w:r>
        <w:t xml:space="preserve"> if it is </w:t>
      </w:r>
      <w:r w:rsidR="0087656E" w:rsidRPr="00D658CF">
        <w:t>satisfied that the</w:t>
      </w:r>
      <w:r w:rsidR="00081372">
        <w:t xml:space="preserve"> new</w:t>
      </w:r>
      <w:r w:rsidR="00725658">
        <w:t xml:space="preserve"> </w:t>
      </w:r>
      <w:r w:rsidR="0087656E" w:rsidRPr="00D658CF">
        <w:t>approved</w:t>
      </w:r>
      <w:r w:rsidR="00725658">
        <w:t xml:space="preserve"> </w:t>
      </w:r>
      <w:r w:rsidR="0087656E" w:rsidRPr="00D658CF">
        <w:t xml:space="preserve">provider has failed or is failing to comply with one or more of its </w:t>
      </w:r>
      <w:r w:rsidR="00996F23">
        <w:t xml:space="preserve">aged care </w:t>
      </w:r>
      <w:r w:rsidR="0087656E" w:rsidRPr="00D658CF">
        <w:t>responsibilities.  </w:t>
      </w:r>
    </w:p>
    <w:p w14:paraId="44F1D503" w14:textId="4CD94CC1" w:rsidR="0039181B" w:rsidRDefault="0087656E" w:rsidP="0087656E">
      <w:r w:rsidRPr="00D658CF">
        <w:t xml:space="preserve">Following a transfer of </w:t>
      </w:r>
      <w:r w:rsidR="008C5DEC">
        <w:t xml:space="preserve">a </w:t>
      </w:r>
      <w:r w:rsidRPr="00D658CF">
        <w:t>service, evidence of non-compliance relating to the previous approved provider cannot be attributed to the new approved provider of the service.</w:t>
      </w:r>
      <w:r w:rsidR="0039181B">
        <w:t xml:space="preserve"> </w:t>
      </w:r>
    </w:p>
    <w:p w14:paraId="243EE124" w14:textId="73396A6C" w:rsidR="0087656E" w:rsidRDefault="00DA7B95" w:rsidP="0087656E">
      <w:r>
        <w:t xml:space="preserve">The Commission will gather new evidence </w:t>
      </w:r>
      <w:r w:rsidR="0039181B">
        <w:t xml:space="preserve">to </w:t>
      </w:r>
      <w:r w:rsidR="0087656E" w:rsidRPr="00D658CF">
        <w:t xml:space="preserve">determine whether the new approved provider of a service has </w:t>
      </w:r>
      <w:r w:rsidR="00C925F1" w:rsidRPr="00D658CF">
        <w:t>complied or</w:t>
      </w:r>
      <w:r w:rsidR="0087656E" w:rsidRPr="00D658CF">
        <w:t xml:space="preserve"> is complying with their aged care responsibilities</w:t>
      </w:r>
      <w:r w:rsidR="0039181B">
        <w:t xml:space="preserve">. </w:t>
      </w:r>
      <w:r w:rsidR="0087656E" w:rsidRPr="00D658CF">
        <w:t xml:space="preserve">This new evidence can include how the new approved provider has addressed the areas of concern identified through the prior non-compliance that occurred under the previous </w:t>
      </w:r>
      <w:r w:rsidR="0039181B">
        <w:t xml:space="preserve">approved </w:t>
      </w:r>
      <w:r w:rsidR="0087656E" w:rsidRPr="00D658CF">
        <w:t>provider. </w:t>
      </w:r>
    </w:p>
    <w:p w14:paraId="0E5F1BB6" w14:textId="7F0FEB10" w:rsidR="00D30318" w:rsidRPr="00C33890" w:rsidRDefault="00E00237" w:rsidP="00D30318">
      <w:pPr>
        <w:pStyle w:val="Heading2"/>
        <w:ind w:left="426" w:hanging="426"/>
      </w:pPr>
      <w:r w:rsidRPr="004167D3">
        <w:t xml:space="preserve">What </w:t>
      </w:r>
      <w:r w:rsidR="00EE5355" w:rsidRPr="004167D3">
        <w:t xml:space="preserve">regulatory monitoring response </w:t>
      </w:r>
      <w:r w:rsidR="001C6DF8" w:rsidRPr="004167D3">
        <w:t>will the C</w:t>
      </w:r>
      <w:r w:rsidR="001C6DF8" w:rsidRPr="00B44E0A">
        <w:t xml:space="preserve">ommission take if there </w:t>
      </w:r>
      <w:r w:rsidR="008C5DEC">
        <w:t>wa</w:t>
      </w:r>
      <w:r w:rsidR="001C6DF8" w:rsidRPr="00B44E0A">
        <w:t>s no non-compliance with the previous approved provider</w:t>
      </w:r>
      <w:r w:rsidR="00AE2A52" w:rsidRPr="001C23AD">
        <w:rPr>
          <w:b w:val="0"/>
        </w:rPr>
        <w:t xml:space="preserve"> </w:t>
      </w:r>
      <w:r w:rsidR="00AE2A52" w:rsidRPr="00BB1C07">
        <w:t>at the point of transfer?</w:t>
      </w:r>
      <w:r w:rsidR="00D30318" w:rsidRPr="00C33890">
        <w:t> </w:t>
      </w:r>
    </w:p>
    <w:p w14:paraId="60D5FBFD" w14:textId="1913304D" w:rsidR="00D30318" w:rsidRDefault="00D30318" w:rsidP="00D30318">
      <w:r w:rsidRPr="004167D3">
        <w:t>Where there </w:t>
      </w:r>
      <w:r w:rsidR="0059061C">
        <w:t>was</w:t>
      </w:r>
      <w:r w:rsidRPr="004167D3">
        <w:t xml:space="preserve"> </w:t>
      </w:r>
      <w:r w:rsidRPr="00C33890">
        <w:t>no non-compliance</w:t>
      </w:r>
      <w:r w:rsidRPr="004167D3">
        <w:t xml:space="preserve"> </w:t>
      </w:r>
      <w:r w:rsidR="0059061C">
        <w:t xml:space="preserve">finding for </w:t>
      </w:r>
      <w:r w:rsidR="00090961">
        <w:t xml:space="preserve">a service under its </w:t>
      </w:r>
      <w:r w:rsidRPr="004167D3">
        <w:t>previous approved provider at the point of transfer</w:t>
      </w:r>
      <w:r w:rsidR="004D25F0" w:rsidRPr="004167D3">
        <w:t>,</w:t>
      </w:r>
      <w:r w:rsidRPr="004167D3">
        <w:t xml:space="preserve"> the Commission would </w:t>
      </w:r>
      <w:r w:rsidRPr="00C33890">
        <w:t>consider the risk profile of the service and new approved provider to determine the regulatory monitoring response</w:t>
      </w:r>
      <w:r w:rsidRPr="004167D3">
        <w:t>.</w:t>
      </w:r>
    </w:p>
    <w:p w14:paraId="443005BA" w14:textId="36C03C13" w:rsidR="002F19D0" w:rsidRDefault="00A73537" w:rsidP="00D30318">
      <w:r>
        <w:t>The Commission will undertake a site audit if the new</w:t>
      </w:r>
      <w:r w:rsidR="00532213">
        <w:t xml:space="preserve"> approved</w:t>
      </w:r>
      <w:r>
        <w:t xml:space="preserve"> provider has applied for re-accreditation </w:t>
      </w:r>
      <w:r w:rsidR="0059061C">
        <w:t xml:space="preserve">(that is, </w:t>
      </w:r>
      <w:r>
        <w:t xml:space="preserve">where the </w:t>
      </w:r>
      <w:r w:rsidR="00F91230">
        <w:t xml:space="preserve">accreditation of the service under the previous approved provider </w:t>
      </w:r>
      <w:r w:rsidR="006326C7">
        <w:t xml:space="preserve">is expiring or </w:t>
      </w:r>
      <w:r w:rsidR="00F91230">
        <w:t>has expired</w:t>
      </w:r>
      <w:r w:rsidR="0059061C">
        <w:t>)</w:t>
      </w:r>
      <w:r w:rsidR="00F91230">
        <w:t>.</w:t>
      </w:r>
    </w:p>
    <w:p w14:paraId="56250968" w14:textId="249C0BA6" w:rsidR="00942BE0" w:rsidRDefault="00942BE0" w:rsidP="00D30318">
      <w:r>
        <w:lastRenderedPageBreak/>
        <w:t>The Commission may undertake a</w:t>
      </w:r>
      <w:r w:rsidR="002911BD">
        <w:t>n</w:t>
      </w:r>
      <w:r>
        <w:t xml:space="preserve"> </w:t>
      </w:r>
      <w:r w:rsidR="00141F07">
        <w:t>assessment contact</w:t>
      </w:r>
      <w:r w:rsidR="000B4898">
        <w:t xml:space="preserve"> or </w:t>
      </w:r>
      <w:r>
        <w:t>review audit if it considers that the</w:t>
      </w:r>
      <w:r w:rsidR="008F0867">
        <w:t xml:space="preserve"> service under the new approved provider may not be meeting the Quality Standards</w:t>
      </w:r>
      <w:r w:rsidR="008F397B">
        <w:t xml:space="preserve">, </w:t>
      </w:r>
      <w:r w:rsidR="004638A7">
        <w:t xml:space="preserve">or if there are other </w:t>
      </w:r>
      <w:r w:rsidR="0071472F">
        <w:t xml:space="preserve">risks to the </w:t>
      </w:r>
      <w:r w:rsidR="004638A7">
        <w:t>quality of care and services.</w:t>
      </w:r>
    </w:p>
    <w:p w14:paraId="3F4602B2" w14:textId="0E1CC144" w:rsidR="00B332D8" w:rsidRDefault="007503CF" w:rsidP="00047C3C">
      <w:pPr>
        <w:tabs>
          <w:tab w:val="left" w:pos="6919"/>
        </w:tabs>
      </w:pPr>
      <w:r>
        <w:t xml:space="preserve">The Commission uses a risk-based and proportionate approach to determining the arrangements for an assessment contact, including </w:t>
      </w:r>
      <w:r w:rsidR="00600435">
        <w:t>when the assessment contact will be conducted and for what purposes.</w:t>
      </w:r>
      <w:r w:rsidR="00C00122">
        <w:t xml:space="preserve"> For more information about assessment contacts, refer to</w:t>
      </w:r>
      <w:r w:rsidR="00DD3E3E">
        <w:t xml:space="preserve"> </w:t>
      </w:r>
      <w:r w:rsidR="00B206DF">
        <w:t xml:space="preserve">the </w:t>
      </w:r>
      <w:hyperlink r:id="rId14" w:history="1">
        <w:r w:rsidR="00516A49" w:rsidRPr="008751F7">
          <w:rPr>
            <w:rStyle w:val="Hyperlink"/>
          </w:rPr>
          <w:t>Commission’s Regulatory Bulletin</w:t>
        </w:r>
        <w:r w:rsidR="008751F7" w:rsidRPr="008751F7">
          <w:rPr>
            <w:rStyle w:val="Hyperlink"/>
          </w:rPr>
          <w:t xml:space="preserve"> </w:t>
        </w:r>
        <w:r w:rsidR="00B206DF" w:rsidRPr="008751F7">
          <w:rPr>
            <w:rStyle w:val="Hyperlink"/>
          </w:rPr>
          <w:t>on assessment contacts in residential and home services</w:t>
        </w:r>
      </w:hyperlink>
      <w:r w:rsidR="008751F7">
        <w:rPr>
          <w:rStyle w:val="FootnoteReference"/>
        </w:rPr>
        <w:footnoteReference w:id="7"/>
      </w:r>
      <w:r w:rsidR="00B206DF">
        <w:t>.</w:t>
      </w:r>
    </w:p>
    <w:bookmarkEnd w:id="0"/>
    <w:p w14:paraId="05FB8005" w14:textId="5A6B3255" w:rsidR="00FC0D35" w:rsidRDefault="00FC0D35" w:rsidP="00C33890">
      <w:pPr>
        <w:pStyle w:val="Heading1"/>
        <w:keepLines/>
        <w:spacing w:before="600" w:after="200" w:line="276" w:lineRule="auto"/>
      </w:pPr>
      <w:r>
        <w:t>Need to know more?</w:t>
      </w:r>
    </w:p>
    <w:p w14:paraId="1C6AE6DB" w14:textId="64E6F9F3" w:rsidR="00FC0D35" w:rsidRDefault="00FC0D35" w:rsidP="00FC0D35">
      <w:pPr>
        <w:rPr>
          <w:rFonts w:cs="Times New Roman"/>
          <w:b/>
        </w:rPr>
      </w:pPr>
      <w:r>
        <w:rPr>
          <w:b/>
        </w:rPr>
        <w:t xml:space="preserve">If you have any questions </w:t>
      </w:r>
      <w:r w:rsidR="002407DF">
        <w:rPr>
          <w:b/>
        </w:rPr>
        <w:t>or feedback on this Bulletin</w:t>
      </w:r>
      <w:r w:rsidR="00DE6B55">
        <w:rPr>
          <w:b/>
        </w:rPr>
        <w:t>,</w:t>
      </w:r>
      <w:r w:rsidR="002407DF">
        <w:rPr>
          <w:b/>
        </w:rPr>
        <w:t xml:space="preserve"> </w:t>
      </w:r>
      <w:r w:rsidR="00901977">
        <w:rPr>
          <w:b/>
        </w:rPr>
        <w:t>please send an</w:t>
      </w:r>
      <w:r>
        <w:rPr>
          <w:b/>
        </w:rPr>
        <w:t xml:space="preserve"> email </w:t>
      </w:r>
      <w:r w:rsidR="00901977">
        <w:rPr>
          <w:b/>
        </w:rPr>
        <w:t>t</w:t>
      </w:r>
      <w:r>
        <w:rPr>
          <w:b/>
        </w:rPr>
        <w:t xml:space="preserve">o: </w:t>
      </w:r>
      <w:hyperlink r:id="rId15" w:history="1">
        <w:r w:rsidR="003E132F" w:rsidRPr="003E132F">
          <w:rPr>
            <w:rStyle w:val="Hyperlink"/>
            <w:b/>
            <w:bCs/>
            <w:color w:val="0563C1"/>
          </w:rPr>
          <w:t>info@agedcarequality.gov.au</w:t>
        </w:r>
      </w:hyperlink>
      <w:r w:rsidR="003E132F" w:rsidRPr="00557F3E">
        <w:rPr>
          <w:rStyle w:val="Hyperlink"/>
          <w:b/>
          <w:bCs/>
          <w:color w:val="auto"/>
          <w:u w:val="none"/>
        </w:rPr>
        <w:t>.</w:t>
      </w:r>
      <w:r w:rsidRPr="00557F3E">
        <w:rPr>
          <w:rFonts w:cs="Times New Roman"/>
          <w:b/>
        </w:rPr>
        <w:t xml:space="preserve"> </w:t>
      </w:r>
    </w:p>
    <w:p w14:paraId="12976B43" w14:textId="2E57AFB5" w:rsidR="004D6D6C" w:rsidRDefault="00FC0D35" w:rsidP="00213520">
      <w:pPr>
        <w:rPr>
          <w:b/>
        </w:rPr>
      </w:pPr>
      <w:r>
        <w:rPr>
          <w:rFonts w:cs="Times New Roman"/>
          <w:b/>
        </w:rPr>
        <w:t xml:space="preserve">Stay up to date with Regulatory Bulletin releases by </w:t>
      </w:r>
      <w:hyperlink r:id="rId16" w:history="1">
        <w:r w:rsidR="005A6318">
          <w:rPr>
            <w:rStyle w:val="Hyperlink"/>
            <w:rFonts w:cs="Times New Roman"/>
            <w:b/>
          </w:rPr>
          <w:t>subscribing to the Commission’s newsletter</w:t>
        </w:r>
      </w:hyperlink>
      <w:r w:rsidR="006F562E">
        <w:rPr>
          <w:rStyle w:val="FootnoteReference"/>
          <w:rFonts w:cs="Times New Roman"/>
          <w:b/>
        </w:rPr>
        <w:footnoteReference w:id="8"/>
      </w:r>
      <w:r w:rsidR="00E349D7">
        <w:rPr>
          <w:rFonts w:cs="Times New Roman"/>
          <w:b/>
        </w:rPr>
        <w:t>.</w:t>
      </w:r>
    </w:p>
    <w:sectPr w:rsidR="004D6D6C" w:rsidSect="00A35596">
      <w:headerReference w:type="default" r:id="rId17"/>
      <w:footerReference w:type="default" r:id="rId18"/>
      <w:pgSz w:w="11906" w:h="16838"/>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6931" w14:textId="77777777" w:rsidR="00E84477" w:rsidRDefault="00E84477" w:rsidP="006F1923">
      <w:pPr>
        <w:spacing w:before="0" w:after="0"/>
      </w:pPr>
      <w:r>
        <w:separator/>
      </w:r>
    </w:p>
  </w:endnote>
  <w:endnote w:type="continuationSeparator" w:id="0">
    <w:p w14:paraId="2B5A536B" w14:textId="77777777" w:rsidR="00E84477" w:rsidRDefault="00E84477" w:rsidP="006F1923">
      <w:pPr>
        <w:spacing w:before="0" w:after="0"/>
      </w:pPr>
      <w:r>
        <w:continuationSeparator/>
      </w:r>
    </w:p>
  </w:endnote>
  <w:endnote w:type="continuationNotice" w:id="1">
    <w:p w14:paraId="6108E375" w14:textId="77777777" w:rsidR="00E84477" w:rsidRDefault="00E844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Light">
    <w:altName w:val="Cambria"/>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Black">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377" w14:textId="40CA7A10" w:rsidR="00FC3C2E" w:rsidRPr="00A64068" w:rsidRDefault="00817B7B" w:rsidP="00E47B06">
    <w:pPr>
      <w:pStyle w:val="Footer"/>
      <w:tabs>
        <w:tab w:val="clear" w:pos="4513"/>
        <w:tab w:val="clear" w:pos="9026"/>
        <w:tab w:val="right" w:pos="9923"/>
      </w:tabs>
      <w:rPr>
        <w:rFonts w:eastAsia="Calibri"/>
        <w:sz w:val="16"/>
        <w:szCs w:val="16"/>
      </w:rPr>
    </w:pPr>
    <w:r>
      <w:rPr>
        <w:rFonts w:eastAsia="Calibri"/>
        <w:sz w:val="16"/>
        <w:szCs w:val="16"/>
      </w:rPr>
      <w:t>Change in service ownership</w:t>
    </w:r>
    <w:r w:rsidR="00FC3C2E" w:rsidRPr="00A64068">
      <w:rPr>
        <w:rFonts w:eastAsia="Calibri"/>
        <w:sz w:val="16"/>
        <w:szCs w:val="16"/>
      </w:rPr>
      <w:tab/>
    </w:r>
    <w:r w:rsidR="00FC3C2E">
      <w:rPr>
        <w:rFonts w:eastAsia="Calibri"/>
        <w:sz w:val="16"/>
        <w:szCs w:val="16"/>
      </w:rPr>
      <w:t>FRM-ACC-</w:t>
    </w:r>
    <w:r w:rsidR="002D39B4">
      <w:rPr>
        <w:rFonts w:eastAsia="Calibri"/>
        <w:sz w:val="16"/>
        <w:szCs w:val="16"/>
      </w:rPr>
      <w:t>0753</w:t>
    </w:r>
    <w:r w:rsidR="00FC3C2E" w:rsidRPr="00A64068">
      <w:rPr>
        <w:rFonts w:eastAsia="Calibri"/>
        <w:sz w:val="16"/>
        <w:szCs w:val="16"/>
      </w:rPr>
      <w:t xml:space="preserve"> v</w:t>
    </w:r>
    <w:r>
      <w:rPr>
        <w:rFonts w:eastAsia="Calibri"/>
        <w:sz w:val="16"/>
        <w:szCs w:val="16"/>
      </w:rPr>
      <w:t>1</w:t>
    </w:r>
    <w:r w:rsidR="00FC3C2E">
      <w:rPr>
        <w:rFonts w:eastAsia="Calibri"/>
        <w:sz w:val="16"/>
        <w:szCs w:val="16"/>
      </w:rPr>
      <w:t>.0</w:t>
    </w:r>
  </w:p>
  <w:p w14:paraId="6EA6CA01" w14:textId="23883870" w:rsidR="00FC3C2E" w:rsidRPr="00E47B06" w:rsidRDefault="00134A61" w:rsidP="00E47B06">
    <w:pPr>
      <w:pStyle w:val="Footer"/>
      <w:tabs>
        <w:tab w:val="clear" w:pos="4513"/>
        <w:tab w:val="clear" w:pos="9026"/>
        <w:tab w:val="right" w:pos="9923"/>
      </w:tabs>
      <w:rPr>
        <w:sz w:val="16"/>
        <w:szCs w:val="16"/>
      </w:rPr>
    </w:pPr>
    <w:r>
      <w:rPr>
        <w:rFonts w:eastAsia="Calibri" w:cs="Times New Roman"/>
        <w:sz w:val="16"/>
        <w:szCs w:val="16"/>
      </w:rPr>
      <w:t>RB 2021</w:t>
    </w:r>
    <w:r w:rsidR="006726E0">
      <w:rPr>
        <w:rFonts w:eastAsia="Calibri" w:cs="Times New Roman"/>
        <w:sz w:val="16"/>
        <w:szCs w:val="16"/>
      </w:rPr>
      <w:t>-14</w:t>
    </w:r>
    <w:r w:rsidR="00FC3C2E" w:rsidRPr="00C74995">
      <w:rPr>
        <w:rFonts w:eastAsia="Calibri" w:cs="Times New Roman"/>
        <w:sz w:val="16"/>
        <w:szCs w:val="16"/>
      </w:rPr>
      <w:tab/>
      <w:t xml:space="preserve">Page </w:t>
    </w:r>
    <w:r w:rsidR="00FC3C2E" w:rsidRPr="00C74995">
      <w:rPr>
        <w:rFonts w:eastAsia="Calibri" w:cs="Times New Roman"/>
        <w:sz w:val="16"/>
        <w:szCs w:val="16"/>
      </w:rPr>
      <w:fldChar w:fldCharType="begin"/>
    </w:r>
    <w:r w:rsidR="00FC3C2E" w:rsidRPr="00C74995">
      <w:rPr>
        <w:rFonts w:eastAsia="Calibri" w:cs="Times New Roman"/>
        <w:sz w:val="16"/>
        <w:szCs w:val="16"/>
      </w:rPr>
      <w:instrText xml:space="preserve"> PAGE  \* Arabic  \* MERGEFORMAT </w:instrText>
    </w:r>
    <w:r w:rsidR="00FC3C2E" w:rsidRPr="00C74995">
      <w:rPr>
        <w:rFonts w:eastAsia="Calibri" w:cs="Times New Roman"/>
        <w:sz w:val="16"/>
        <w:szCs w:val="16"/>
      </w:rPr>
      <w:fldChar w:fldCharType="separate"/>
    </w:r>
    <w:r w:rsidR="00090961">
      <w:rPr>
        <w:rFonts w:eastAsia="Calibri" w:cs="Times New Roman"/>
        <w:noProof/>
        <w:sz w:val="16"/>
        <w:szCs w:val="16"/>
      </w:rPr>
      <w:t>9</w:t>
    </w:r>
    <w:r w:rsidR="00FC3C2E" w:rsidRPr="00C74995">
      <w:rPr>
        <w:rFonts w:eastAsia="Calibri" w:cs="Times New Roman"/>
        <w:sz w:val="16"/>
        <w:szCs w:val="16"/>
      </w:rPr>
      <w:fldChar w:fldCharType="end"/>
    </w:r>
    <w:r w:rsidR="00FC3C2E" w:rsidRPr="00C74995">
      <w:rPr>
        <w:rFonts w:eastAsia="Calibri" w:cs="Times New Roman"/>
        <w:sz w:val="16"/>
        <w:szCs w:val="16"/>
      </w:rPr>
      <w:t xml:space="preserve"> of </w:t>
    </w:r>
    <w:r w:rsidR="00FC3C2E" w:rsidRPr="00C74995">
      <w:rPr>
        <w:rFonts w:eastAsia="Calibri" w:cs="Times New Roman"/>
        <w:sz w:val="16"/>
        <w:szCs w:val="16"/>
      </w:rPr>
      <w:fldChar w:fldCharType="begin"/>
    </w:r>
    <w:r w:rsidR="00FC3C2E" w:rsidRPr="00C74995">
      <w:rPr>
        <w:rFonts w:eastAsia="Calibri" w:cs="Times New Roman"/>
        <w:sz w:val="16"/>
        <w:szCs w:val="16"/>
      </w:rPr>
      <w:instrText xml:space="preserve"> NUMPAGES  \* Arabic  \* MERGEFORMAT </w:instrText>
    </w:r>
    <w:r w:rsidR="00FC3C2E" w:rsidRPr="00C74995">
      <w:rPr>
        <w:rFonts w:eastAsia="Calibri" w:cs="Times New Roman"/>
        <w:sz w:val="16"/>
        <w:szCs w:val="16"/>
      </w:rPr>
      <w:fldChar w:fldCharType="separate"/>
    </w:r>
    <w:r w:rsidR="00090961">
      <w:rPr>
        <w:rFonts w:eastAsia="Calibri" w:cs="Times New Roman"/>
        <w:noProof/>
        <w:sz w:val="16"/>
        <w:szCs w:val="16"/>
      </w:rPr>
      <w:t>9</w:t>
    </w:r>
    <w:r w:rsidR="00FC3C2E" w:rsidRPr="00C74995">
      <w:rPr>
        <w:rFonts w:eastAsia="Calibri"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43FA" w14:textId="77777777" w:rsidR="00E84477" w:rsidRDefault="00E84477" w:rsidP="006F1923">
      <w:pPr>
        <w:spacing w:before="0" w:after="0"/>
      </w:pPr>
      <w:r>
        <w:separator/>
      </w:r>
    </w:p>
  </w:footnote>
  <w:footnote w:type="continuationSeparator" w:id="0">
    <w:p w14:paraId="217C53A2" w14:textId="77777777" w:rsidR="00E84477" w:rsidRDefault="00E84477" w:rsidP="006F1923">
      <w:pPr>
        <w:spacing w:before="0" w:after="0"/>
      </w:pPr>
      <w:r>
        <w:continuationSeparator/>
      </w:r>
    </w:p>
  </w:footnote>
  <w:footnote w:type="continuationNotice" w:id="1">
    <w:p w14:paraId="78936223" w14:textId="77777777" w:rsidR="00E84477" w:rsidRDefault="00E84477">
      <w:pPr>
        <w:spacing w:before="0" w:after="0"/>
      </w:pPr>
    </w:p>
  </w:footnote>
  <w:footnote w:id="2">
    <w:p w14:paraId="543A1D3D" w14:textId="09AF722C" w:rsidR="001E2E5D" w:rsidRDefault="001E2E5D">
      <w:pPr>
        <w:pStyle w:val="FootnoteText"/>
      </w:pPr>
      <w:r>
        <w:rPr>
          <w:rStyle w:val="FootnoteReference"/>
        </w:rPr>
        <w:footnoteRef/>
      </w:r>
      <w:r>
        <w:t xml:space="preserve"> </w:t>
      </w:r>
      <w:hyperlink r:id="rId1" w:history="1">
        <w:r>
          <w:rPr>
            <w:rStyle w:val="Hyperlink"/>
          </w:rPr>
          <w:t>https://www.agedcarequality.gov.au/resources/aged-care-quality-and-safety-commission-glossary</w:t>
        </w:r>
      </w:hyperlink>
    </w:p>
  </w:footnote>
  <w:footnote w:id="3">
    <w:p w14:paraId="7E2D2381" w14:textId="6760BB97" w:rsidR="005B5974" w:rsidRDefault="005B5974">
      <w:pPr>
        <w:pStyle w:val="FootnoteText"/>
      </w:pPr>
      <w:r>
        <w:rPr>
          <w:rStyle w:val="FootnoteReference"/>
        </w:rPr>
        <w:footnoteRef/>
      </w:r>
      <w:r>
        <w:t xml:space="preserve"> </w:t>
      </w:r>
      <w:hyperlink r:id="rId2" w:history="1">
        <w:r w:rsidR="00B72A6D" w:rsidRPr="007D7F14">
          <w:rPr>
            <w:rStyle w:val="Hyperlink"/>
          </w:rPr>
          <w:t>https://www.agedcarequality.gov.au/media/89299</w:t>
        </w:r>
      </w:hyperlink>
      <w:r w:rsidR="00B72A6D">
        <w:t xml:space="preserve"> </w:t>
      </w:r>
    </w:p>
  </w:footnote>
  <w:footnote w:id="4">
    <w:p w14:paraId="464FB642" w14:textId="6775DEFA" w:rsidR="007528B9" w:rsidRDefault="007528B9">
      <w:pPr>
        <w:pStyle w:val="FootnoteText"/>
      </w:pPr>
      <w:r>
        <w:rPr>
          <w:rStyle w:val="FootnoteReference"/>
        </w:rPr>
        <w:footnoteRef/>
      </w:r>
      <w:r>
        <w:t xml:space="preserve"> </w:t>
      </w:r>
      <w:hyperlink r:id="rId3" w:history="1">
        <w:r w:rsidRPr="00C650AF">
          <w:rPr>
            <w:rStyle w:val="Hyperlink"/>
          </w:rPr>
          <w:t>https://www.agedcarequality.gov.au/resources/rb-2020-11-publication-provider-performance-information</w:t>
        </w:r>
      </w:hyperlink>
      <w:r>
        <w:t xml:space="preserve"> </w:t>
      </w:r>
    </w:p>
  </w:footnote>
  <w:footnote w:id="5">
    <w:p w14:paraId="36A36A0C" w14:textId="41E436B8" w:rsidR="009C5093" w:rsidRDefault="009C5093" w:rsidP="009C5093">
      <w:pPr>
        <w:pStyle w:val="FootnoteText"/>
      </w:pPr>
      <w:r>
        <w:rPr>
          <w:rStyle w:val="FootnoteReference"/>
        </w:rPr>
        <w:footnoteRef/>
      </w:r>
      <w:r>
        <w:t xml:space="preserve"> </w:t>
      </w:r>
      <w:hyperlink r:id="rId4" w:anchor="applying%20for%20reaccreditation" w:history="1">
        <w:r w:rsidRPr="00E158D1">
          <w:rPr>
            <w:rStyle w:val="Hyperlink"/>
          </w:rPr>
          <w:t>https://www.agedcarequality.gov.au/providers/assessment-processes/accreditation-and-re-accreditation/re-accreditation-of-residential-services#applying%20for%20reaccreditation</w:t>
        </w:r>
      </w:hyperlink>
      <w:r>
        <w:t xml:space="preserve"> </w:t>
      </w:r>
    </w:p>
  </w:footnote>
  <w:footnote w:id="6">
    <w:p w14:paraId="5DB90377" w14:textId="125417E1" w:rsidR="00CE08D0" w:rsidRDefault="00CE08D0">
      <w:pPr>
        <w:pStyle w:val="FootnoteText"/>
      </w:pPr>
      <w:r>
        <w:rPr>
          <w:rStyle w:val="FootnoteReference"/>
        </w:rPr>
        <w:footnoteRef/>
      </w:r>
      <w:r>
        <w:t xml:space="preserve"> </w:t>
      </w:r>
      <w:hyperlink r:id="rId5" w:history="1">
        <w:r w:rsidRPr="009F0C95">
          <w:rPr>
            <w:rStyle w:val="Hyperlink"/>
          </w:rPr>
          <w:t>https://www.agedcarequality.gov.au/reports</w:t>
        </w:r>
      </w:hyperlink>
      <w:r>
        <w:t xml:space="preserve"> </w:t>
      </w:r>
    </w:p>
  </w:footnote>
  <w:footnote w:id="7">
    <w:p w14:paraId="038C5796" w14:textId="77777777" w:rsidR="008751F7" w:rsidRDefault="008751F7" w:rsidP="008751F7">
      <w:pPr>
        <w:pStyle w:val="FootnoteText"/>
      </w:pPr>
      <w:r>
        <w:rPr>
          <w:rStyle w:val="FootnoteReference"/>
        </w:rPr>
        <w:footnoteRef/>
      </w:r>
      <w:r>
        <w:t xml:space="preserve"> </w:t>
      </w:r>
      <w:hyperlink r:id="rId6" w:history="1">
        <w:r w:rsidRPr="00E158D1">
          <w:rPr>
            <w:rStyle w:val="Hyperlink"/>
          </w:rPr>
          <w:t>https://www.agedcarequality.gov.au/resources/regulatory-bulletin-2020-1.0</w:t>
        </w:r>
      </w:hyperlink>
      <w:r>
        <w:t xml:space="preserve"> </w:t>
      </w:r>
    </w:p>
  </w:footnote>
  <w:footnote w:id="8">
    <w:p w14:paraId="4679E43B" w14:textId="74FC8CAA" w:rsidR="006F562E" w:rsidRDefault="006F562E">
      <w:pPr>
        <w:pStyle w:val="FootnoteText"/>
      </w:pPr>
      <w:r>
        <w:rPr>
          <w:rStyle w:val="FootnoteReference"/>
        </w:rPr>
        <w:footnoteRef/>
      </w:r>
      <w:r>
        <w:t xml:space="preserve"> </w:t>
      </w:r>
      <w:hyperlink r:id="rId7" w:history="1">
        <w:r w:rsidR="00E349D7">
          <w:rPr>
            <w:rStyle w:val="Hyperlink"/>
          </w:rPr>
          <w:t>https://www.agedcarequality.gov.au/subscribe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CFAA" w14:textId="77777777" w:rsidR="00FC3C2E" w:rsidRDefault="00FC3C2E">
    <w:pPr>
      <w:pStyle w:val="Header"/>
    </w:pPr>
    <w:r>
      <w:rPr>
        <w:noProof/>
        <w:sz w:val="20"/>
        <w:lang w:eastAsia="en-AU"/>
      </w:rPr>
      <w:drawing>
        <wp:anchor distT="0" distB="0" distL="114300" distR="114300" simplePos="0" relativeHeight="251658240" behindDoc="1" locked="0" layoutInCell="1" allowOverlap="1" wp14:anchorId="0C87E92E" wp14:editId="4A3F3B99">
          <wp:simplePos x="0" y="0"/>
          <wp:positionH relativeFrom="page">
            <wp:align>left</wp:align>
          </wp:positionH>
          <wp:positionV relativeFrom="paragraph">
            <wp:posOffset>-448310</wp:posOffset>
          </wp:positionV>
          <wp:extent cx="7560000" cy="1026060"/>
          <wp:effectExtent l="0" t="0" r="3175" b="3175"/>
          <wp:wrapNone/>
          <wp:docPr id="1" name="Picture 1" descr="Aged Care Quality and Safety Commiss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1A59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49D3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5F0315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9B4264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95F389A"/>
    <w:multiLevelType w:val="hybridMultilevel"/>
    <w:tmpl w:val="74822AA8"/>
    <w:lvl w:ilvl="0" w:tplc="1E1C6C52">
      <w:start w:val="1"/>
      <w:numFmt w:val="bullet"/>
      <w:pStyle w:val="Heading5"/>
      <w:lvlText w:val=""/>
      <w:lvlJc w:val="left"/>
      <w:pPr>
        <w:ind w:left="360" w:hanging="360"/>
      </w:pPr>
      <w:rPr>
        <w:rFonts w:ascii="Segoe UI" w:hAnsi="Segoe UI"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DC1B54"/>
    <w:multiLevelType w:val="hybridMultilevel"/>
    <w:tmpl w:val="FC2271BC"/>
    <w:lvl w:ilvl="0" w:tplc="B1163F42">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621328"/>
    <w:multiLevelType w:val="hybridMultilevel"/>
    <w:tmpl w:val="AC6AF5AA"/>
    <w:lvl w:ilvl="0" w:tplc="DE0C02A4">
      <w:start w:val="1"/>
      <w:numFmt w:val="bullet"/>
      <w:pStyle w:val="ListBullet"/>
      <w:lvlText w:val=""/>
      <w:lvlJc w:val="left"/>
      <w:pPr>
        <w:ind w:left="720" w:hanging="360"/>
      </w:pPr>
      <w:rPr>
        <w:rFonts w:ascii="Symbol" w:hAnsi="Symbol" w:hint="default"/>
      </w:rPr>
    </w:lvl>
    <w:lvl w:ilvl="1" w:tplc="CA641C6E">
      <w:start w:val="1"/>
      <w:numFmt w:val="bullet"/>
      <w:pStyle w:val="ListBullet2"/>
      <w:lvlText w:val="o"/>
      <w:lvlJc w:val="left"/>
      <w:pPr>
        <w:ind w:left="1440" w:hanging="360"/>
      </w:pPr>
      <w:rPr>
        <w:rFonts w:ascii="Courier New" w:hAnsi="Courier New" w:cs="Courier New" w:hint="default"/>
      </w:rPr>
    </w:lvl>
    <w:lvl w:ilvl="2" w:tplc="0582AC0A">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4800E0"/>
    <w:multiLevelType w:val="hybridMultilevel"/>
    <w:tmpl w:val="A27292E2"/>
    <w:lvl w:ilvl="0" w:tplc="5F884BF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B0608"/>
    <w:multiLevelType w:val="hybridMultilevel"/>
    <w:tmpl w:val="1E1A4C5A"/>
    <w:lvl w:ilvl="0" w:tplc="0C090001">
      <w:start w:val="1"/>
      <w:numFmt w:val="bullet"/>
      <w:lvlText w:val=""/>
      <w:lvlJc w:val="left"/>
      <w:pPr>
        <w:ind w:left="360" w:hanging="360"/>
      </w:pPr>
      <w:rPr>
        <w:rFonts w:ascii="Symbol" w:hAnsi="Symbol" w:hint="default"/>
      </w:rPr>
    </w:lvl>
    <w:lvl w:ilvl="1" w:tplc="D2F803B6">
      <w:start w:val="1"/>
      <w:numFmt w:val="bullet"/>
      <w:lvlText w:val="‒"/>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B12333"/>
    <w:multiLevelType w:val="hybridMultilevel"/>
    <w:tmpl w:val="12B61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2346CE"/>
    <w:multiLevelType w:val="multilevel"/>
    <w:tmpl w:val="305CC886"/>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044E0D"/>
    <w:multiLevelType w:val="hybridMultilevel"/>
    <w:tmpl w:val="140C4DEA"/>
    <w:lvl w:ilvl="0" w:tplc="0C090003">
      <w:start w:val="1"/>
      <w:numFmt w:val="bullet"/>
      <w:lvlText w:val="o"/>
      <w:lvlJc w:val="left"/>
      <w:pPr>
        <w:ind w:left="1080" w:hanging="360"/>
      </w:pPr>
      <w:rPr>
        <w:rFonts w:ascii="Courier New" w:hAnsi="Courier New" w:cs="Courier New" w:hint="default"/>
      </w:rPr>
    </w:lvl>
    <w:lvl w:ilvl="1" w:tplc="63CAB946">
      <w:start w:val="1"/>
      <w:numFmt w:val="lowerLetter"/>
      <w:lvlText w:val="%2."/>
      <w:lvlJc w:val="left"/>
      <w:pPr>
        <w:ind w:left="1800" w:hanging="360"/>
      </w:pPr>
    </w:lvl>
    <w:lvl w:ilvl="2" w:tplc="20A0E20C" w:tentative="1">
      <w:start w:val="1"/>
      <w:numFmt w:val="lowerRoman"/>
      <w:lvlText w:val="%3."/>
      <w:lvlJc w:val="right"/>
      <w:pPr>
        <w:ind w:left="2520" w:hanging="180"/>
      </w:pPr>
    </w:lvl>
    <w:lvl w:ilvl="3" w:tplc="A7BC75B0" w:tentative="1">
      <w:start w:val="1"/>
      <w:numFmt w:val="decimal"/>
      <w:lvlText w:val="%4."/>
      <w:lvlJc w:val="left"/>
      <w:pPr>
        <w:ind w:left="3240" w:hanging="360"/>
      </w:pPr>
    </w:lvl>
    <w:lvl w:ilvl="4" w:tplc="5FCEF142" w:tentative="1">
      <w:start w:val="1"/>
      <w:numFmt w:val="lowerLetter"/>
      <w:lvlText w:val="%5."/>
      <w:lvlJc w:val="left"/>
      <w:pPr>
        <w:ind w:left="3960" w:hanging="360"/>
      </w:pPr>
    </w:lvl>
    <w:lvl w:ilvl="5" w:tplc="31CA6A16" w:tentative="1">
      <w:start w:val="1"/>
      <w:numFmt w:val="lowerRoman"/>
      <w:lvlText w:val="%6."/>
      <w:lvlJc w:val="right"/>
      <w:pPr>
        <w:ind w:left="4680" w:hanging="180"/>
      </w:pPr>
    </w:lvl>
    <w:lvl w:ilvl="6" w:tplc="38A6B558" w:tentative="1">
      <w:start w:val="1"/>
      <w:numFmt w:val="decimal"/>
      <w:lvlText w:val="%7."/>
      <w:lvlJc w:val="left"/>
      <w:pPr>
        <w:ind w:left="5400" w:hanging="360"/>
      </w:pPr>
    </w:lvl>
    <w:lvl w:ilvl="7" w:tplc="69EE4492" w:tentative="1">
      <w:start w:val="1"/>
      <w:numFmt w:val="lowerLetter"/>
      <w:lvlText w:val="%8."/>
      <w:lvlJc w:val="left"/>
      <w:pPr>
        <w:ind w:left="6120" w:hanging="360"/>
      </w:pPr>
    </w:lvl>
    <w:lvl w:ilvl="8" w:tplc="F1B076EC" w:tentative="1">
      <w:start w:val="1"/>
      <w:numFmt w:val="lowerRoman"/>
      <w:lvlText w:val="%9."/>
      <w:lvlJc w:val="right"/>
      <w:pPr>
        <w:ind w:left="6840" w:hanging="180"/>
      </w:pPr>
    </w:lvl>
  </w:abstractNum>
  <w:abstractNum w:abstractNumId="12" w15:restartNumberingAfterBreak="0">
    <w:nsid w:val="7DAC720C"/>
    <w:multiLevelType w:val="hybridMultilevel"/>
    <w:tmpl w:val="F75C4BD2"/>
    <w:lvl w:ilvl="0" w:tplc="5F884BF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4210829">
    <w:abstractNumId w:val="6"/>
  </w:num>
  <w:num w:numId="2" w16cid:durableId="249855784">
    <w:abstractNumId w:val="10"/>
  </w:num>
  <w:num w:numId="3" w16cid:durableId="160391206">
    <w:abstractNumId w:val="5"/>
  </w:num>
  <w:num w:numId="4" w16cid:durableId="556748050">
    <w:abstractNumId w:val="4"/>
  </w:num>
  <w:num w:numId="5" w16cid:durableId="1938901755">
    <w:abstractNumId w:val="12"/>
  </w:num>
  <w:num w:numId="6" w16cid:durableId="1449354340">
    <w:abstractNumId w:val="7"/>
  </w:num>
  <w:num w:numId="7" w16cid:durableId="1450784752">
    <w:abstractNumId w:val="6"/>
  </w:num>
  <w:num w:numId="8" w16cid:durableId="494801523">
    <w:abstractNumId w:val="6"/>
  </w:num>
  <w:num w:numId="9" w16cid:durableId="1808472635">
    <w:abstractNumId w:val="6"/>
  </w:num>
  <w:num w:numId="10" w16cid:durableId="1487477913">
    <w:abstractNumId w:val="6"/>
  </w:num>
  <w:num w:numId="11" w16cid:durableId="636564744">
    <w:abstractNumId w:val="6"/>
  </w:num>
  <w:num w:numId="12" w16cid:durableId="1479422521">
    <w:abstractNumId w:val="5"/>
  </w:num>
  <w:num w:numId="13" w16cid:durableId="1122530526">
    <w:abstractNumId w:val="5"/>
  </w:num>
  <w:num w:numId="14" w16cid:durableId="2076274506">
    <w:abstractNumId w:val="5"/>
  </w:num>
  <w:num w:numId="15" w16cid:durableId="1046947046">
    <w:abstractNumId w:val="9"/>
  </w:num>
  <w:num w:numId="16" w16cid:durableId="56828034">
    <w:abstractNumId w:val="6"/>
  </w:num>
  <w:num w:numId="17" w16cid:durableId="1621372817">
    <w:abstractNumId w:val="8"/>
  </w:num>
  <w:num w:numId="18" w16cid:durableId="2085909316">
    <w:abstractNumId w:val="11"/>
  </w:num>
  <w:num w:numId="19" w16cid:durableId="552500051">
    <w:abstractNumId w:val="6"/>
  </w:num>
  <w:num w:numId="20" w16cid:durableId="1631788605">
    <w:abstractNumId w:val="3"/>
  </w:num>
  <w:num w:numId="21" w16cid:durableId="2044090033">
    <w:abstractNumId w:val="2"/>
  </w:num>
  <w:num w:numId="22" w16cid:durableId="2066483919">
    <w:abstractNumId w:val="1"/>
  </w:num>
  <w:num w:numId="23" w16cid:durableId="394740180">
    <w:abstractNumId w:val="0"/>
  </w:num>
  <w:num w:numId="24" w16cid:durableId="972294331">
    <w:abstractNumId w:val="5"/>
  </w:num>
  <w:num w:numId="25" w16cid:durableId="1772122909">
    <w:abstractNumId w:val="5"/>
  </w:num>
  <w:num w:numId="26" w16cid:durableId="2109542563">
    <w:abstractNumId w:val="5"/>
  </w:num>
  <w:num w:numId="27" w16cid:durableId="2075739788">
    <w:abstractNumId w:val="5"/>
  </w:num>
  <w:num w:numId="28" w16cid:durableId="7990335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5"/>
    <w:rsid w:val="00000498"/>
    <w:rsid w:val="00000F17"/>
    <w:rsid w:val="00001618"/>
    <w:rsid w:val="00001CB0"/>
    <w:rsid w:val="00001DEE"/>
    <w:rsid w:val="00002B8B"/>
    <w:rsid w:val="00002BF5"/>
    <w:rsid w:val="000030EC"/>
    <w:rsid w:val="0000626C"/>
    <w:rsid w:val="0000668D"/>
    <w:rsid w:val="0000670C"/>
    <w:rsid w:val="00006A04"/>
    <w:rsid w:val="00010FB1"/>
    <w:rsid w:val="00012AA2"/>
    <w:rsid w:val="000137AE"/>
    <w:rsid w:val="00013957"/>
    <w:rsid w:val="00013974"/>
    <w:rsid w:val="000149E5"/>
    <w:rsid w:val="00015318"/>
    <w:rsid w:val="00016E35"/>
    <w:rsid w:val="0001728F"/>
    <w:rsid w:val="000174C8"/>
    <w:rsid w:val="00017A6A"/>
    <w:rsid w:val="00017AC7"/>
    <w:rsid w:val="00017CBA"/>
    <w:rsid w:val="00017E86"/>
    <w:rsid w:val="00020BE6"/>
    <w:rsid w:val="00021364"/>
    <w:rsid w:val="00021413"/>
    <w:rsid w:val="00021F11"/>
    <w:rsid w:val="00024FAA"/>
    <w:rsid w:val="0002715C"/>
    <w:rsid w:val="0003075B"/>
    <w:rsid w:val="00032021"/>
    <w:rsid w:val="000324CF"/>
    <w:rsid w:val="000326C5"/>
    <w:rsid w:val="00032A57"/>
    <w:rsid w:val="00032E5E"/>
    <w:rsid w:val="00033318"/>
    <w:rsid w:val="00033AA6"/>
    <w:rsid w:val="00033BFD"/>
    <w:rsid w:val="00034150"/>
    <w:rsid w:val="00034DEF"/>
    <w:rsid w:val="00036380"/>
    <w:rsid w:val="000368C0"/>
    <w:rsid w:val="00037C31"/>
    <w:rsid w:val="00041ABF"/>
    <w:rsid w:val="000422AA"/>
    <w:rsid w:val="000434B7"/>
    <w:rsid w:val="00043625"/>
    <w:rsid w:val="00044175"/>
    <w:rsid w:val="00045BE3"/>
    <w:rsid w:val="00045D55"/>
    <w:rsid w:val="000465FA"/>
    <w:rsid w:val="00047739"/>
    <w:rsid w:val="00047C3C"/>
    <w:rsid w:val="0005026B"/>
    <w:rsid w:val="00050346"/>
    <w:rsid w:val="00050961"/>
    <w:rsid w:val="00050B3D"/>
    <w:rsid w:val="00051106"/>
    <w:rsid w:val="00051405"/>
    <w:rsid w:val="00051433"/>
    <w:rsid w:val="00051C78"/>
    <w:rsid w:val="00051ECE"/>
    <w:rsid w:val="00051F4B"/>
    <w:rsid w:val="00053866"/>
    <w:rsid w:val="00053886"/>
    <w:rsid w:val="00053B13"/>
    <w:rsid w:val="00053D33"/>
    <w:rsid w:val="00055155"/>
    <w:rsid w:val="00055C62"/>
    <w:rsid w:val="00055FD5"/>
    <w:rsid w:val="00056BC2"/>
    <w:rsid w:val="000603FE"/>
    <w:rsid w:val="000606F4"/>
    <w:rsid w:val="00060DD7"/>
    <w:rsid w:val="00061531"/>
    <w:rsid w:val="000621CE"/>
    <w:rsid w:val="00063808"/>
    <w:rsid w:val="00063836"/>
    <w:rsid w:val="00063FBB"/>
    <w:rsid w:val="00064F6F"/>
    <w:rsid w:val="0006523F"/>
    <w:rsid w:val="000659B9"/>
    <w:rsid w:val="00066430"/>
    <w:rsid w:val="000667E6"/>
    <w:rsid w:val="0006695A"/>
    <w:rsid w:val="00066BCF"/>
    <w:rsid w:val="00067128"/>
    <w:rsid w:val="000702A2"/>
    <w:rsid w:val="00073054"/>
    <w:rsid w:val="00073372"/>
    <w:rsid w:val="00073E73"/>
    <w:rsid w:val="00074867"/>
    <w:rsid w:val="00074AC9"/>
    <w:rsid w:val="000755D3"/>
    <w:rsid w:val="000755DC"/>
    <w:rsid w:val="0007603F"/>
    <w:rsid w:val="00076149"/>
    <w:rsid w:val="00076547"/>
    <w:rsid w:val="00076FA2"/>
    <w:rsid w:val="0007776C"/>
    <w:rsid w:val="00077C9C"/>
    <w:rsid w:val="00077DDE"/>
    <w:rsid w:val="00077E36"/>
    <w:rsid w:val="00081372"/>
    <w:rsid w:val="00081504"/>
    <w:rsid w:val="0008183F"/>
    <w:rsid w:val="00081FAD"/>
    <w:rsid w:val="00083303"/>
    <w:rsid w:val="000833D8"/>
    <w:rsid w:val="00083A75"/>
    <w:rsid w:val="00083E94"/>
    <w:rsid w:val="00083F27"/>
    <w:rsid w:val="000846AB"/>
    <w:rsid w:val="00084A5F"/>
    <w:rsid w:val="00084AF7"/>
    <w:rsid w:val="00084D7A"/>
    <w:rsid w:val="00084E59"/>
    <w:rsid w:val="0008547F"/>
    <w:rsid w:val="00085EA5"/>
    <w:rsid w:val="00086414"/>
    <w:rsid w:val="000865E4"/>
    <w:rsid w:val="000876B7"/>
    <w:rsid w:val="00090961"/>
    <w:rsid w:val="0009173E"/>
    <w:rsid w:val="000927F8"/>
    <w:rsid w:val="00092B9C"/>
    <w:rsid w:val="00092CE2"/>
    <w:rsid w:val="00093632"/>
    <w:rsid w:val="00093917"/>
    <w:rsid w:val="00094769"/>
    <w:rsid w:val="000958D9"/>
    <w:rsid w:val="00095D65"/>
    <w:rsid w:val="000964AA"/>
    <w:rsid w:val="00096686"/>
    <w:rsid w:val="000969F6"/>
    <w:rsid w:val="00096CB0"/>
    <w:rsid w:val="000A0C19"/>
    <w:rsid w:val="000A12B2"/>
    <w:rsid w:val="000A1328"/>
    <w:rsid w:val="000A1CC1"/>
    <w:rsid w:val="000A1EC5"/>
    <w:rsid w:val="000A2A53"/>
    <w:rsid w:val="000A3370"/>
    <w:rsid w:val="000A3383"/>
    <w:rsid w:val="000A3AFB"/>
    <w:rsid w:val="000A3C26"/>
    <w:rsid w:val="000A3F3D"/>
    <w:rsid w:val="000A47EC"/>
    <w:rsid w:val="000A4946"/>
    <w:rsid w:val="000A52AB"/>
    <w:rsid w:val="000A6AF2"/>
    <w:rsid w:val="000A7060"/>
    <w:rsid w:val="000A7168"/>
    <w:rsid w:val="000A7635"/>
    <w:rsid w:val="000B0694"/>
    <w:rsid w:val="000B0CB6"/>
    <w:rsid w:val="000B0D93"/>
    <w:rsid w:val="000B1378"/>
    <w:rsid w:val="000B1564"/>
    <w:rsid w:val="000B1C92"/>
    <w:rsid w:val="000B4898"/>
    <w:rsid w:val="000B4CD5"/>
    <w:rsid w:val="000B5372"/>
    <w:rsid w:val="000B595F"/>
    <w:rsid w:val="000B5BCA"/>
    <w:rsid w:val="000B659E"/>
    <w:rsid w:val="000B7709"/>
    <w:rsid w:val="000C0304"/>
    <w:rsid w:val="000C05BE"/>
    <w:rsid w:val="000C107E"/>
    <w:rsid w:val="000C132B"/>
    <w:rsid w:val="000C1AE6"/>
    <w:rsid w:val="000C1C37"/>
    <w:rsid w:val="000C1DC3"/>
    <w:rsid w:val="000C1E24"/>
    <w:rsid w:val="000C2BE1"/>
    <w:rsid w:val="000C3459"/>
    <w:rsid w:val="000C4589"/>
    <w:rsid w:val="000C5253"/>
    <w:rsid w:val="000C52E1"/>
    <w:rsid w:val="000C5347"/>
    <w:rsid w:val="000C5810"/>
    <w:rsid w:val="000C5B99"/>
    <w:rsid w:val="000C5ED4"/>
    <w:rsid w:val="000C7A3E"/>
    <w:rsid w:val="000C7DF8"/>
    <w:rsid w:val="000D0450"/>
    <w:rsid w:val="000D0690"/>
    <w:rsid w:val="000D0C1D"/>
    <w:rsid w:val="000D1BBC"/>
    <w:rsid w:val="000D425E"/>
    <w:rsid w:val="000D42B0"/>
    <w:rsid w:val="000D4A43"/>
    <w:rsid w:val="000D53C5"/>
    <w:rsid w:val="000D59C7"/>
    <w:rsid w:val="000D5D43"/>
    <w:rsid w:val="000D5D75"/>
    <w:rsid w:val="000D5F5E"/>
    <w:rsid w:val="000D6256"/>
    <w:rsid w:val="000D639A"/>
    <w:rsid w:val="000D6E32"/>
    <w:rsid w:val="000D70C4"/>
    <w:rsid w:val="000D70D3"/>
    <w:rsid w:val="000E097C"/>
    <w:rsid w:val="000E0DAB"/>
    <w:rsid w:val="000E115C"/>
    <w:rsid w:val="000E4AA6"/>
    <w:rsid w:val="000E56EA"/>
    <w:rsid w:val="000E5D01"/>
    <w:rsid w:val="000E656F"/>
    <w:rsid w:val="000E6CE9"/>
    <w:rsid w:val="000E723A"/>
    <w:rsid w:val="000E7C1B"/>
    <w:rsid w:val="000F0287"/>
    <w:rsid w:val="000F06F3"/>
    <w:rsid w:val="000F0F6B"/>
    <w:rsid w:val="000F1899"/>
    <w:rsid w:val="000F2DF9"/>
    <w:rsid w:val="000F33A1"/>
    <w:rsid w:val="000F3FF2"/>
    <w:rsid w:val="000F49A5"/>
    <w:rsid w:val="000F5BE8"/>
    <w:rsid w:val="000F5F2C"/>
    <w:rsid w:val="000F6198"/>
    <w:rsid w:val="001010C0"/>
    <w:rsid w:val="001016CD"/>
    <w:rsid w:val="00101DA9"/>
    <w:rsid w:val="001022EC"/>
    <w:rsid w:val="00102513"/>
    <w:rsid w:val="0010331C"/>
    <w:rsid w:val="001033DB"/>
    <w:rsid w:val="00103BD3"/>
    <w:rsid w:val="001042D1"/>
    <w:rsid w:val="00104B50"/>
    <w:rsid w:val="00106D70"/>
    <w:rsid w:val="0010729E"/>
    <w:rsid w:val="0011033C"/>
    <w:rsid w:val="0011063D"/>
    <w:rsid w:val="00110935"/>
    <w:rsid w:val="00110DFD"/>
    <w:rsid w:val="00112E77"/>
    <w:rsid w:val="001134C7"/>
    <w:rsid w:val="00114B56"/>
    <w:rsid w:val="00115648"/>
    <w:rsid w:val="001159E1"/>
    <w:rsid w:val="00116418"/>
    <w:rsid w:val="001167CD"/>
    <w:rsid w:val="001169B3"/>
    <w:rsid w:val="00116A36"/>
    <w:rsid w:val="00120B47"/>
    <w:rsid w:val="00122A8B"/>
    <w:rsid w:val="001230C2"/>
    <w:rsid w:val="001236C1"/>
    <w:rsid w:val="00130167"/>
    <w:rsid w:val="00130309"/>
    <w:rsid w:val="001304FF"/>
    <w:rsid w:val="001309CD"/>
    <w:rsid w:val="00130E9B"/>
    <w:rsid w:val="00131308"/>
    <w:rsid w:val="00131724"/>
    <w:rsid w:val="00131B7E"/>
    <w:rsid w:val="001330BA"/>
    <w:rsid w:val="0013488D"/>
    <w:rsid w:val="00134A61"/>
    <w:rsid w:val="0013604D"/>
    <w:rsid w:val="00136396"/>
    <w:rsid w:val="00136794"/>
    <w:rsid w:val="001379B1"/>
    <w:rsid w:val="00137EEE"/>
    <w:rsid w:val="001406B4"/>
    <w:rsid w:val="00141357"/>
    <w:rsid w:val="00141904"/>
    <w:rsid w:val="00141F07"/>
    <w:rsid w:val="00142B19"/>
    <w:rsid w:val="00144AD8"/>
    <w:rsid w:val="00144F5E"/>
    <w:rsid w:val="00144F79"/>
    <w:rsid w:val="0014516A"/>
    <w:rsid w:val="00145368"/>
    <w:rsid w:val="001460C2"/>
    <w:rsid w:val="00147394"/>
    <w:rsid w:val="00147456"/>
    <w:rsid w:val="00147514"/>
    <w:rsid w:val="00147765"/>
    <w:rsid w:val="00147934"/>
    <w:rsid w:val="00147942"/>
    <w:rsid w:val="0015004C"/>
    <w:rsid w:val="0015044E"/>
    <w:rsid w:val="00150B54"/>
    <w:rsid w:val="00151641"/>
    <w:rsid w:val="00152610"/>
    <w:rsid w:val="00154D04"/>
    <w:rsid w:val="00156B34"/>
    <w:rsid w:val="00156BCF"/>
    <w:rsid w:val="001570BC"/>
    <w:rsid w:val="00157F46"/>
    <w:rsid w:val="00160C71"/>
    <w:rsid w:val="001611C4"/>
    <w:rsid w:val="00163CBD"/>
    <w:rsid w:val="001673D1"/>
    <w:rsid w:val="0016754A"/>
    <w:rsid w:val="001675B3"/>
    <w:rsid w:val="001676A1"/>
    <w:rsid w:val="0016793A"/>
    <w:rsid w:val="001706E0"/>
    <w:rsid w:val="00170A18"/>
    <w:rsid w:val="00170D32"/>
    <w:rsid w:val="00170ED0"/>
    <w:rsid w:val="00171912"/>
    <w:rsid w:val="00171DD8"/>
    <w:rsid w:val="00174FE6"/>
    <w:rsid w:val="00175A4A"/>
    <w:rsid w:val="00176130"/>
    <w:rsid w:val="001761D1"/>
    <w:rsid w:val="001765CE"/>
    <w:rsid w:val="0017689C"/>
    <w:rsid w:val="001774AE"/>
    <w:rsid w:val="00177958"/>
    <w:rsid w:val="00177A35"/>
    <w:rsid w:val="00180179"/>
    <w:rsid w:val="0018077D"/>
    <w:rsid w:val="0018113E"/>
    <w:rsid w:val="00181148"/>
    <w:rsid w:val="001813B8"/>
    <w:rsid w:val="001818E7"/>
    <w:rsid w:val="00181C5D"/>
    <w:rsid w:val="00182598"/>
    <w:rsid w:val="001841AC"/>
    <w:rsid w:val="00184B71"/>
    <w:rsid w:val="00185C4F"/>
    <w:rsid w:val="0018605A"/>
    <w:rsid w:val="00186A70"/>
    <w:rsid w:val="00186EC8"/>
    <w:rsid w:val="00187788"/>
    <w:rsid w:val="00190F8C"/>
    <w:rsid w:val="001910DC"/>
    <w:rsid w:val="001924CE"/>
    <w:rsid w:val="00193148"/>
    <w:rsid w:val="0019338D"/>
    <w:rsid w:val="0019354F"/>
    <w:rsid w:val="00193B18"/>
    <w:rsid w:val="00193BF7"/>
    <w:rsid w:val="00193E61"/>
    <w:rsid w:val="001940EC"/>
    <w:rsid w:val="001945D5"/>
    <w:rsid w:val="00194715"/>
    <w:rsid w:val="00194E45"/>
    <w:rsid w:val="0019518D"/>
    <w:rsid w:val="00195F28"/>
    <w:rsid w:val="00195FBF"/>
    <w:rsid w:val="00196128"/>
    <w:rsid w:val="00196C1B"/>
    <w:rsid w:val="00196EB4"/>
    <w:rsid w:val="001978E5"/>
    <w:rsid w:val="00197E3A"/>
    <w:rsid w:val="001A0933"/>
    <w:rsid w:val="001A173E"/>
    <w:rsid w:val="001A1D95"/>
    <w:rsid w:val="001A29BF"/>
    <w:rsid w:val="001A32B6"/>
    <w:rsid w:val="001A4CE9"/>
    <w:rsid w:val="001A53AB"/>
    <w:rsid w:val="001A54F5"/>
    <w:rsid w:val="001A6B25"/>
    <w:rsid w:val="001A6B97"/>
    <w:rsid w:val="001A764E"/>
    <w:rsid w:val="001A775F"/>
    <w:rsid w:val="001A7CED"/>
    <w:rsid w:val="001B0070"/>
    <w:rsid w:val="001B0C85"/>
    <w:rsid w:val="001B12A0"/>
    <w:rsid w:val="001B12AE"/>
    <w:rsid w:val="001B1D8E"/>
    <w:rsid w:val="001B2016"/>
    <w:rsid w:val="001B2171"/>
    <w:rsid w:val="001B3B8E"/>
    <w:rsid w:val="001B3CFE"/>
    <w:rsid w:val="001B45BA"/>
    <w:rsid w:val="001B5470"/>
    <w:rsid w:val="001B5F59"/>
    <w:rsid w:val="001B61B7"/>
    <w:rsid w:val="001B7A51"/>
    <w:rsid w:val="001B7B67"/>
    <w:rsid w:val="001C0152"/>
    <w:rsid w:val="001C1E10"/>
    <w:rsid w:val="001C23AD"/>
    <w:rsid w:val="001C277E"/>
    <w:rsid w:val="001C2891"/>
    <w:rsid w:val="001C2F3B"/>
    <w:rsid w:val="001C30ED"/>
    <w:rsid w:val="001C3724"/>
    <w:rsid w:val="001C38AD"/>
    <w:rsid w:val="001C3A3A"/>
    <w:rsid w:val="001C5FF4"/>
    <w:rsid w:val="001C6318"/>
    <w:rsid w:val="001C6DF8"/>
    <w:rsid w:val="001C79E6"/>
    <w:rsid w:val="001D0AF5"/>
    <w:rsid w:val="001D0B01"/>
    <w:rsid w:val="001D0E05"/>
    <w:rsid w:val="001D123D"/>
    <w:rsid w:val="001D2070"/>
    <w:rsid w:val="001D2520"/>
    <w:rsid w:val="001D2926"/>
    <w:rsid w:val="001D4706"/>
    <w:rsid w:val="001D484F"/>
    <w:rsid w:val="001D4BF0"/>
    <w:rsid w:val="001D4CE7"/>
    <w:rsid w:val="001D540F"/>
    <w:rsid w:val="001D672F"/>
    <w:rsid w:val="001D69CE"/>
    <w:rsid w:val="001D6D66"/>
    <w:rsid w:val="001E069F"/>
    <w:rsid w:val="001E0A88"/>
    <w:rsid w:val="001E0CB1"/>
    <w:rsid w:val="001E1475"/>
    <w:rsid w:val="001E20C1"/>
    <w:rsid w:val="001E2B1D"/>
    <w:rsid w:val="001E2E5D"/>
    <w:rsid w:val="001E395D"/>
    <w:rsid w:val="001E3A34"/>
    <w:rsid w:val="001E3E7D"/>
    <w:rsid w:val="001E4A11"/>
    <w:rsid w:val="001E5272"/>
    <w:rsid w:val="001E545E"/>
    <w:rsid w:val="001E57B8"/>
    <w:rsid w:val="001E5DAD"/>
    <w:rsid w:val="001E6C57"/>
    <w:rsid w:val="001E7184"/>
    <w:rsid w:val="001E7D17"/>
    <w:rsid w:val="001F0014"/>
    <w:rsid w:val="001F2569"/>
    <w:rsid w:val="001F261B"/>
    <w:rsid w:val="001F2AD0"/>
    <w:rsid w:val="001F2ED0"/>
    <w:rsid w:val="001F3B68"/>
    <w:rsid w:val="001F3D3F"/>
    <w:rsid w:val="001F4021"/>
    <w:rsid w:val="001F53FF"/>
    <w:rsid w:val="001F5763"/>
    <w:rsid w:val="001F6289"/>
    <w:rsid w:val="001F66F2"/>
    <w:rsid w:val="001F6E6A"/>
    <w:rsid w:val="001F72CE"/>
    <w:rsid w:val="001F7CA8"/>
    <w:rsid w:val="001F7EE3"/>
    <w:rsid w:val="00200B11"/>
    <w:rsid w:val="00200FFB"/>
    <w:rsid w:val="0020172A"/>
    <w:rsid w:val="00201922"/>
    <w:rsid w:val="00201F17"/>
    <w:rsid w:val="00202012"/>
    <w:rsid w:val="002021A0"/>
    <w:rsid w:val="002025F8"/>
    <w:rsid w:val="002029E6"/>
    <w:rsid w:val="00202B38"/>
    <w:rsid w:val="0020324F"/>
    <w:rsid w:val="00203E77"/>
    <w:rsid w:val="00203EA1"/>
    <w:rsid w:val="00205154"/>
    <w:rsid w:val="002057F7"/>
    <w:rsid w:val="002062EF"/>
    <w:rsid w:val="002066EA"/>
    <w:rsid w:val="00210791"/>
    <w:rsid w:val="0021103B"/>
    <w:rsid w:val="00212319"/>
    <w:rsid w:val="00212B4F"/>
    <w:rsid w:val="00213520"/>
    <w:rsid w:val="0021354C"/>
    <w:rsid w:val="00213569"/>
    <w:rsid w:val="00213DCF"/>
    <w:rsid w:val="00214BFF"/>
    <w:rsid w:val="00214F1B"/>
    <w:rsid w:val="00215400"/>
    <w:rsid w:val="00215499"/>
    <w:rsid w:val="0021584F"/>
    <w:rsid w:val="00216209"/>
    <w:rsid w:val="00216C59"/>
    <w:rsid w:val="00217483"/>
    <w:rsid w:val="0021775C"/>
    <w:rsid w:val="00220129"/>
    <w:rsid w:val="00220C80"/>
    <w:rsid w:val="00221108"/>
    <w:rsid w:val="00221B27"/>
    <w:rsid w:val="00222BFC"/>
    <w:rsid w:val="002234AC"/>
    <w:rsid w:val="002234EE"/>
    <w:rsid w:val="002245AE"/>
    <w:rsid w:val="00226B20"/>
    <w:rsid w:val="002270CE"/>
    <w:rsid w:val="002272E0"/>
    <w:rsid w:val="0022768B"/>
    <w:rsid w:val="00227AF2"/>
    <w:rsid w:val="00230595"/>
    <w:rsid w:val="00230D4D"/>
    <w:rsid w:val="002317DE"/>
    <w:rsid w:val="00231F65"/>
    <w:rsid w:val="00231F7B"/>
    <w:rsid w:val="002327F2"/>
    <w:rsid w:val="00233AF5"/>
    <w:rsid w:val="002348B1"/>
    <w:rsid w:val="002348FA"/>
    <w:rsid w:val="002362A2"/>
    <w:rsid w:val="00236A49"/>
    <w:rsid w:val="00240167"/>
    <w:rsid w:val="0024051C"/>
    <w:rsid w:val="002405C9"/>
    <w:rsid w:val="002407DF"/>
    <w:rsid w:val="00240AD9"/>
    <w:rsid w:val="00240B32"/>
    <w:rsid w:val="0024198F"/>
    <w:rsid w:val="00241DA4"/>
    <w:rsid w:val="002420D1"/>
    <w:rsid w:val="002422D4"/>
    <w:rsid w:val="00244BE0"/>
    <w:rsid w:val="002456A7"/>
    <w:rsid w:val="00247B4E"/>
    <w:rsid w:val="00247CE8"/>
    <w:rsid w:val="00247EBB"/>
    <w:rsid w:val="00247F4F"/>
    <w:rsid w:val="00250F4B"/>
    <w:rsid w:val="002532E2"/>
    <w:rsid w:val="0025353D"/>
    <w:rsid w:val="002538B4"/>
    <w:rsid w:val="002541CF"/>
    <w:rsid w:val="002541F1"/>
    <w:rsid w:val="00254263"/>
    <w:rsid w:val="00254866"/>
    <w:rsid w:val="00254A53"/>
    <w:rsid w:val="0025512C"/>
    <w:rsid w:val="0025616E"/>
    <w:rsid w:val="002564C0"/>
    <w:rsid w:val="00256955"/>
    <w:rsid w:val="0025702D"/>
    <w:rsid w:val="00257245"/>
    <w:rsid w:val="002572CD"/>
    <w:rsid w:val="002577B3"/>
    <w:rsid w:val="002624D5"/>
    <w:rsid w:val="002628A2"/>
    <w:rsid w:val="00263362"/>
    <w:rsid w:val="00263478"/>
    <w:rsid w:val="00264E9E"/>
    <w:rsid w:val="00266034"/>
    <w:rsid w:val="00266183"/>
    <w:rsid w:val="0026682B"/>
    <w:rsid w:val="00266C88"/>
    <w:rsid w:val="00267BD0"/>
    <w:rsid w:val="0027146F"/>
    <w:rsid w:val="0027232F"/>
    <w:rsid w:val="00272A08"/>
    <w:rsid w:val="002734D9"/>
    <w:rsid w:val="00273ABC"/>
    <w:rsid w:val="00274443"/>
    <w:rsid w:val="00274532"/>
    <w:rsid w:val="002747DB"/>
    <w:rsid w:val="00275FF1"/>
    <w:rsid w:val="00276528"/>
    <w:rsid w:val="00276DFC"/>
    <w:rsid w:val="0027738E"/>
    <w:rsid w:val="00277B1B"/>
    <w:rsid w:val="002801B0"/>
    <w:rsid w:val="0028053F"/>
    <w:rsid w:val="00280D9B"/>
    <w:rsid w:val="00280E37"/>
    <w:rsid w:val="00280EBD"/>
    <w:rsid w:val="00281787"/>
    <w:rsid w:val="00281ECC"/>
    <w:rsid w:val="00282ACB"/>
    <w:rsid w:val="00283A18"/>
    <w:rsid w:val="0028532A"/>
    <w:rsid w:val="00285A75"/>
    <w:rsid w:val="00285A76"/>
    <w:rsid w:val="00285B64"/>
    <w:rsid w:val="00285C37"/>
    <w:rsid w:val="00285EDD"/>
    <w:rsid w:val="00286470"/>
    <w:rsid w:val="002865C8"/>
    <w:rsid w:val="00286927"/>
    <w:rsid w:val="00286F17"/>
    <w:rsid w:val="0028778B"/>
    <w:rsid w:val="00287822"/>
    <w:rsid w:val="002911BD"/>
    <w:rsid w:val="00291B11"/>
    <w:rsid w:val="002920A0"/>
    <w:rsid w:val="0029258C"/>
    <w:rsid w:val="002935C7"/>
    <w:rsid w:val="0029360E"/>
    <w:rsid w:val="00293EDE"/>
    <w:rsid w:val="0029431B"/>
    <w:rsid w:val="0029466F"/>
    <w:rsid w:val="002956E9"/>
    <w:rsid w:val="00295A01"/>
    <w:rsid w:val="00295D54"/>
    <w:rsid w:val="002960A2"/>
    <w:rsid w:val="0029740F"/>
    <w:rsid w:val="0029785B"/>
    <w:rsid w:val="00297BE0"/>
    <w:rsid w:val="002A0644"/>
    <w:rsid w:val="002A32D5"/>
    <w:rsid w:val="002A3B32"/>
    <w:rsid w:val="002A3BE7"/>
    <w:rsid w:val="002A44A0"/>
    <w:rsid w:val="002A4A23"/>
    <w:rsid w:val="002A5C86"/>
    <w:rsid w:val="002A6F98"/>
    <w:rsid w:val="002B07C0"/>
    <w:rsid w:val="002B28F5"/>
    <w:rsid w:val="002B3810"/>
    <w:rsid w:val="002B54F2"/>
    <w:rsid w:val="002B5E23"/>
    <w:rsid w:val="002B6E98"/>
    <w:rsid w:val="002B7135"/>
    <w:rsid w:val="002B7BF4"/>
    <w:rsid w:val="002C0394"/>
    <w:rsid w:val="002C07A1"/>
    <w:rsid w:val="002C09F3"/>
    <w:rsid w:val="002C14D3"/>
    <w:rsid w:val="002C23C0"/>
    <w:rsid w:val="002C3838"/>
    <w:rsid w:val="002C3C52"/>
    <w:rsid w:val="002C3E18"/>
    <w:rsid w:val="002C535B"/>
    <w:rsid w:val="002C5711"/>
    <w:rsid w:val="002C67B0"/>
    <w:rsid w:val="002C6E22"/>
    <w:rsid w:val="002C7139"/>
    <w:rsid w:val="002D08A1"/>
    <w:rsid w:val="002D0D8E"/>
    <w:rsid w:val="002D103A"/>
    <w:rsid w:val="002D1086"/>
    <w:rsid w:val="002D165A"/>
    <w:rsid w:val="002D2062"/>
    <w:rsid w:val="002D2487"/>
    <w:rsid w:val="002D2B95"/>
    <w:rsid w:val="002D3448"/>
    <w:rsid w:val="002D39B4"/>
    <w:rsid w:val="002D40F4"/>
    <w:rsid w:val="002D429B"/>
    <w:rsid w:val="002D553D"/>
    <w:rsid w:val="002D617B"/>
    <w:rsid w:val="002E0708"/>
    <w:rsid w:val="002E0E53"/>
    <w:rsid w:val="002E1C43"/>
    <w:rsid w:val="002E22FD"/>
    <w:rsid w:val="002E3866"/>
    <w:rsid w:val="002E3B08"/>
    <w:rsid w:val="002E4CB8"/>
    <w:rsid w:val="002E5310"/>
    <w:rsid w:val="002E53A3"/>
    <w:rsid w:val="002E66A0"/>
    <w:rsid w:val="002E6979"/>
    <w:rsid w:val="002E7B48"/>
    <w:rsid w:val="002F027D"/>
    <w:rsid w:val="002F07F7"/>
    <w:rsid w:val="002F0BE8"/>
    <w:rsid w:val="002F0F9A"/>
    <w:rsid w:val="002F15F0"/>
    <w:rsid w:val="002F19D0"/>
    <w:rsid w:val="002F19DA"/>
    <w:rsid w:val="002F1AA5"/>
    <w:rsid w:val="002F29FE"/>
    <w:rsid w:val="002F2C86"/>
    <w:rsid w:val="002F2CA6"/>
    <w:rsid w:val="002F37F8"/>
    <w:rsid w:val="002F44F5"/>
    <w:rsid w:val="002F45A0"/>
    <w:rsid w:val="002F5016"/>
    <w:rsid w:val="002F524E"/>
    <w:rsid w:val="002F52CD"/>
    <w:rsid w:val="002F6669"/>
    <w:rsid w:val="002F79F8"/>
    <w:rsid w:val="00300421"/>
    <w:rsid w:val="0030195C"/>
    <w:rsid w:val="0030229A"/>
    <w:rsid w:val="00302A02"/>
    <w:rsid w:val="00302F49"/>
    <w:rsid w:val="00303B0D"/>
    <w:rsid w:val="00304955"/>
    <w:rsid w:val="003053FA"/>
    <w:rsid w:val="003058C6"/>
    <w:rsid w:val="00305CFE"/>
    <w:rsid w:val="003060D9"/>
    <w:rsid w:val="0030672B"/>
    <w:rsid w:val="00310144"/>
    <w:rsid w:val="00310257"/>
    <w:rsid w:val="00310EAA"/>
    <w:rsid w:val="00311743"/>
    <w:rsid w:val="00311DBD"/>
    <w:rsid w:val="003126EF"/>
    <w:rsid w:val="00312C76"/>
    <w:rsid w:val="00313A22"/>
    <w:rsid w:val="00314115"/>
    <w:rsid w:val="0031450B"/>
    <w:rsid w:val="003146B0"/>
    <w:rsid w:val="00314D65"/>
    <w:rsid w:val="00315BF8"/>
    <w:rsid w:val="00315FAD"/>
    <w:rsid w:val="00316B20"/>
    <w:rsid w:val="0031734A"/>
    <w:rsid w:val="00317B7A"/>
    <w:rsid w:val="00317B80"/>
    <w:rsid w:val="00317E27"/>
    <w:rsid w:val="00321968"/>
    <w:rsid w:val="00322275"/>
    <w:rsid w:val="003229C3"/>
    <w:rsid w:val="00323498"/>
    <w:rsid w:val="00323718"/>
    <w:rsid w:val="00323FE8"/>
    <w:rsid w:val="003246D6"/>
    <w:rsid w:val="00324852"/>
    <w:rsid w:val="00324B99"/>
    <w:rsid w:val="003256F8"/>
    <w:rsid w:val="00325A11"/>
    <w:rsid w:val="00325C72"/>
    <w:rsid w:val="00325D9E"/>
    <w:rsid w:val="00330655"/>
    <w:rsid w:val="00330F1A"/>
    <w:rsid w:val="00331350"/>
    <w:rsid w:val="0033231C"/>
    <w:rsid w:val="0033252D"/>
    <w:rsid w:val="0033283C"/>
    <w:rsid w:val="00332C1F"/>
    <w:rsid w:val="00332F24"/>
    <w:rsid w:val="00334555"/>
    <w:rsid w:val="003348DD"/>
    <w:rsid w:val="00335182"/>
    <w:rsid w:val="00335467"/>
    <w:rsid w:val="00335E35"/>
    <w:rsid w:val="0033657F"/>
    <w:rsid w:val="00336A20"/>
    <w:rsid w:val="003379BB"/>
    <w:rsid w:val="003379C2"/>
    <w:rsid w:val="00340755"/>
    <w:rsid w:val="00341EEA"/>
    <w:rsid w:val="00345014"/>
    <w:rsid w:val="00346069"/>
    <w:rsid w:val="0034630F"/>
    <w:rsid w:val="00347002"/>
    <w:rsid w:val="003471D5"/>
    <w:rsid w:val="00347EC7"/>
    <w:rsid w:val="00347EEF"/>
    <w:rsid w:val="00350316"/>
    <w:rsid w:val="003507B9"/>
    <w:rsid w:val="00351392"/>
    <w:rsid w:val="00352036"/>
    <w:rsid w:val="00352163"/>
    <w:rsid w:val="003521D1"/>
    <w:rsid w:val="00352D85"/>
    <w:rsid w:val="00353420"/>
    <w:rsid w:val="0035397D"/>
    <w:rsid w:val="00354816"/>
    <w:rsid w:val="003548B4"/>
    <w:rsid w:val="00354B94"/>
    <w:rsid w:val="0035535D"/>
    <w:rsid w:val="003556D0"/>
    <w:rsid w:val="0035595E"/>
    <w:rsid w:val="00355B46"/>
    <w:rsid w:val="0035790A"/>
    <w:rsid w:val="00360AC3"/>
    <w:rsid w:val="00360C06"/>
    <w:rsid w:val="00360E67"/>
    <w:rsid w:val="00361759"/>
    <w:rsid w:val="00361CDF"/>
    <w:rsid w:val="003633AC"/>
    <w:rsid w:val="00364668"/>
    <w:rsid w:val="00364830"/>
    <w:rsid w:val="00365125"/>
    <w:rsid w:val="0036619D"/>
    <w:rsid w:val="00366753"/>
    <w:rsid w:val="0036744D"/>
    <w:rsid w:val="003709B1"/>
    <w:rsid w:val="0037100A"/>
    <w:rsid w:val="00371429"/>
    <w:rsid w:val="0037236B"/>
    <w:rsid w:val="00373FE8"/>
    <w:rsid w:val="00374BA9"/>
    <w:rsid w:val="00374C3E"/>
    <w:rsid w:val="00375675"/>
    <w:rsid w:val="00375B7E"/>
    <w:rsid w:val="00376B29"/>
    <w:rsid w:val="00376E81"/>
    <w:rsid w:val="00377D0C"/>
    <w:rsid w:val="00380C07"/>
    <w:rsid w:val="00380CA8"/>
    <w:rsid w:val="00380EFD"/>
    <w:rsid w:val="00380F14"/>
    <w:rsid w:val="00381B71"/>
    <w:rsid w:val="00383189"/>
    <w:rsid w:val="003835B9"/>
    <w:rsid w:val="0038416E"/>
    <w:rsid w:val="003846CA"/>
    <w:rsid w:val="003848DA"/>
    <w:rsid w:val="003855FF"/>
    <w:rsid w:val="00386181"/>
    <w:rsid w:val="0038627F"/>
    <w:rsid w:val="003901F5"/>
    <w:rsid w:val="0039181B"/>
    <w:rsid w:val="00391A79"/>
    <w:rsid w:val="003925B2"/>
    <w:rsid w:val="00392860"/>
    <w:rsid w:val="00394AE3"/>
    <w:rsid w:val="00394F10"/>
    <w:rsid w:val="00395659"/>
    <w:rsid w:val="0039576F"/>
    <w:rsid w:val="0039631C"/>
    <w:rsid w:val="003963DA"/>
    <w:rsid w:val="00396F2E"/>
    <w:rsid w:val="003A03A3"/>
    <w:rsid w:val="003A0C9B"/>
    <w:rsid w:val="003A0D35"/>
    <w:rsid w:val="003A142B"/>
    <w:rsid w:val="003A198D"/>
    <w:rsid w:val="003A1A99"/>
    <w:rsid w:val="003A2CD9"/>
    <w:rsid w:val="003A311A"/>
    <w:rsid w:val="003A423D"/>
    <w:rsid w:val="003A4D62"/>
    <w:rsid w:val="003A4FC2"/>
    <w:rsid w:val="003A610E"/>
    <w:rsid w:val="003B0E4F"/>
    <w:rsid w:val="003B3161"/>
    <w:rsid w:val="003B3B4D"/>
    <w:rsid w:val="003B6448"/>
    <w:rsid w:val="003B6662"/>
    <w:rsid w:val="003C086A"/>
    <w:rsid w:val="003C0FCB"/>
    <w:rsid w:val="003C2CB2"/>
    <w:rsid w:val="003C2EEB"/>
    <w:rsid w:val="003C37E6"/>
    <w:rsid w:val="003C38FA"/>
    <w:rsid w:val="003C42DA"/>
    <w:rsid w:val="003C49ED"/>
    <w:rsid w:val="003C5271"/>
    <w:rsid w:val="003C5C2E"/>
    <w:rsid w:val="003C5DB6"/>
    <w:rsid w:val="003C615E"/>
    <w:rsid w:val="003C6521"/>
    <w:rsid w:val="003D0C90"/>
    <w:rsid w:val="003D0E17"/>
    <w:rsid w:val="003D1E98"/>
    <w:rsid w:val="003D269E"/>
    <w:rsid w:val="003D2B27"/>
    <w:rsid w:val="003D2ED9"/>
    <w:rsid w:val="003D45FB"/>
    <w:rsid w:val="003D5B5D"/>
    <w:rsid w:val="003D5C7C"/>
    <w:rsid w:val="003D5EB2"/>
    <w:rsid w:val="003D697B"/>
    <w:rsid w:val="003D7762"/>
    <w:rsid w:val="003D77CE"/>
    <w:rsid w:val="003D7C9C"/>
    <w:rsid w:val="003E0501"/>
    <w:rsid w:val="003E0697"/>
    <w:rsid w:val="003E132F"/>
    <w:rsid w:val="003E1A42"/>
    <w:rsid w:val="003E1CC7"/>
    <w:rsid w:val="003E1FAA"/>
    <w:rsid w:val="003E23D9"/>
    <w:rsid w:val="003E355D"/>
    <w:rsid w:val="003E37AD"/>
    <w:rsid w:val="003E380E"/>
    <w:rsid w:val="003E388D"/>
    <w:rsid w:val="003E40C5"/>
    <w:rsid w:val="003E4E5F"/>
    <w:rsid w:val="003E5259"/>
    <w:rsid w:val="003E53FC"/>
    <w:rsid w:val="003E64BD"/>
    <w:rsid w:val="003E71FD"/>
    <w:rsid w:val="003E7AEB"/>
    <w:rsid w:val="003F15FD"/>
    <w:rsid w:val="003F1F84"/>
    <w:rsid w:val="003F22C4"/>
    <w:rsid w:val="003F3E62"/>
    <w:rsid w:val="003F4582"/>
    <w:rsid w:val="003F4E61"/>
    <w:rsid w:val="003F4F13"/>
    <w:rsid w:val="003F54B9"/>
    <w:rsid w:val="003F5FAE"/>
    <w:rsid w:val="003F6C1F"/>
    <w:rsid w:val="003F7B4C"/>
    <w:rsid w:val="00400CF4"/>
    <w:rsid w:val="00403ABF"/>
    <w:rsid w:val="0040574C"/>
    <w:rsid w:val="00406327"/>
    <w:rsid w:val="00407445"/>
    <w:rsid w:val="00407B79"/>
    <w:rsid w:val="00410309"/>
    <w:rsid w:val="0041032B"/>
    <w:rsid w:val="004110FD"/>
    <w:rsid w:val="00413AC2"/>
    <w:rsid w:val="00415352"/>
    <w:rsid w:val="00415706"/>
    <w:rsid w:val="00416072"/>
    <w:rsid w:val="0041650F"/>
    <w:rsid w:val="004167D3"/>
    <w:rsid w:val="00417D87"/>
    <w:rsid w:val="004202B3"/>
    <w:rsid w:val="004211C0"/>
    <w:rsid w:val="00421230"/>
    <w:rsid w:val="00421BDE"/>
    <w:rsid w:val="00422DDB"/>
    <w:rsid w:val="00424056"/>
    <w:rsid w:val="004248F6"/>
    <w:rsid w:val="004251E8"/>
    <w:rsid w:val="0042565D"/>
    <w:rsid w:val="00425D93"/>
    <w:rsid w:val="00426606"/>
    <w:rsid w:val="00426687"/>
    <w:rsid w:val="00426C63"/>
    <w:rsid w:val="00426F56"/>
    <w:rsid w:val="00427BD7"/>
    <w:rsid w:val="004303D4"/>
    <w:rsid w:val="00431C53"/>
    <w:rsid w:val="00432118"/>
    <w:rsid w:val="0043274B"/>
    <w:rsid w:val="00432DF3"/>
    <w:rsid w:val="004335F9"/>
    <w:rsid w:val="004339C1"/>
    <w:rsid w:val="00433B6E"/>
    <w:rsid w:val="00435C52"/>
    <w:rsid w:val="004362D0"/>
    <w:rsid w:val="00437035"/>
    <w:rsid w:val="0043738A"/>
    <w:rsid w:val="00437CB5"/>
    <w:rsid w:val="00437D4A"/>
    <w:rsid w:val="00437D94"/>
    <w:rsid w:val="004406B9"/>
    <w:rsid w:val="004409A9"/>
    <w:rsid w:val="004411F1"/>
    <w:rsid w:val="004420C4"/>
    <w:rsid w:val="00443381"/>
    <w:rsid w:val="00444927"/>
    <w:rsid w:val="00444B99"/>
    <w:rsid w:val="0044566A"/>
    <w:rsid w:val="0044622B"/>
    <w:rsid w:val="00446EEC"/>
    <w:rsid w:val="004472C2"/>
    <w:rsid w:val="0044732D"/>
    <w:rsid w:val="00447DB7"/>
    <w:rsid w:val="00451145"/>
    <w:rsid w:val="00453F03"/>
    <w:rsid w:val="00453F6B"/>
    <w:rsid w:val="00454A52"/>
    <w:rsid w:val="004553FB"/>
    <w:rsid w:val="0045608D"/>
    <w:rsid w:val="004562C7"/>
    <w:rsid w:val="004565D8"/>
    <w:rsid w:val="004566C6"/>
    <w:rsid w:val="004574CF"/>
    <w:rsid w:val="00457715"/>
    <w:rsid w:val="00460326"/>
    <w:rsid w:val="004615B9"/>
    <w:rsid w:val="00461B31"/>
    <w:rsid w:val="0046230C"/>
    <w:rsid w:val="004634B8"/>
    <w:rsid w:val="004634B9"/>
    <w:rsid w:val="004638A7"/>
    <w:rsid w:val="00463AC5"/>
    <w:rsid w:val="00463ECD"/>
    <w:rsid w:val="0046474A"/>
    <w:rsid w:val="00465071"/>
    <w:rsid w:val="00465E53"/>
    <w:rsid w:val="0046673D"/>
    <w:rsid w:val="00466FCC"/>
    <w:rsid w:val="004678A8"/>
    <w:rsid w:val="00467969"/>
    <w:rsid w:val="00467B5B"/>
    <w:rsid w:val="00467E4B"/>
    <w:rsid w:val="00470BEE"/>
    <w:rsid w:val="00470F2C"/>
    <w:rsid w:val="00470F78"/>
    <w:rsid w:val="00471095"/>
    <w:rsid w:val="00471183"/>
    <w:rsid w:val="00472289"/>
    <w:rsid w:val="00472C4D"/>
    <w:rsid w:val="004748DA"/>
    <w:rsid w:val="00474965"/>
    <w:rsid w:val="00474A44"/>
    <w:rsid w:val="00474BC9"/>
    <w:rsid w:val="00475288"/>
    <w:rsid w:val="004754D5"/>
    <w:rsid w:val="00476319"/>
    <w:rsid w:val="004767FF"/>
    <w:rsid w:val="004769E0"/>
    <w:rsid w:val="00476F84"/>
    <w:rsid w:val="004770A6"/>
    <w:rsid w:val="00477B03"/>
    <w:rsid w:val="00477CDF"/>
    <w:rsid w:val="00480271"/>
    <w:rsid w:val="004813B3"/>
    <w:rsid w:val="00481B4B"/>
    <w:rsid w:val="004822D3"/>
    <w:rsid w:val="00482C7C"/>
    <w:rsid w:val="00482F7C"/>
    <w:rsid w:val="004833E1"/>
    <w:rsid w:val="00484339"/>
    <w:rsid w:val="00484604"/>
    <w:rsid w:val="00484D42"/>
    <w:rsid w:val="004858E8"/>
    <w:rsid w:val="00485D20"/>
    <w:rsid w:val="00486385"/>
    <w:rsid w:val="004871A6"/>
    <w:rsid w:val="00490701"/>
    <w:rsid w:val="00490C4C"/>
    <w:rsid w:val="00490DCD"/>
    <w:rsid w:val="00491B3B"/>
    <w:rsid w:val="004922B8"/>
    <w:rsid w:val="00493419"/>
    <w:rsid w:val="004938CD"/>
    <w:rsid w:val="0049400E"/>
    <w:rsid w:val="0049463F"/>
    <w:rsid w:val="00495D66"/>
    <w:rsid w:val="00495E9B"/>
    <w:rsid w:val="00496DA9"/>
    <w:rsid w:val="004972B7"/>
    <w:rsid w:val="0049753E"/>
    <w:rsid w:val="004975FD"/>
    <w:rsid w:val="004A0A02"/>
    <w:rsid w:val="004A1F2E"/>
    <w:rsid w:val="004A22B5"/>
    <w:rsid w:val="004A2435"/>
    <w:rsid w:val="004A26BC"/>
    <w:rsid w:val="004A2AB2"/>
    <w:rsid w:val="004A2FCA"/>
    <w:rsid w:val="004A3A79"/>
    <w:rsid w:val="004A4801"/>
    <w:rsid w:val="004A5097"/>
    <w:rsid w:val="004A5299"/>
    <w:rsid w:val="004A5531"/>
    <w:rsid w:val="004A639C"/>
    <w:rsid w:val="004A6A8D"/>
    <w:rsid w:val="004A7267"/>
    <w:rsid w:val="004A72E4"/>
    <w:rsid w:val="004A7897"/>
    <w:rsid w:val="004B018E"/>
    <w:rsid w:val="004B0875"/>
    <w:rsid w:val="004B19F1"/>
    <w:rsid w:val="004B1B17"/>
    <w:rsid w:val="004B1FB5"/>
    <w:rsid w:val="004B27E1"/>
    <w:rsid w:val="004B448F"/>
    <w:rsid w:val="004B4982"/>
    <w:rsid w:val="004B5471"/>
    <w:rsid w:val="004B561F"/>
    <w:rsid w:val="004B616A"/>
    <w:rsid w:val="004B6D4E"/>
    <w:rsid w:val="004B712C"/>
    <w:rsid w:val="004B7730"/>
    <w:rsid w:val="004C15B3"/>
    <w:rsid w:val="004C1BBE"/>
    <w:rsid w:val="004C249B"/>
    <w:rsid w:val="004C24D0"/>
    <w:rsid w:val="004C26A3"/>
    <w:rsid w:val="004C2E79"/>
    <w:rsid w:val="004C2FB3"/>
    <w:rsid w:val="004C340D"/>
    <w:rsid w:val="004C35A2"/>
    <w:rsid w:val="004C4F9B"/>
    <w:rsid w:val="004C79C2"/>
    <w:rsid w:val="004C7C9A"/>
    <w:rsid w:val="004C7FCA"/>
    <w:rsid w:val="004D0483"/>
    <w:rsid w:val="004D118C"/>
    <w:rsid w:val="004D1295"/>
    <w:rsid w:val="004D15DD"/>
    <w:rsid w:val="004D1A01"/>
    <w:rsid w:val="004D25F0"/>
    <w:rsid w:val="004D2D8A"/>
    <w:rsid w:val="004D37B9"/>
    <w:rsid w:val="004D3AA3"/>
    <w:rsid w:val="004D6088"/>
    <w:rsid w:val="004D6D6C"/>
    <w:rsid w:val="004D71CD"/>
    <w:rsid w:val="004D74A4"/>
    <w:rsid w:val="004E024E"/>
    <w:rsid w:val="004E1591"/>
    <w:rsid w:val="004E1A7E"/>
    <w:rsid w:val="004E1B78"/>
    <w:rsid w:val="004E2A86"/>
    <w:rsid w:val="004E377D"/>
    <w:rsid w:val="004E3E68"/>
    <w:rsid w:val="004E41CF"/>
    <w:rsid w:val="004E42DA"/>
    <w:rsid w:val="004E5894"/>
    <w:rsid w:val="004E58F8"/>
    <w:rsid w:val="004E6CBA"/>
    <w:rsid w:val="004E6CCB"/>
    <w:rsid w:val="004E6CCD"/>
    <w:rsid w:val="004E74EE"/>
    <w:rsid w:val="004E7A7A"/>
    <w:rsid w:val="004E7CA5"/>
    <w:rsid w:val="004E7F67"/>
    <w:rsid w:val="004F0400"/>
    <w:rsid w:val="004F04B3"/>
    <w:rsid w:val="004F0749"/>
    <w:rsid w:val="004F07D0"/>
    <w:rsid w:val="004F094F"/>
    <w:rsid w:val="004F10DA"/>
    <w:rsid w:val="004F1AD0"/>
    <w:rsid w:val="004F2816"/>
    <w:rsid w:val="004F31CB"/>
    <w:rsid w:val="004F3D1F"/>
    <w:rsid w:val="004F4C62"/>
    <w:rsid w:val="004F687F"/>
    <w:rsid w:val="004F73F3"/>
    <w:rsid w:val="004F776B"/>
    <w:rsid w:val="004F7C0A"/>
    <w:rsid w:val="0050076C"/>
    <w:rsid w:val="00500897"/>
    <w:rsid w:val="00501504"/>
    <w:rsid w:val="00503DCC"/>
    <w:rsid w:val="00504F75"/>
    <w:rsid w:val="00505562"/>
    <w:rsid w:val="00505B4F"/>
    <w:rsid w:val="00506252"/>
    <w:rsid w:val="005064D8"/>
    <w:rsid w:val="0050672A"/>
    <w:rsid w:val="005079B8"/>
    <w:rsid w:val="00507A12"/>
    <w:rsid w:val="00507CA3"/>
    <w:rsid w:val="005103D5"/>
    <w:rsid w:val="0051042B"/>
    <w:rsid w:val="005110BE"/>
    <w:rsid w:val="005114C5"/>
    <w:rsid w:val="00511623"/>
    <w:rsid w:val="00511DE5"/>
    <w:rsid w:val="005131DF"/>
    <w:rsid w:val="005142A2"/>
    <w:rsid w:val="005143BC"/>
    <w:rsid w:val="00515298"/>
    <w:rsid w:val="00516A49"/>
    <w:rsid w:val="00520131"/>
    <w:rsid w:val="005207B7"/>
    <w:rsid w:val="0052113A"/>
    <w:rsid w:val="005212AA"/>
    <w:rsid w:val="00522040"/>
    <w:rsid w:val="005229B6"/>
    <w:rsid w:val="00522AB8"/>
    <w:rsid w:val="005248A7"/>
    <w:rsid w:val="00524B0B"/>
    <w:rsid w:val="00526330"/>
    <w:rsid w:val="00526B10"/>
    <w:rsid w:val="00526B27"/>
    <w:rsid w:val="00526C58"/>
    <w:rsid w:val="00527959"/>
    <w:rsid w:val="00531007"/>
    <w:rsid w:val="00531B35"/>
    <w:rsid w:val="00532213"/>
    <w:rsid w:val="00534580"/>
    <w:rsid w:val="0053523C"/>
    <w:rsid w:val="0053540F"/>
    <w:rsid w:val="0053678D"/>
    <w:rsid w:val="00536921"/>
    <w:rsid w:val="00537C70"/>
    <w:rsid w:val="005405FC"/>
    <w:rsid w:val="005409FC"/>
    <w:rsid w:val="005414CE"/>
    <w:rsid w:val="00541D6D"/>
    <w:rsid w:val="0054306E"/>
    <w:rsid w:val="00543648"/>
    <w:rsid w:val="00543898"/>
    <w:rsid w:val="005449BD"/>
    <w:rsid w:val="00544B7D"/>
    <w:rsid w:val="00544DDB"/>
    <w:rsid w:val="00545B9B"/>
    <w:rsid w:val="00545D3B"/>
    <w:rsid w:val="00547683"/>
    <w:rsid w:val="00547FE9"/>
    <w:rsid w:val="0055002A"/>
    <w:rsid w:val="00550413"/>
    <w:rsid w:val="00550598"/>
    <w:rsid w:val="0055288D"/>
    <w:rsid w:val="00553E54"/>
    <w:rsid w:val="00553E81"/>
    <w:rsid w:val="00554060"/>
    <w:rsid w:val="00554156"/>
    <w:rsid w:val="00554F6A"/>
    <w:rsid w:val="005559A6"/>
    <w:rsid w:val="00555BC6"/>
    <w:rsid w:val="005565CE"/>
    <w:rsid w:val="00557F3E"/>
    <w:rsid w:val="005604D2"/>
    <w:rsid w:val="005625FE"/>
    <w:rsid w:val="005629AD"/>
    <w:rsid w:val="0056550B"/>
    <w:rsid w:val="005663A7"/>
    <w:rsid w:val="00566BB3"/>
    <w:rsid w:val="005675CD"/>
    <w:rsid w:val="00567B29"/>
    <w:rsid w:val="0057038A"/>
    <w:rsid w:val="00570A19"/>
    <w:rsid w:val="00570CF9"/>
    <w:rsid w:val="00571AD1"/>
    <w:rsid w:val="00572D7B"/>
    <w:rsid w:val="00573AE9"/>
    <w:rsid w:val="005741A2"/>
    <w:rsid w:val="00574792"/>
    <w:rsid w:val="00575DFD"/>
    <w:rsid w:val="005768F9"/>
    <w:rsid w:val="005777A0"/>
    <w:rsid w:val="0058026F"/>
    <w:rsid w:val="005808CD"/>
    <w:rsid w:val="005821C9"/>
    <w:rsid w:val="00584A56"/>
    <w:rsid w:val="00584BBB"/>
    <w:rsid w:val="00585008"/>
    <w:rsid w:val="00585540"/>
    <w:rsid w:val="00585FD8"/>
    <w:rsid w:val="005862AE"/>
    <w:rsid w:val="00586979"/>
    <w:rsid w:val="0058737E"/>
    <w:rsid w:val="00587ADC"/>
    <w:rsid w:val="00587DC9"/>
    <w:rsid w:val="00590041"/>
    <w:rsid w:val="0059061C"/>
    <w:rsid w:val="0059121C"/>
    <w:rsid w:val="005913EA"/>
    <w:rsid w:val="0059150C"/>
    <w:rsid w:val="005918CD"/>
    <w:rsid w:val="00592EA1"/>
    <w:rsid w:val="00593658"/>
    <w:rsid w:val="0059428F"/>
    <w:rsid w:val="00594EAF"/>
    <w:rsid w:val="0059559C"/>
    <w:rsid w:val="00595B10"/>
    <w:rsid w:val="0059613B"/>
    <w:rsid w:val="00596235"/>
    <w:rsid w:val="00596BBC"/>
    <w:rsid w:val="00596D1C"/>
    <w:rsid w:val="0059702C"/>
    <w:rsid w:val="005975E4"/>
    <w:rsid w:val="005A1074"/>
    <w:rsid w:val="005A1314"/>
    <w:rsid w:val="005A1A06"/>
    <w:rsid w:val="005A2436"/>
    <w:rsid w:val="005A2E94"/>
    <w:rsid w:val="005A3971"/>
    <w:rsid w:val="005A497D"/>
    <w:rsid w:val="005A548E"/>
    <w:rsid w:val="005A6318"/>
    <w:rsid w:val="005A6EAA"/>
    <w:rsid w:val="005A7A68"/>
    <w:rsid w:val="005A7D85"/>
    <w:rsid w:val="005B00C7"/>
    <w:rsid w:val="005B02EB"/>
    <w:rsid w:val="005B0E81"/>
    <w:rsid w:val="005B1B81"/>
    <w:rsid w:val="005B27BD"/>
    <w:rsid w:val="005B43E7"/>
    <w:rsid w:val="005B4768"/>
    <w:rsid w:val="005B49AC"/>
    <w:rsid w:val="005B4A26"/>
    <w:rsid w:val="005B594A"/>
    <w:rsid w:val="005B5974"/>
    <w:rsid w:val="005B7671"/>
    <w:rsid w:val="005B7A92"/>
    <w:rsid w:val="005C110E"/>
    <w:rsid w:val="005C1249"/>
    <w:rsid w:val="005C1509"/>
    <w:rsid w:val="005C1C7D"/>
    <w:rsid w:val="005C28D7"/>
    <w:rsid w:val="005C35AB"/>
    <w:rsid w:val="005C3EB9"/>
    <w:rsid w:val="005C41B9"/>
    <w:rsid w:val="005C4F81"/>
    <w:rsid w:val="005C519C"/>
    <w:rsid w:val="005C5B2A"/>
    <w:rsid w:val="005D00C3"/>
    <w:rsid w:val="005D0B2E"/>
    <w:rsid w:val="005D3554"/>
    <w:rsid w:val="005D37D7"/>
    <w:rsid w:val="005D4AB5"/>
    <w:rsid w:val="005D5052"/>
    <w:rsid w:val="005D52F1"/>
    <w:rsid w:val="005D5CBE"/>
    <w:rsid w:val="005D6755"/>
    <w:rsid w:val="005D779A"/>
    <w:rsid w:val="005E0074"/>
    <w:rsid w:val="005E0523"/>
    <w:rsid w:val="005E1061"/>
    <w:rsid w:val="005E126C"/>
    <w:rsid w:val="005E1278"/>
    <w:rsid w:val="005E150A"/>
    <w:rsid w:val="005E20AB"/>
    <w:rsid w:val="005E2F5C"/>
    <w:rsid w:val="005E3D43"/>
    <w:rsid w:val="005E3F1D"/>
    <w:rsid w:val="005E406A"/>
    <w:rsid w:val="005E4A1F"/>
    <w:rsid w:val="005E5456"/>
    <w:rsid w:val="005E54F0"/>
    <w:rsid w:val="005E5961"/>
    <w:rsid w:val="005E5E47"/>
    <w:rsid w:val="005E65B8"/>
    <w:rsid w:val="005E69B1"/>
    <w:rsid w:val="005F03DD"/>
    <w:rsid w:val="005F09D4"/>
    <w:rsid w:val="005F1400"/>
    <w:rsid w:val="005F2105"/>
    <w:rsid w:val="005F3016"/>
    <w:rsid w:val="005F3282"/>
    <w:rsid w:val="005F344D"/>
    <w:rsid w:val="005F3DE0"/>
    <w:rsid w:val="005F47F5"/>
    <w:rsid w:val="005F4E1F"/>
    <w:rsid w:val="005F54DD"/>
    <w:rsid w:val="005F55F4"/>
    <w:rsid w:val="005F588D"/>
    <w:rsid w:val="005F5EA9"/>
    <w:rsid w:val="005F6BC5"/>
    <w:rsid w:val="005F7939"/>
    <w:rsid w:val="00600435"/>
    <w:rsid w:val="0060057D"/>
    <w:rsid w:val="00600C98"/>
    <w:rsid w:val="00601114"/>
    <w:rsid w:val="00602D2D"/>
    <w:rsid w:val="00604DB7"/>
    <w:rsid w:val="0060691D"/>
    <w:rsid w:val="00607B04"/>
    <w:rsid w:val="006103E9"/>
    <w:rsid w:val="00611A1C"/>
    <w:rsid w:val="0061215A"/>
    <w:rsid w:val="0061245E"/>
    <w:rsid w:val="00612A10"/>
    <w:rsid w:val="00612E9E"/>
    <w:rsid w:val="00612EBA"/>
    <w:rsid w:val="00614843"/>
    <w:rsid w:val="00615084"/>
    <w:rsid w:val="006164A9"/>
    <w:rsid w:val="00617E22"/>
    <w:rsid w:val="00620817"/>
    <w:rsid w:val="00621FB4"/>
    <w:rsid w:val="00624D59"/>
    <w:rsid w:val="00624F6D"/>
    <w:rsid w:val="0062582E"/>
    <w:rsid w:val="00625C8E"/>
    <w:rsid w:val="00626E91"/>
    <w:rsid w:val="00627BA3"/>
    <w:rsid w:val="006308BC"/>
    <w:rsid w:val="00630B91"/>
    <w:rsid w:val="00630C76"/>
    <w:rsid w:val="006326C7"/>
    <w:rsid w:val="00632BDE"/>
    <w:rsid w:val="00633728"/>
    <w:rsid w:val="006339BD"/>
    <w:rsid w:val="00634402"/>
    <w:rsid w:val="006346F1"/>
    <w:rsid w:val="00634C66"/>
    <w:rsid w:val="0063526A"/>
    <w:rsid w:val="006355FF"/>
    <w:rsid w:val="0063587A"/>
    <w:rsid w:val="00636458"/>
    <w:rsid w:val="006374B2"/>
    <w:rsid w:val="006406D1"/>
    <w:rsid w:val="0064088D"/>
    <w:rsid w:val="00640A4A"/>
    <w:rsid w:val="00640C42"/>
    <w:rsid w:val="00640D9A"/>
    <w:rsid w:val="00641E87"/>
    <w:rsid w:val="00642294"/>
    <w:rsid w:val="006423A7"/>
    <w:rsid w:val="006427B4"/>
    <w:rsid w:val="00643B75"/>
    <w:rsid w:val="00644365"/>
    <w:rsid w:val="00644D79"/>
    <w:rsid w:val="00645050"/>
    <w:rsid w:val="00645636"/>
    <w:rsid w:val="00645FE1"/>
    <w:rsid w:val="00646561"/>
    <w:rsid w:val="00647B36"/>
    <w:rsid w:val="00647CBB"/>
    <w:rsid w:val="00651B97"/>
    <w:rsid w:val="00652CA6"/>
    <w:rsid w:val="00652DE9"/>
    <w:rsid w:val="00652E00"/>
    <w:rsid w:val="00652FF5"/>
    <w:rsid w:val="006532C6"/>
    <w:rsid w:val="006533F5"/>
    <w:rsid w:val="00653890"/>
    <w:rsid w:val="0065538C"/>
    <w:rsid w:val="006553E8"/>
    <w:rsid w:val="00655810"/>
    <w:rsid w:val="006559DB"/>
    <w:rsid w:val="006561D7"/>
    <w:rsid w:val="00656813"/>
    <w:rsid w:val="00657672"/>
    <w:rsid w:val="00657749"/>
    <w:rsid w:val="0065776D"/>
    <w:rsid w:val="006602D6"/>
    <w:rsid w:val="00661E66"/>
    <w:rsid w:val="006620A7"/>
    <w:rsid w:val="0066264D"/>
    <w:rsid w:val="006627F9"/>
    <w:rsid w:val="00662F73"/>
    <w:rsid w:val="0066456F"/>
    <w:rsid w:val="00665BA8"/>
    <w:rsid w:val="00665C42"/>
    <w:rsid w:val="0066601F"/>
    <w:rsid w:val="0066629F"/>
    <w:rsid w:val="00666383"/>
    <w:rsid w:val="006666E3"/>
    <w:rsid w:val="0066676B"/>
    <w:rsid w:val="00666D9C"/>
    <w:rsid w:val="00667561"/>
    <w:rsid w:val="00667BE9"/>
    <w:rsid w:val="0067041E"/>
    <w:rsid w:val="006705DE"/>
    <w:rsid w:val="00671E81"/>
    <w:rsid w:val="00672041"/>
    <w:rsid w:val="0067248D"/>
    <w:rsid w:val="006726E0"/>
    <w:rsid w:val="0067270D"/>
    <w:rsid w:val="00673091"/>
    <w:rsid w:val="00674941"/>
    <w:rsid w:val="00676121"/>
    <w:rsid w:val="00676AF6"/>
    <w:rsid w:val="00676DF3"/>
    <w:rsid w:val="006776B7"/>
    <w:rsid w:val="00677E07"/>
    <w:rsid w:val="00681CC1"/>
    <w:rsid w:val="00682796"/>
    <w:rsid w:val="00682865"/>
    <w:rsid w:val="00683073"/>
    <w:rsid w:val="00683172"/>
    <w:rsid w:val="00683178"/>
    <w:rsid w:val="00683D44"/>
    <w:rsid w:val="006862EC"/>
    <w:rsid w:val="006868CA"/>
    <w:rsid w:val="00687606"/>
    <w:rsid w:val="006879DB"/>
    <w:rsid w:val="00687DF4"/>
    <w:rsid w:val="006905DC"/>
    <w:rsid w:val="00690A28"/>
    <w:rsid w:val="00690F0D"/>
    <w:rsid w:val="00690F1A"/>
    <w:rsid w:val="0069295F"/>
    <w:rsid w:val="0069329D"/>
    <w:rsid w:val="006941B4"/>
    <w:rsid w:val="006949F0"/>
    <w:rsid w:val="00694FD0"/>
    <w:rsid w:val="00694FDB"/>
    <w:rsid w:val="00695169"/>
    <w:rsid w:val="0069585E"/>
    <w:rsid w:val="00695D18"/>
    <w:rsid w:val="00695F6F"/>
    <w:rsid w:val="00696D22"/>
    <w:rsid w:val="00697659"/>
    <w:rsid w:val="006A0274"/>
    <w:rsid w:val="006A0A2D"/>
    <w:rsid w:val="006A0B24"/>
    <w:rsid w:val="006A0E16"/>
    <w:rsid w:val="006A172A"/>
    <w:rsid w:val="006A18EE"/>
    <w:rsid w:val="006A2765"/>
    <w:rsid w:val="006A2C05"/>
    <w:rsid w:val="006A2D40"/>
    <w:rsid w:val="006A2E05"/>
    <w:rsid w:val="006A3392"/>
    <w:rsid w:val="006A3E8D"/>
    <w:rsid w:val="006A4159"/>
    <w:rsid w:val="006A4A90"/>
    <w:rsid w:val="006A4E1F"/>
    <w:rsid w:val="006A55C5"/>
    <w:rsid w:val="006A5AB1"/>
    <w:rsid w:val="006A71A0"/>
    <w:rsid w:val="006A7C8E"/>
    <w:rsid w:val="006A7E0D"/>
    <w:rsid w:val="006B0B63"/>
    <w:rsid w:val="006B1705"/>
    <w:rsid w:val="006B219B"/>
    <w:rsid w:val="006B28CF"/>
    <w:rsid w:val="006B3BC6"/>
    <w:rsid w:val="006B4969"/>
    <w:rsid w:val="006B5249"/>
    <w:rsid w:val="006B69B8"/>
    <w:rsid w:val="006B7B5A"/>
    <w:rsid w:val="006C07EB"/>
    <w:rsid w:val="006C37A1"/>
    <w:rsid w:val="006C39DF"/>
    <w:rsid w:val="006C45DE"/>
    <w:rsid w:val="006C505F"/>
    <w:rsid w:val="006C56D0"/>
    <w:rsid w:val="006C5800"/>
    <w:rsid w:val="006C7D33"/>
    <w:rsid w:val="006C7E7A"/>
    <w:rsid w:val="006D0334"/>
    <w:rsid w:val="006D0BCA"/>
    <w:rsid w:val="006D15FD"/>
    <w:rsid w:val="006D1FFA"/>
    <w:rsid w:val="006D2731"/>
    <w:rsid w:val="006D28B5"/>
    <w:rsid w:val="006D4E7B"/>
    <w:rsid w:val="006D4E98"/>
    <w:rsid w:val="006D571B"/>
    <w:rsid w:val="006D6FF2"/>
    <w:rsid w:val="006D70ED"/>
    <w:rsid w:val="006D79B3"/>
    <w:rsid w:val="006E0700"/>
    <w:rsid w:val="006E0C07"/>
    <w:rsid w:val="006E15C9"/>
    <w:rsid w:val="006E2D78"/>
    <w:rsid w:val="006E3E95"/>
    <w:rsid w:val="006E523D"/>
    <w:rsid w:val="006E7442"/>
    <w:rsid w:val="006E783B"/>
    <w:rsid w:val="006E78D7"/>
    <w:rsid w:val="006F07F0"/>
    <w:rsid w:val="006F08B5"/>
    <w:rsid w:val="006F0C64"/>
    <w:rsid w:val="006F132A"/>
    <w:rsid w:val="006F1420"/>
    <w:rsid w:val="006F14A0"/>
    <w:rsid w:val="006F1923"/>
    <w:rsid w:val="006F2088"/>
    <w:rsid w:val="006F2DFF"/>
    <w:rsid w:val="006F30D4"/>
    <w:rsid w:val="006F34A0"/>
    <w:rsid w:val="006F3ADA"/>
    <w:rsid w:val="006F3EC5"/>
    <w:rsid w:val="006F3FA1"/>
    <w:rsid w:val="006F52D6"/>
    <w:rsid w:val="006F55DF"/>
    <w:rsid w:val="006F562E"/>
    <w:rsid w:val="006F743B"/>
    <w:rsid w:val="0070098F"/>
    <w:rsid w:val="00700EA5"/>
    <w:rsid w:val="00701DF7"/>
    <w:rsid w:val="00701EBA"/>
    <w:rsid w:val="00701EF6"/>
    <w:rsid w:val="00701F89"/>
    <w:rsid w:val="007024C7"/>
    <w:rsid w:val="00706893"/>
    <w:rsid w:val="00707006"/>
    <w:rsid w:val="007071A7"/>
    <w:rsid w:val="00707C65"/>
    <w:rsid w:val="00711415"/>
    <w:rsid w:val="00711957"/>
    <w:rsid w:val="00711B37"/>
    <w:rsid w:val="00712908"/>
    <w:rsid w:val="00712F85"/>
    <w:rsid w:val="00713C2B"/>
    <w:rsid w:val="00713E64"/>
    <w:rsid w:val="007146D2"/>
    <w:rsid w:val="0071472F"/>
    <w:rsid w:val="00714FF2"/>
    <w:rsid w:val="007153F4"/>
    <w:rsid w:val="00715D69"/>
    <w:rsid w:val="00715E53"/>
    <w:rsid w:val="00716B9D"/>
    <w:rsid w:val="007170C2"/>
    <w:rsid w:val="0071730C"/>
    <w:rsid w:val="007173BE"/>
    <w:rsid w:val="0071765E"/>
    <w:rsid w:val="00717BE1"/>
    <w:rsid w:val="00720C12"/>
    <w:rsid w:val="007215A8"/>
    <w:rsid w:val="00721CAF"/>
    <w:rsid w:val="00721D9A"/>
    <w:rsid w:val="00722540"/>
    <w:rsid w:val="00722E27"/>
    <w:rsid w:val="0072342C"/>
    <w:rsid w:val="00725538"/>
    <w:rsid w:val="00725658"/>
    <w:rsid w:val="007311FA"/>
    <w:rsid w:val="00731E21"/>
    <w:rsid w:val="0073394C"/>
    <w:rsid w:val="00733AFC"/>
    <w:rsid w:val="007340ED"/>
    <w:rsid w:val="00734896"/>
    <w:rsid w:val="007351B5"/>
    <w:rsid w:val="0073531A"/>
    <w:rsid w:val="007354DE"/>
    <w:rsid w:val="007356AE"/>
    <w:rsid w:val="00735A9A"/>
    <w:rsid w:val="00736FDA"/>
    <w:rsid w:val="00737083"/>
    <w:rsid w:val="00737613"/>
    <w:rsid w:val="0073776F"/>
    <w:rsid w:val="00737943"/>
    <w:rsid w:val="00737DEB"/>
    <w:rsid w:val="0074159B"/>
    <w:rsid w:val="00741738"/>
    <w:rsid w:val="007419AE"/>
    <w:rsid w:val="00741F7A"/>
    <w:rsid w:val="00743744"/>
    <w:rsid w:val="00743C74"/>
    <w:rsid w:val="00743F30"/>
    <w:rsid w:val="00744801"/>
    <w:rsid w:val="00744814"/>
    <w:rsid w:val="007455D4"/>
    <w:rsid w:val="0074580C"/>
    <w:rsid w:val="00745BBF"/>
    <w:rsid w:val="00746C8E"/>
    <w:rsid w:val="007503CF"/>
    <w:rsid w:val="00750A45"/>
    <w:rsid w:val="00751584"/>
    <w:rsid w:val="007528B9"/>
    <w:rsid w:val="00754182"/>
    <w:rsid w:val="00754974"/>
    <w:rsid w:val="0075524B"/>
    <w:rsid w:val="007554E9"/>
    <w:rsid w:val="0075562B"/>
    <w:rsid w:val="00755E44"/>
    <w:rsid w:val="0075640D"/>
    <w:rsid w:val="007564BF"/>
    <w:rsid w:val="007565C0"/>
    <w:rsid w:val="0075698E"/>
    <w:rsid w:val="00757133"/>
    <w:rsid w:val="00757472"/>
    <w:rsid w:val="00760979"/>
    <w:rsid w:val="00760FE4"/>
    <w:rsid w:val="007613DE"/>
    <w:rsid w:val="0076177E"/>
    <w:rsid w:val="00761FFA"/>
    <w:rsid w:val="007620F8"/>
    <w:rsid w:val="0076323A"/>
    <w:rsid w:val="007632D8"/>
    <w:rsid w:val="00763508"/>
    <w:rsid w:val="007638EE"/>
    <w:rsid w:val="0076480F"/>
    <w:rsid w:val="00764F7E"/>
    <w:rsid w:val="00766453"/>
    <w:rsid w:val="00766C40"/>
    <w:rsid w:val="00767531"/>
    <w:rsid w:val="00767B7B"/>
    <w:rsid w:val="007701CA"/>
    <w:rsid w:val="007711F8"/>
    <w:rsid w:val="00771379"/>
    <w:rsid w:val="00772E4B"/>
    <w:rsid w:val="00772F41"/>
    <w:rsid w:val="0077346A"/>
    <w:rsid w:val="0077378C"/>
    <w:rsid w:val="00773DD6"/>
    <w:rsid w:val="00773EAE"/>
    <w:rsid w:val="0077564B"/>
    <w:rsid w:val="00775737"/>
    <w:rsid w:val="0077682E"/>
    <w:rsid w:val="00776FB1"/>
    <w:rsid w:val="00777120"/>
    <w:rsid w:val="0077732F"/>
    <w:rsid w:val="007777A1"/>
    <w:rsid w:val="007803C4"/>
    <w:rsid w:val="00781A93"/>
    <w:rsid w:val="00781C8B"/>
    <w:rsid w:val="00781EA9"/>
    <w:rsid w:val="00782CE8"/>
    <w:rsid w:val="00782E45"/>
    <w:rsid w:val="00782F50"/>
    <w:rsid w:val="00783972"/>
    <w:rsid w:val="00783FEE"/>
    <w:rsid w:val="0078463D"/>
    <w:rsid w:val="00784DCB"/>
    <w:rsid w:val="00785520"/>
    <w:rsid w:val="007863E4"/>
    <w:rsid w:val="007869E6"/>
    <w:rsid w:val="00786BFC"/>
    <w:rsid w:val="0078719E"/>
    <w:rsid w:val="00787B2B"/>
    <w:rsid w:val="00791EE5"/>
    <w:rsid w:val="00792070"/>
    <w:rsid w:val="0079225E"/>
    <w:rsid w:val="007928AC"/>
    <w:rsid w:val="007935FF"/>
    <w:rsid w:val="00794024"/>
    <w:rsid w:val="007963AF"/>
    <w:rsid w:val="00796E6D"/>
    <w:rsid w:val="00797766"/>
    <w:rsid w:val="007A0D6E"/>
    <w:rsid w:val="007A10F0"/>
    <w:rsid w:val="007A17C0"/>
    <w:rsid w:val="007A184D"/>
    <w:rsid w:val="007A1A87"/>
    <w:rsid w:val="007A24ED"/>
    <w:rsid w:val="007A27DA"/>
    <w:rsid w:val="007A3610"/>
    <w:rsid w:val="007A37C8"/>
    <w:rsid w:val="007A3A46"/>
    <w:rsid w:val="007A44F6"/>
    <w:rsid w:val="007A49EC"/>
    <w:rsid w:val="007A5194"/>
    <w:rsid w:val="007A5B18"/>
    <w:rsid w:val="007A5DFE"/>
    <w:rsid w:val="007A5EF4"/>
    <w:rsid w:val="007A6249"/>
    <w:rsid w:val="007A6FE7"/>
    <w:rsid w:val="007A754B"/>
    <w:rsid w:val="007B03CF"/>
    <w:rsid w:val="007B09E0"/>
    <w:rsid w:val="007B1872"/>
    <w:rsid w:val="007B1A08"/>
    <w:rsid w:val="007B2CAD"/>
    <w:rsid w:val="007B32E2"/>
    <w:rsid w:val="007B3907"/>
    <w:rsid w:val="007B46D3"/>
    <w:rsid w:val="007B4805"/>
    <w:rsid w:val="007B573C"/>
    <w:rsid w:val="007B5F45"/>
    <w:rsid w:val="007B705F"/>
    <w:rsid w:val="007C1402"/>
    <w:rsid w:val="007C1C99"/>
    <w:rsid w:val="007C2F01"/>
    <w:rsid w:val="007C3F52"/>
    <w:rsid w:val="007C454A"/>
    <w:rsid w:val="007C4897"/>
    <w:rsid w:val="007C54F8"/>
    <w:rsid w:val="007C5C99"/>
    <w:rsid w:val="007C7771"/>
    <w:rsid w:val="007C796A"/>
    <w:rsid w:val="007C7D0F"/>
    <w:rsid w:val="007C7EDA"/>
    <w:rsid w:val="007D0ECC"/>
    <w:rsid w:val="007D1533"/>
    <w:rsid w:val="007D2EDB"/>
    <w:rsid w:val="007D2F3A"/>
    <w:rsid w:val="007D385B"/>
    <w:rsid w:val="007D396D"/>
    <w:rsid w:val="007D3C3C"/>
    <w:rsid w:val="007D53B7"/>
    <w:rsid w:val="007D53FD"/>
    <w:rsid w:val="007D68A4"/>
    <w:rsid w:val="007D706B"/>
    <w:rsid w:val="007D72BB"/>
    <w:rsid w:val="007D7325"/>
    <w:rsid w:val="007E053A"/>
    <w:rsid w:val="007E1384"/>
    <w:rsid w:val="007E15D7"/>
    <w:rsid w:val="007E31DC"/>
    <w:rsid w:val="007E36F6"/>
    <w:rsid w:val="007E3863"/>
    <w:rsid w:val="007E3E9C"/>
    <w:rsid w:val="007E485C"/>
    <w:rsid w:val="007E490F"/>
    <w:rsid w:val="007E545B"/>
    <w:rsid w:val="007E593F"/>
    <w:rsid w:val="007E6EE9"/>
    <w:rsid w:val="007E7912"/>
    <w:rsid w:val="007E7C08"/>
    <w:rsid w:val="007F0B73"/>
    <w:rsid w:val="007F0E14"/>
    <w:rsid w:val="007F289E"/>
    <w:rsid w:val="007F35A2"/>
    <w:rsid w:val="007F3748"/>
    <w:rsid w:val="007F378E"/>
    <w:rsid w:val="007F37C6"/>
    <w:rsid w:val="007F3CB5"/>
    <w:rsid w:val="007F3F64"/>
    <w:rsid w:val="007F47A6"/>
    <w:rsid w:val="007F506D"/>
    <w:rsid w:val="007F5714"/>
    <w:rsid w:val="007F60B4"/>
    <w:rsid w:val="007F64A7"/>
    <w:rsid w:val="007F6653"/>
    <w:rsid w:val="007F6F48"/>
    <w:rsid w:val="00800E8D"/>
    <w:rsid w:val="00801680"/>
    <w:rsid w:val="00802AD3"/>
    <w:rsid w:val="00803784"/>
    <w:rsid w:val="00803C86"/>
    <w:rsid w:val="00803F0D"/>
    <w:rsid w:val="008079C8"/>
    <w:rsid w:val="008100B6"/>
    <w:rsid w:val="00810170"/>
    <w:rsid w:val="00810311"/>
    <w:rsid w:val="00810420"/>
    <w:rsid w:val="008108B7"/>
    <w:rsid w:val="008109A3"/>
    <w:rsid w:val="00811020"/>
    <w:rsid w:val="008117BF"/>
    <w:rsid w:val="00811872"/>
    <w:rsid w:val="00811ACE"/>
    <w:rsid w:val="00811F7A"/>
    <w:rsid w:val="008127AF"/>
    <w:rsid w:val="008135FB"/>
    <w:rsid w:val="0081399F"/>
    <w:rsid w:val="00813C44"/>
    <w:rsid w:val="008141FA"/>
    <w:rsid w:val="0081441D"/>
    <w:rsid w:val="008149CF"/>
    <w:rsid w:val="00815BB3"/>
    <w:rsid w:val="00815E1B"/>
    <w:rsid w:val="008166A5"/>
    <w:rsid w:val="0081723D"/>
    <w:rsid w:val="008176A7"/>
    <w:rsid w:val="008176E6"/>
    <w:rsid w:val="00817865"/>
    <w:rsid w:val="00817B7B"/>
    <w:rsid w:val="00817F4F"/>
    <w:rsid w:val="00820E25"/>
    <w:rsid w:val="00820E80"/>
    <w:rsid w:val="00820FC3"/>
    <w:rsid w:val="00822A02"/>
    <w:rsid w:val="00823646"/>
    <w:rsid w:val="008239BB"/>
    <w:rsid w:val="008247BE"/>
    <w:rsid w:val="00824E8B"/>
    <w:rsid w:val="008253E6"/>
    <w:rsid w:val="00827054"/>
    <w:rsid w:val="00827E6A"/>
    <w:rsid w:val="00830059"/>
    <w:rsid w:val="00830CD4"/>
    <w:rsid w:val="00831073"/>
    <w:rsid w:val="008319C5"/>
    <w:rsid w:val="00833173"/>
    <w:rsid w:val="00833196"/>
    <w:rsid w:val="008334D1"/>
    <w:rsid w:val="00833883"/>
    <w:rsid w:val="008338DF"/>
    <w:rsid w:val="0083390C"/>
    <w:rsid w:val="00833F97"/>
    <w:rsid w:val="00834DA7"/>
    <w:rsid w:val="00835362"/>
    <w:rsid w:val="008353E8"/>
    <w:rsid w:val="0083561A"/>
    <w:rsid w:val="00835813"/>
    <w:rsid w:val="00835CD6"/>
    <w:rsid w:val="0083679B"/>
    <w:rsid w:val="0084019E"/>
    <w:rsid w:val="008404D3"/>
    <w:rsid w:val="00840D87"/>
    <w:rsid w:val="008417A8"/>
    <w:rsid w:val="008417CD"/>
    <w:rsid w:val="008421D9"/>
    <w:rsid w:val="00842921"/>
    <w:rsid w:val="00844CCA"/>
    <w:rsid w:val="0084513A"/>
    <w:rsid w:val="008451D1"/>
    <w:rsid w:val="00845254"/>
    <w:rsid w:val="008458CB"/>
    <w:rsid w:val="0084649D"/>
    <w:rsid w:val="008465C4"/>
    <w:rsid w:val="00846956"/>
    <w:rsid w:val="0084719E"/>
    <w:rsid w:val="008500DE"/>
    <w:rsid w:val="008505D3"/>
    <w:rsid w:val="00850CB0"/>
    <w:rsid w:val="00850FAE"/>
    <w:rsid w:val="00851488"/>
    <w:rsid w:val="008514BD"/>
    <w:rsid w:val="008535C9"/>
    <w:rsid w:val="00853B11"/>
    <w:rsid w:val="00853D3A"/>
    <w:rsid w:val="00853F92"/>
    <w:rsid w:val="00854975"/>
    <w:rsid w:val="0085534C"/>
    <w:rsid w:val="008556AA"/>
    <w:rsid w:val="00855CD0"/>
    <w:rsid w:val="0085659C"/>
    <w:rsid w:val="00856749"/>
    <w:rsid w:val="00856AF5"/>
    <w:rsid w:val="008573B2"/>
    <w:rsid w:val="00857470"/>
    <w:rsid w:val="00857F92"/>
    <w:rsid w:val="0086042C"/>
    <w:rsid w:val="00860AF9"/>
    <w:rsid w:val="0086113C"/>
    <w:rsid w:val="00862ED8"/>
    <w:rsid w:val="008631D8"/>
    <w:rsid w:val="00863FC2"/>
    <w:rsid w:val="00864CE4"/>
    <w:rsid w:val="00865E7E"/>
    <w:rsid w:val="0086606D"/>
    <w:rsid w:val="00866853"/>
    <w:rsid w:val="0086711F"/>
    <w:rsid w:val="008672A9"/>
    <w:rsid w:val="00867AAD"/>
    <w:rsid w:val="00867C59"/>
    <w:rsid w:val="00867CAD"/>
    <w:rsid w:val="00867EE5"/>
    <w:rsid w:val="00870785"/>
    <w:rsid w:val="00870F4E"/>
    <w:rsid w:val="00870FBF"/>
    <w:rsid w:val="0087209B"/>
    <w:rsid w:val="008726D4"/>
    <w:rsid w:val="00873227"/>
    <w:rsid w:val="0087429C"/>
    <w:rsid w:val="008746FB"/>
    <w:rsid w:val="00874703"/>
    <w:rsid w:val="0087473C"/>
    <w:rsid w:val="00874D12"/>
    <w:rsid w:val="008751F7"/>
    <w:rsid w:val="0087562D"/>
    <w:rsid w:val="0087576D"/>
    <w:rsid w:val="00875B66"/>
    <w:rsid w:val="008762A9"/>
    <w:rsid w:val="0087656E"/>
    <w:rsid w:val="00876699"/>
    <w:rsid w:val="008766A5"/>
    <w:rsid w:val="00876A77"/>
    <w:rsid w:val="0087748A"/>
    <w:rsid w:val="00880F01"/>
    <w:rsid w:val="00881231"/>
    <w:rsid w:val="0088141D"/>
    <w:rsid w:val="00882911"/>
    <w:rsid w:val="008842AE"/>
    <w:rsid w:val="00884F16"/>
    <w:rsid w:val="00885158"/>
    <w:rsid w:val="00886CF2"/>
    <w:rsid w:val="0089030D"/>
    <w:rsid w:val="0089193E"/>
    <w:rsid w:val="00892BA2"/>
    <w:rsid w:val="00893B37"/>
    <w:rsid w:val="00894463"/>
    <w:rsid w:val="008955F1"/>
    <w:rsid w:val="0089586F"/>
    <w:rsid w:val="00895BAD"/>
    <w:rsid w:val="008960D4"/>
    <w:rsid w:val="008968B4"/>
    <w:rsid w:val="00896A2C"/>
    <w:rsid w:val="00896B1F"/>
    <w:rsid w:val="00896E37"/>
    <w:rsid w:val="0089704B"/>
    <w:rsid w:val="0089782B"/>
    <w:rsid w:val="00897B62"/>
    <w:rsid w:val="008A07D9"/>
    <w:rsid w:val="008A12DD"/>
    <w:rsid w:val="008A25A7"/>
    <w:rsid w:val="008A28E3"/>
    <w:rsid w:val="008A2B41"/>
    <w:rsid w:val="008A2DB8"/>
    <w:rsid w:val="008A2F3B"/>
    <w:rsid w:val="008A4988"/>
    <w:rsid w:val="008A56F0"/>
    <w:rsid w:val="008A5BC7"/>
    <w:rsid w:val="008A72DE"/>
    <w:rsid w:val="008A7483"/>
    <w:rsid w:val="008A791A"/>
    <w:rsid w:val="008B01AE"/>
    <w:rsid w:val="008B0DD4"/>
    <w:rsid w:val="008B10B2"/>
    <w:rsid w:val="008B1251"/>
    <w:rsid w:val="008B29FB"/>
    <w:rsid w:val="008B3135"/>
    <w:rsid w:val="008B3426"/>
    <w:rsid w:val="008B3F8F"/>
    <w:rsid w:val="008B4C1F"/>
    <w:rsid w:val="008B5180"/>
    <w:rsid w:val="008B563A"/>
    <w:rsid w:val="008B5E6B"/>
    <w:rsid w:val="008B60D9"/>
    <w:rsid w:val="008B719B"/>
    <w:rsid w:val="008B7292"/>
    <w:rsid w:val="008B77CC"/>
    <w:rsid w:val="008B7ABB"/>
    <w:rsid w:val="008B7D96"/>
    <w:rsid w:val="008C04E8"/>
    <w:rsid w:val="008C1050"/>
    <w:rsid w:val="008C1FBF"/>
    <w:rsid w:val="008C262F"/>
    <w:rsid w:val="008C2839"/>
    <w:rsid w:val="008C345F"/>
    <w:rsid w:val="008C39CB"/>
    <w:rsid w:val="008C3E45"/>
    <w:rsid w:val="008C3FA2"/>
    <w:rsid w:val="008C46DB"/>
    <w:rsid w:val="008C4FB6"/>
    <w:rsid w:val="008C592B"/>
    <w:rsid w:val="008C5DEC"/>
    <w:rsid w:val="008C6095"/>
    <w:rsid w:val="008C614B"/>
    <w:rsid w:val="008C6258"/>
    <w:rsid w:val="008C6565"/>
    <w:rsid w:val="008D082C"/>
    <w:rsid w:val="008D1016"/>
    <w:rsid w:val="008D26BD"/>
    <w:rsid w:val="008D3977"/>
    <w:rsid w:val="008D3B46"/>
    <w:rsid w:val="008D47C2"/>
    <w:rsid w:val="008D4BC5"/>
    <w:rsid w:val="008D4F8E"/>
    <w:rsid w:val="008D502A"/>
    <w:rsid w:val="008D537D"/>
    <w:rsid w:val="008D5462"/>
    <w:rsid w:val="008D5866"/>
    <w:rsid w:val="008D66B7"/>
    <w:rsid w:val="008D7D7F"/>
    <w:rsid w:val="008E0DA1"/>
    <w:rsid w:val="008E18B4"/>
    <w:rsid w:val="008E27B6"/>
    <w:rsid w:val="008E41F9"/>
    <w:rsid w:val="008E4305"/>
    <w:rsid w:val="008E4685"/>
    <w:rsid w:val="008E50F4"/>
    <w:rsid w:val="008E67D4"/>
    <w:rsid w:val="008E6D15"/>
    <w:rsid w:val="008E6D28"/>
    <w:rsid w:val="008E7ECC"/>
    <w:rsid w:val="008F0867"/>
    <w:rsid w:val="008F088E"/>
    <w:rsid w:val="008F0A5D"/>
    <w:rsid w:val="008F13EA"/>
    <w:rsid w:val="008F1984"/>
    <w:rsid w:val="008F1B18"/>
    <w:rsid w:val="008F24FE"/>
    <w:rsid w:val="008F28B6"/>
    <w:rsid w:val="008F2A9F"/>
    <w:rsid w:val="008F2DA5"/>
    <w:rsid w:val="008F2E0F"/>
    <w:rsid w:val="008F2EF8"/>
    <w:rsid w:val="008F30EB"/>
    <w:rsid w:val="008F397B"/>
    <w:rsid w:val="008F3EF9"/>
    <w:rsid w:val="008F4297"/>
    <w:rsid w:val="008F5314"/>
    <w:rsid w:val="008F6607"/>
    <w:rsid w:val="008F7336"/>
    <w:rsid w:val="009003B1"/>
    <w:rsid w:val="00901086"/>
    <w:rsid w:val="009015BA"/>
    <w:rsid w:val="009017D3"/>
    <w:rsid w:val="00901977"/>
    <w:rsid w:val="0090237E"/>
    <w:rsid w:val="00902A41"/>
    <w:rsid w:val="00902E9C"/>
    <w:rsid w:val="0090504C"/>
    <w:rsid w:val="00906410"/>
    <w:rsid w:val="00907C19"/>
    <w:rsid w:val="00907DEA"/>
    <w:rsid w:val="009116BE"/>
    <w:rsid w:val="00911FAD"/>
    <w:rsid w:val="009120D9"/>
    <w:rsid w:val="00912C68"/>
    <w:rsid w:val="00913879"/>
    <w:rsid w:val="00914FCD"/>
    <w:rsid w:val="00915BBA"/>
    <w:rsid w:val="00920DDE"/>
    <w:rsid w:val="00923BA9"/>
    <w:rsid w:val="009245F0"/>
    <w:rsid w:val="00924CA5"/>
    <w:rsid w:val="0092515C"/>
    <w:rsid w:val="00926348"/>
    <w:rsid w:val="009273A6"/>
    <w:rsid w:val="009276D5"/>
    <w:rsid w:val="00927E17"/>
    <w:rsid w:val="00930BAB"/>
    <w:rsid w:val="00930D05"/>
    <w:rsid w:val="00930D9B"/>
    <w:rsid w:val="00931755"/>
    <w:rsid w:val="00932189"/>
    <w:rsid w:val="00933A18"/>
    <w:rsid w:val="00933BB3"/>
    <w:rsid w:val="00934F45"/>
    <w:rsid w:val="009351CD"/>
    <w:rsid w:val="00935655"/>
    <w:rsid w:val="00937BC7"/>
    <w:rsid w:val="00937E29"/>
    <w:rsid w:val="00940296"/>
    <w:rsid w:val="00941BFF"/>
    <w:rsid w:val="0094292A"/>
    <w:rsid w:val="00942BE0"/>
    <w:rsid w:val="00942EFA"/>
    <w:rsid w:val="00943530"/>
    <w:rsid w:val="00943DDA"/>
    <w:rsid w:val="00944943"/>
    <w:rsid w:val="00945A62"/>
    <w:rsid w:val="00946959"/>
    <w:rsid w:val="00947189"/>
    <w:rsid w:val="0094766B"/>
    <w:rsid w:val="00947B83"/>
    <w:rsid w:val="00950D70"/>
    <w:rsid w:val="0095107A"/>
    <w:rsid w:val="00951275"/>
    <w:rsid w:val="00951DB1"/>
    <w:rsid w:val="0095429D"/>
    <w:rsid w:val="009549CD"/>
    <w:rsid w:val="00955F8A"/>
    <w:rsid w:val="00956427"/>
    <w:rsid w:val="0095748B"/>
    <w:rsid w:val="00960941"/>
    <w:rsid w:val="00960CAA"/>
    <w:rsid w:val="009614D0"/>
    <w:rsid w:val="00961DFE"/>
    <w:rsid w:val="00961EE1"/>
    <w:rsid w:val="009628EC"/>
    <w:rsid w:val="00962F02"/>
    <w:rsid w:val="009631B7"/>
    <w:rsid w:val="0096396C"/>
    <w:rsid w:val="00963C49"/>
    <w:rsid w:val="00964037"/>
    <w:rsid w:val="00964817"/>
    <w:rsid w:val="00964BFD"/>
    <w:rsid w:val="00964C36"/>
    <w:rsid w:val="0096623A"/>
    <w:rsid w:val="00966698"/>
    <w:rsid w:val="0096693E"/>
    <w:rsid w:val="00967050"/>
    <w:rsid w:val="00970275"/>
    <w:rsid w:val="0097117B"/>
    <w:rsid w:val="009712EE"/>
    <w:rsid w:val="00972125"/>
    <w:rsid w:val="00973668"/>
    <w:rsid w:val="00973C0B"/>
    <w:rsid w:val="00974208"/>
    <w:rsid w:val="009748D9"/>
    <w:rsid w:val="00975532"/>
    <w:rsid w:val="009759F2"/>
    <w:rsid w:val="00975AE4"/>
    <w:rsid w:val="00975C87"/>
    <w:rsid w:val="00976122"/>
    <w:rsid w:val="00976499"/>
    <w:rsid w:val="009768CF"/>
    <w:rsid w:val="00976A14"/>
    <w:rsid w:val="009778F5"/>
    <w:rsid w:val="009803FA"/>
    <w:rsid w:val="00983E46"/>
    <w:rsid w:val="0098561F"/>
    <w:rsid w:val="0098683F"/>
    <w:rsid w:val="00986F94"/>
    <w:rsid w:val="00987281"/>
    <w:rsid w:val="00987481"/>
    <w:rsid w:val="00991D53"/>
    <w:rsid w:val="00991F2F"/>
    <w:rsid w:val="0099260B"/>
    <w:rsid w:val="009928BA"/>
    <w:rsid w:val="009934F6"/>
    <w:rsid w:val="00993EB0"/>
    <w:rsid w:val="009946A0"/>
    <w:rsid w:val="00994984"/>
    <w:rsid w:val="00996F23"/>
    <w:rsid w:val="00997117"/>
    <w:rsid w:val="009A01B6"/>
    <w:rsid w:val="009A01D9"/>
    <w:rsid w:val="009A0B1F"/>
    <w:rsid w:val="009A0CA6"/>
    <w:rsid w:val="009A0F33"/>
    <w:rsid w:val="009A14D6"/>
    <w:rsid w:val="009A151B"/>
    <w:rsid w:val="009A1CFE"/>
    <w:rsid w:val="009A1D13"/>
    <w:rsid w:val="009A236D"/>
    <w:rsid w:val="009A282C"/>
    <w:rsid w:val="009A2D96"/>
    <w:rsid w:val="009A2EF2"/>
    <w:rsid w:val="009A4458"/>
    <w:rsid w:val="009A50B5"/>
    <w:rsid w:val="009A554F"/>
    <w:rsid w:val="009A584B"/>
    <w:rsid w:val="009A669F"/>
    <w:rsid w:val="009A6A6D"/>
    <w:rsid w:val="009A7E5F"/>
    <w:rsid w:val="009B09A6"/>
    <w:rsid w:val="009B0F89"/>
    <w:rsid w:val="009B1373"/>
    <w:rsid w:val="009B148F"/>
    <w:rsid w:val="009B189F"/>
    <w:rsid w:val="009B1CEE"/>
    <w:rsid w:val="009B23B2"/>
    <w:rsid w:val="009B2546"/>
    <w:rsid w:val="009B2D97"/>
    <w:rsid w:val="009B357C"/>
    <w:rsid w:val="009B38B2"/>
    <w:rsid w:val="009B3E92"/>
    <w:rsid w:val="009B4280"/>
    <w:rsid w:val="009B457C"/>
    <w:rsid w:val="009B4693"/>
    <w:rsid w:val="009B529C"/>
    <w:rsid w:val="009B637A"/>
    <w:rsid w:val="009B6A9C"/>
    <w:rsid w:val="009B7149"/>
    <w:rsid w:val="009B7583"/>
    <w:rsid w:val="009B7C54"/>
    <w:rsid w:val="009B7DDC"/>
    <w:rsid w:val="009B7F3C"/>
    <w:rsid w:val="009C06B0"/>
    <w:rsid w:val="009C16DB"/>
    <w:rsid w:val="009C2213"/>
    <w:rsid w:val="009C2234"/>
    <w:rsid w:val="009C2274"/>
    <w:rsid w:val="009C2805"/>
    <w:rsid w:val="009C2912"/>
    <w:rsid w:val="009C358B"/>
    <w:rsid w:val="009C4A8F"/>
    <w:rsid w:val="009C4B9F"/>
    <w:rsid w:val="009C5093"/>
    <w:rsid w:val="009C526B"/>
    <w:rsid w:val="009C55A2"/>
    <w:rsid w:val="009C60EF"/>
    <w:rsid w:val="009C6222"/>
    <w:rsid w:val="009C785F"/>
    <w:rsid w:val="009D0D3C"/>
    <w:rsid w:val="009D0EA5"/>
    <w:rsid w:val="009D1ABC"/>
    <w:rsid w:val="009D2CD6"/>
    <w:rsid w:val="009D55E8"/>
    <w:rsid w:val="009D5B0A"/>
    <w:rsid w:val="009D5B83"/>
    <w:rsid w:val="009D6715"/>
    <w:rsid w:val="009D72A6"/>
    <w:rsid w:val="009D749D"/>
    <w:rsid w:val="009D7643"/>
    <w:rsid w:val="009D7676"/>
    <w:rsid w:val="009E0103"/>
    <w:rsid w:val="009E0D57"/>
    <w:rsid w:val="009E1A78"/>
    <w:rsid w:val="009E1D88"/>
    <w:rsid w:val="009E2015"/>
    <w:rsid w:val="009E5A9A"/>
    <w:rsid w:val="009E643B"/>
    <w:rsid w:val="009E69C5"/>
    <w:rsid w:val="009E6B24"/>
    <w:rsid w:val="009E7734"/>
    <w:rsid w:val="009F0ABA"/>
    <w:rsid w:val="009F2A75"/>
    <w:rsid w:val="009F2E0B"/>
    <w:rsid w:val="009F3150"/>
    <w:rsid w:val="009F3B40"/>
    <w:rsid w:val="009F44C7"/>
    <w:rsid w:val="009F560B"/>
    <w:rsid w:val="009F64EC"/>
    <w:rsid w:val="009F6C08"/>
    <w:rsid w:val="009F745B"/>
    <w:rsid w:val="00A0005E"/>
    <w:rsid w:val="00A002AD"/>
    <w:rsid w:val="00A0056C"/>
    <w:rsid w:val="00A00809"/>
    <w:rsid w:val="00A0126B"/>
    <w:rsid w:val="00A0136A"/>
    <w:rsid w:val="00A03D92"/>
    <w:rsid w:val="00A0471A"/>
    <w:rsid w:val="00A05022"/>
    <w:rsid w:val="00A054E3"/>
    <w:rsid w:val="00A059A5"/>
    <w:rsid w:val="00A06C55"/>
    <w:rsid w:val="00A07BE7"/>
    <w:rsid w:val="00A07D5A"/>
    <w:rsid w:val="00A12AAF"/>
    <w:rsid w:val="00A133F6"/>
    <w:rsid w:val="00A13A39"/>
    <w:rsid w:val="00A13FD8"/>
    <w:rsid w:val="00A14980"/>
    <w:rsid w:val="00A15090"/>
    <w:rsid w:val="00A153EC"/>
    <w:rsid w:val="00A16707"/>
    <w:rsid w:val="00A167AD"/>
    <w:rsid w:val="00A16CAE"/>
    <w:rsid w:val="00A16FC7"/>
    <w:rsid w:val="00A17418"/>
    <w:rsid w:val="00A1774B"/>
    <w:rsid w:val="00A17AA7"/>
    <w:rsid w:val="00A200B8"/>
    <w:rsid w:val="00A2128E"/>
    <w:rsid w:val="00A21473"/>
    <w:rsid w:val="00A2170D"/>
    <w:rsid w:val="00A2185B"/>
    <w:rsid w:val="00A21E50"/>
    <w:rsid w:val="00A222BF"/>
    <w:rsid w:val="00A23B16"/>
    <w:rsid w:val="00A2454F"/>
    <w:rsid w:val="00A24DFD"/>
    <w:rsid w:val="00A25734"/>
    <w:rsid w:val="00A258CB"/>
    <w:rsid w:val="00A25BAA"/>
    <w:rsid w:val="00A26A13"/>
    <w:rsid w:val="00A27C8B"/>
    <w:rsid w:val="00A305BE"/>
    <w:rsid w:val="00A30F6A"/>
    <w:rsid w:val="00A31026"/>
    <w:rsid w:val="00A327A7"/>
    <w:rsid w:val="00A32973"/>
    <w:rsid w:val="00A32A51"/>
    <w:rsid w:val="00A33A53"/>
    <w:rsid w:val="00A3428B"/>
    <w:rsid w:val="00A3533D"/>
    <w:rsid w:val="00A35596"/>
    <w:rsid w:val="00A3566E"/>
    <w:rsid w:val="00A35AC4"/>
    <w:rsid w:val="00A36A37"/>
    <w:rsid w:val="00A36DFA"/>
    <w:rsid w:val="00A3762E"/>
    <w:rsid w:val="00A41266"/>
    <w:rsid w:val="00A414B6"/>
    <w:rsid w:val="00A415A3"/>
    <w:rsid w:val="00A41726"/>
    <w:rsid w:val="00A42941"/>
    <w:rsid w:val="00A42E48"/>
    <w:rsid w:val="00A440E8"/>
    <w:rsid w:val="00A451E5"/>
    <w:rsid w:val="00A4529A"/>
    <w:rsid w:val="00A4660F"/>
    <w:rsid w:val="00A46785"/>
    <w:rsid w:val="00A46C3F"/>
    <w:rsid w:val="00A478DC"/>
    <w:rsid w:val="00A479D6"/>
    <w:rsid w:val="00A51345"/>
    <w:rsid w:val="00A52333"/>
    <w:rsid w:val="00A52B7C"/>
    <w:rsid w:val="00A5397B"/>
    <w:rsid w:val="00A53FF0"/>
    <w:rsid w:val="00A553BF"/>
    <w:rsid w:val="00A559DC"/>
    <w:rsid w:val="00A563C8"/>
    <w:rsid w:val="00A566B6"/>
    <w:rsid w:val="00A568B9"/>
    <w:rsid w:val="00A578B6"/>
    <w:rsid w:val="00A605A7"/>
    <w:rsid w:val="00A60F1B"/>
    <w:rsid w:val="00A610C0"/>
    <w:rsid w:val="00A6141E"/>
    <w:rsid w:val="00A61860"/>
    <w:rsid w:val="00A62A3B"/>
    <w:rsid w:val="00A635C1"/>
    <w:rsid w:val="00A63780"/>
    <w:rsid w:val="00A64320"/>
    <w:rsid w:val="00A649BC"/>
    <w:rsid w:val="00A65BD0"/>
    <w:rsid w:val="00A67303"/>
    <w:rsid w:val="00A67ABB"/>
    <w:rsid w:val="00A702A4"/>
    <w:rsid w:val="00A706B1"/>
    <w:rsid w:val="00A70C59"/>
    <w:rsid w:val="00A70C69"/>
    <w:rsid w:val="00A70E17"/>
    <w:rsid w:val="00A716F2"/>
    <w:rsid w:val="00A71D04"/>
    <w:rsid w:val="00A71DB5"/>
    <w:rsid w:val="00A71EB8"/>
    <w:rsid w:val="00A7305A"/>
    <w:rsid w:val="00A73537"/>
    <w:rsid w:val="00A73B43"/>
    <w:rsid w:val="00A73F3F"/>
    <w:rsid w:val="00A74C49"/>
    <w:rsid w:val="00A74CB9"/>
    <w:rsid w:val="00A74FB3"/>
    <w:rsid w:val="00A769F1"/>
    <w:rsid w:val="00A77242"/>
    <w:rsid w:val="00A779C5"/>
    <w:rsid w:val="00A804DD"/>
    <w:rsid w:val="00A80BF1"/>
    <w:rsid w:val="00A80D75"/>
    <w:rsid w:val="00A80E2C"/>
    <w:rsid w:val="00A83005"/>
    <w:rsid w:val="00A836A1"/>
    <w:rsid w:val="00A84F4F"/>
    <w:rsid w:val="00A85039"/>
    <w:rsid w:val="00A868A5"/>
    <w:rsid w:val="00A870CB"/>
    <w:rsid w:val="00A9027F"/>
    <w:rsid w:val="00A91618"/>
    <w:rsid w:val="00A916F0"/>
    <w:rsid w:val="00A9274D"/>
    <w:rsid w:val="00A94253"/>
    <w:rsid w:val="00A949EC"/>
    <w:rsid w:val="00A95C08"/>
    <w:rsid w:val="00A972C0"/>
    <w:rsid w:val="00A974FD"/>
    <w:rsid w:val="00A97F84"/>
    <w:rsid w:val="00AA143A"/>
    <w:rsid w:val="00AA147B"/>
    <w:rsid w:val="00AA24D7"/>
    <w:rsid w:val="00AA2943"/>
    <w:rsid w:val="00AA37BB"/>
    <w:rsid w:val="00AA37C7"/>
    <w:rsid w:val="00AA386E"/>
    <w:rsid w:val="00AA46F0"/>
    <w:rsid w:val="00AA54E7"/>
    <w:rsid w:val="00AA5E79"/>
    <w:rsid w:val="00AA614F"/>
    <w:rsid w:val="00AA6998"/>
    <w:rsid w:val="00AA7743"/>
    <w:rsid w:val="00AA7F9D"/>
    <w:rsid w:val="00AB0D23"/>
    <w:rsid w:val="00AB13A0"/>
    <w:rsid w:val="00AB2079"/>
    <w:rsid w:val="00AB2A88"/>
    <w:rsid w:val="00AB2C7F"/>
    <w:rsid w:val="00AB312E"/>
    <w:rsid w:val="00AB3561"/>
    <w:rsid w:val="00AB3A45"/>
    <w:rsid w:val="00AB422A"/>
    <w:rsid w:val="00AB4334"/>
    <w:rsid w:val="00AB4572"/>
    <w:rsid w:val="00AB4C43"/>
    <w:rsid w:val="00AB5928"/>
    <w:rsid w:val="00AB6732"/>
    <w:rsid w:val="00AB6C4B"/>
    <w:rsid w:val="00AB75E3"/>
    <w:rsid w:val="00AB7FC2"/>
    <w:rsid w:val="00AC0A09"/>
    <w:rsid w:val="00AC0CC3"/>
    <w:rsid w:val="00AC14D6"/>
    <w:rsid w:val="00AC23C7"/>
    <w:rsid w:val="00AC2AD9"/>
    <w:rsid w:val="00AC3849"/>
    <w:rsid w:val="00AC43C0"/>
    <w:rsid w:val="00AC4430"/>
    <w:rsid w:val="00AC54F8"/>
    <w:rsid w:val="00AC7579"/>
    <w:rsid w:val="00AD12B2"/>
    <w:rsid w:val="00AD34CE"/>
    <w:rsid w:val="00AD3833"/>
    <w:rsid w:val="00AD43D2"/>
    <w:rsid w:val="00AD5306"/>
    <w:rsid w:val="00AD56E0"/>
    <w:rsid w:val="00AD5995"/>
    <w:rsid w:val="00AD6813"/>
    <w:rsid w:val="00AD6CDC"/>
    <w:rsid w:val="00AD6DF1"/>
    <w:rsid w:val="00AD6E17"/>
    <w:rsid w:val="00AD75F2"/>
    <w:rsid w:val="00AD7608"/>
    <w:rsid w:val="00AD7819"/>
    <w:rsid w:val="00AD7FE7"/>
    <w:rsid w:val="00AE0A9A"/>
    <w:rsid w:val="00AE1130"/>
    <w:rsid w:val="00AE1548"/>
    <w:rsid w:val="00AE2A52"/>
    <w:rsid w:val="00AE2F37"/>
    <w:rsid w:val="00AE33EA"/>
    <w:rsid w:val="00AE5423"/>
    <w:rsid w:val="00AE5A14"/>
    <w:rsid w:val="00AE6234"/>
    <w:rsid w:val="00AE6C71"/>
    <w:rsid w:val="00AE6CFD"/>
    <w:rsid w:val="00AF00F8"/>
    <w:rsid w:val="00AF0552"/>
    <w:rsid w:val="00AF137E"/>
    <w:rsid w:val="00AF19FF"/>
    <w:rsid w:val="00AF1ED2"/>
    <w:rsid w:val="00AF2409"/>
    <w:rsid w:val="00AF24FA"/>
    <w:rsid w:val="00AF2A7B"/>
    <w:rsid w:val="00AF2C54"/>
    <w:rsid w:val="00AF2D80"/>
    <w:rsid w:val="00AF310F"/>
    <w:rsid w:val="00AF3CC2"/>
    <w:rsid w:val="00AF4424"/>
    <w:rsid w:val="00AF44ED"/>
    <w:rsid w:val="00AF5E42"/>
    <w:rsid w:val="00AF6BE2"/>
    <w:rsid w:val="00AF6F58"/>
    <w:rsid w:val="00AF75A7"/>
    <w:rsid w:val="00AF7B93"/>
    <w:rsid w:val="00B016BB"/>
    <w:rsid w:val="00B01C16"/>
    <w:rsid w:val="00B01DD8"/>
    <w:rsid w:val="00B01FF3"/>
    <w:rsid w:val="00B02262"/>
    <w:rsid w:val="00B026F4"/>
    <w:rsid w:val="00B02C6E"/>
    <w:rsid w:val="00B03B42"/>
    <w:rsid w:val="00B03E7F"/>
    <w:rsid w:val="00B040F2"/>
    <w:rsid w:val="00B065E2"/>
    <w:rsid w:val="00B072F3"/>
    <w:rsid w:val="00B0767E"/>
    <w:rsid w:val="00B07C26"/>
    <w:rsid w:val="00B10463"/>
    <w:rsid w:val="00B12AD8"/>
    <w:rsid w:val="00B12D12"/>
    <w:rsid w:val="00B13194"/>
    <w:rsid w:val="00B144F2"/>
    <w:rsid w:val="00B14B59"/>
    <w:rsid w:val="00B14C93"/>
    <w:rsid w:val="00B156DB"/>
    <w:rsid w:val="00B15A79"/>
    <w:rsid w:val="00B15BB9"/>
    <w:rsid w:val="00B16032"/>
    <w:rsid w:val="00B170F5"/>
    <w:rsid w:val="00B206DF"/>
    <w:rsid w:val="00B22356"/>
    <w:rsid w:val="00B229C5"/>
    <w:rsid w:val="00B23563"/>
    <w:rsid w:val="00B2401A"/>
    <w:rsid w:val="00B24865"/>
    <w:rsid w:val="00B25136"/>
    <w:rsid w:val="00B25F06"/>
    <w:rsid w:val="00B31882"/>
    <w:rsid w:val="00B321AC"/>
    <w:rsid w:val="00B32DB2"/>
    <w:rsid w:val="00B332D8"/>
    <w:rsid w:val="00B3331F"/>
    <w:rsid w:val="00B3358F"/>
    <w:rsid w:val="00B33909"/>
    <w:rsid w:val="00B3424A"/>
    <w:rsid w:val="00B35B0E"/>
    <w:rsid w:val="00B35CF9"/>
    <w:rsid w:val="00B366D9"/>
    <w:rsid w:val="00B36A03"/>
    <w:rsid w:val="00B372D2"/>
    <w:rsid w:val="00B3787B"/>
    <w:rsid w:val="00B37E64"/>
    <w:rsid w:val="00B406AA"/>
    <w:rsid w:val="00B40930"/>
    <w:rsid w:val="00B419D1"/>
    <w:rsid w:val="00B427B3"/>
    <w:rsid w:val="00B42984"/>
    <w:rsid w:val="00B4395E"/>
    <w:rsid w:val="00B43EEA"/>
    <w:rsid w:val="00B44A50"/>
    <w:rsid w:val="00B44E0A"/>
    <w:rsid w:val="00B4749E"/>
    <w:rsid w:val="00B50C86"/>
    <w:rsid w:val="00B51ABF"/>
    <w:rsid w:val="00B51B99"/>
    <w:rsid w:val="00B52178"/>
    <w:rsid w:val="00B5226B"/>
    <w:rsid w:val="00B52A83"/>
    <w:rsid w:val="00B52F05"/>
    <w:rsid w:val="00B53668"/>
    <w:rsid w:val="00B53F6C"/>
    <w:rsid w:val="00B54086"/>
    <w:rsid w:val="00B542ED"/>
    <w:rsid w:val="00B55BE7"/>
    <w:rsid w:val="00B560AD"/>
    <w:rsid w:val="00B568AE"/>
    <w:rsid w:val="00B56BA7"/>
    <w:rsid w:val="00B56D52"/>
    <w:rsid w:val="00B57A88"/>
    <w:rsid w:val="00B57AE2"/>
    <w:rsid w:val="00B57CE1"/>
    <w:rsid w:val="00B57DF9"/>
    <w:rsid w:val="00B606F3"/>
    <w:rsid w:val="00B62541"/>
    <w:rsid w:val="00B627C8"/>
    <w:rsid w:val="00B62ED9"/>
    <w:rsid w:val="00B63E39"/>
    <w:rsid w:val="00B658D2"/>
    <w:rsid w:val="00B65AFA"/>
    <w:rsid w:val="00B66D31"/>
    <w:rsid w:val="00B66DBF"/>
    <w:rsid w:val="00B66DD3"/>
    <w:rsid w:val="00B70655"/>
    <w:rsid w:val="00B7158D"/>
    <w:rsid w:val="00B7169F"/>
    <w:rsid w:val="00B71E55"/>
    <w:rsid w:val="00B71F5C"/>
    <w:rsid w:val="00B72A6D"/>
    <w:rsid w:val="00B73685"/>
    <w:rsid w:val="00B7381D"/>
    <w:rsid w:val="00B73B4F"/>
    <w:rsid w:val="00B7477F"/>
    <w:rsid w:val="00B74E23"/>
    <w:rsid w:val="00B74EC4"/>
    <w:rsid w:val="00B756AD"/>
    <w:rsid w:val="00B75B1E"/>
    <w:rsid w:val="00B7637B"/>
    <w:rsid w:val="00B765EE"/>
    <w:rsid w:val="00B767F1"/>
    <w:rsid w:val="00B77850"/>
    <w:rsid w:val="00B778BD"/>
    <w:rsid w:val="00B8078B"/>
    <w:rsid w:val="00B8098F"/>
    <w:rsid w:val="00B80D5B"/>
    <w:rsid w:val="00B81626"/>
    <w:rsid w:val="00B81696"/>
    <w:rsid w:val="00B81EF4"/>
    <w:rsid w:val="00B835DB"/>
    <w:rsid w:val="00B8368B"/>
    <w:rsid w:val="00B845AD"/>
    <w:rsid w:val="00B8475A"/>
    <w:rsid w:val="00B84F96"/>
    <w:rsid w:val="00B86AED"/>
    <w:rsid w:val="00B87FD8"/>
    <w:rsid w:val="00B90B91"/>
    <w:rsid w:val="00B91C93"/>
    <w:rsid w:val="00B9214F"/>
    <w:rsid w:val="00B92C52"/>
    <w:rsid w:val="00B931A9"/>
    <w:rsid w:val="00B93663"/>
    <w:rsid w:val="00B9389A"/>
    <w:rsid w:val="00B94EFB"/>
    <w:rsid w:val="00B963AD"/>
    <w:rsid w:val="00B9746B"/>
    <w:rsid w:val="00B97822"/>
    <w:rsid w:val="00BA00F3"/>
    <w:rsid w:val="00BA0E69"/>
    <w:rsid w:val="00BA0FAA"/>
    <w:rsid w:val="00BA14E1"/>
    <w:rsid w:val="00BA2BBF"/>
    <w:rsid w:val="00BA2EB6"/>
    <w:rsid w:val="00BA30FD"/>
    <w:rsid w:val="00BA436B"/>
    <w:rsid w:val="00BA48AA"/>
    <w:rsid w:val="00BA4BBB"/>
    <w:rsid w:val="00BA57E1"/>
    <w:rsid w:val="00BA6000"/>
    <w:rsid w:val="00BA6012"/>
    <w:rsid w:val="00BA6537"/>
    <w:rsid w:val="00BA6B66"/>
    <w:rsid w:val="00BA6C02"/>
    <w:rsid w:val="00BA6ED6"/>
    <w:rsid w:val="00BB027A"/>
    <w:rsid w:val="00BB13D1"/>
    <w:rsid w:val="00BB1C07"/>
    <w:rsid w:val="00BB29E4"/>
    <w:rsid w:val="00BB2E4E"/>
    <w:rsid w:val="00BB35EA"/>
    <w:rsid w:val="00BB59B0"/>
    <w:rsid w:val="00BB6AB6"/>
    <w:rsid w:val="00BB7E67"/>
    <w:rsid w:val="00BC17E0"/>
    <w:rsid w:val="00BC1D93"/>
    <w:rsid w:val="00BC21A4"/>
    <w:rsid w:val="00BC4111"/>
    <w:rsid w:val="00BC59EC"/>
    <w:rsid w:val="00BC62D5"/>
    <w:rsid w:val="00BC6DA2"/>
    <w:rsid w:val="00BC6F91"/>
    <w:rsid w:val="00BC7611"/>
    <w:rsid w:val="00BD0AEC"/>
    <w:rsid w:val="00BD0F62"/>
    <w:rsid w:val="00BD14E4"/>
    <w:rsid w:val="00BD17E2"/>
    <w:rsid w:val="00BD20DF"/>
    <w:rsid w:val="00BD22E1"/>
    <w:rsid w:val="00BD2502"/>
    <w:rsid w:val="00BD257C"/>
    <w:rsid w:val="00BD3063"/>
    <w:rsid w:val="00BD3210"/>
    <w:rsid w:val="00BD34C4"/>
    <w:rsid w:val="00BD45C6"/>
    <w:rsid w:val="00BD4805"/>
    <w:rsid w:val="00BD4B4D"/>
    <w:rsid w:val="00BD5C42"/>
    <w:rsid w:val="00BD7254"/>
    <w:rsid w:val="00BD77E8"/>
    <w:rsid w:val="00BD7F0B"/>
    <w:rsid w:val="00BD7F5B"/>
    <w:rsid w:val="00BE09E2"/>
    <w:rsid w:val="00BE1353"/>
    <w:rsid w:val="00BE1745"/>
    <w:rsid w:val="00BE3216"/>
    <w:rsid w:val="00BE38FD"/>
    <w:rsid w:val="00BE463D"/>
    <w:rsid w:val="00BE479F"/>
    <w:rsid w:val="00BE4C07"/>
    <w:rsid w:val="00BE5FC2"/>
    <w:rsid w:val="00BE6483"/>
    <w:rsid w:val="00BE73EE"/>
    <w:rsid w:val="00BE748B"/>
    <w:rsid w:val="00BE74A1"/>
    <w:rsid w:val="00BE7842"/>
    <w:rsid w:val="00BE7ED6"/>
    <w:rsid w:val="00BF033B"/>
    <w:rsid w:val="00BF0B51"/>
    <w:rsid w:val="00BF192D"/>
    <w:rsid w:val="00BF1ACD"/>
    <w:rsid w:val="00BF1CE8"/>
    <w:rsid w:val="00BF36EC"/>
    <w:rsid w:val="00BF44E2"/>
    <w:rsid w:val="00BF4631"/>
    <w:rsid w:val="00BF4938"/>
    <w:rsid w:val="00BF551E"/>
    <w:rsid w:val="00BF5D02"/>
    <w:rsid w:val="00BF6417"/>
    <w:rsid w:val="00BF64BF"/>
    <w:rsid w:val="00BF71FF"/>
    <w:rsid w:val="00BF745E"/>
    <w:rsid w:val="00C00122"/>
    <w:rsid w:val="00C011E3"/>
    <w:rsid w:val="00C015E0"/>
    <w:rsid w:val="00C02FC5"/>
    <w:rsid w:val="00C036E0"/>
    <w:rsid w:val="00C03E35"/>
    <w:rsid w:val="00C03FDF"/>
    <w:rsid w:val="00C054B0"/>
    <w:rsid w:val="00C055BF"/>
    <w:rsid w:val="00C06E0E"/>
    <w:rsid w:val="00C115E8"/>
    <w:rsid w:val="00C1175D"/>
    <w:rsid w:val="00C11C49"/>
    <w:rsid w:val="00C11FC6"/>
    <w:rsid w:val="00C12458"/>
    <w:rsid w:val="00C12D53"/>
    <w:rsid w:val="00C150CA"/>
    <w:rsid w:val="00C15454"/>
    <w:rsid w:val="00C154D8"/>
    <w:rsid w:val="00C15692"/>
    <w:rsid w:val="00C15A48"/>
    <w:rsid w:val="00C16180"/>
    <w:rsid w:val="00C17271"/>
    <w:rsid w:val="00C176BE"/>
    <w:rsid w:val="00C202CE"/>
    <w:rsid w:val="00C21B56"/>
    <w:rsid w:val="00C21F51"/>
    <w:rsid w:val="00C22B07"/>
    <w:rsid w:val="00C2425E"/>
    <w:rsid w:val="00C243B8"/>
    <w:rsid w:val="00C24743"/>
    <w:rsid w:val="00C249FC"/>
    <w:rsid w:val="00C24C82"/>
    <w:rsid w:val="00C24D84"/>
    <w:rsid w:val="00C2527F"/>
    <w:rsid w:val="00C252DB"/>
    <w:rsid w:val="00C2736D"/>
    <w:rsid w:val="00C27510"/>
    <w:rsid w:val="00C30304"/>
    <w:rsid w:val="00C30E69"/>
    <w:rsid w:val="00C321D8"/>
    <w:rsid w:val="00C323FB"/>
    <w:rsid w:val="00C32DE0"/>
    <w:rsid w:val="00C32F6A"/>
    <w:rsid w:val="00C335C6"/>
    <w:rsid w:val="00C33890"/>
    <w:rsid w:val="00C349B8"/>
    <w:rsid w:val="00C34F0D"/>
    <w:rsid w:val="00C358D3"/>
    <w:rsid w:val="00C3648B"/>
    <w:rsid w:val="00C37188"/>
    <w:rsid w:val="00C3771E"/>
    <w:rsid w:val="00C41C6E"/>
    <w:rsid w:val="00C429C0"/>
    <w:rsid w:val="00C43260"/>
    <w:rsid w:val="00C43FE1"/>
    <w:rsid w:val="00C4577D"/>
    <w:rsid w:val="00C50DC4"/>
    <w:rsid w:val="00C513CC"/>
    <w:rsid w:val="00C5307E"/>
    <w:rsid w:val="00C53A91"/>
    <w:rsid w:val="00C54711"/>
    <w:rsid w:val="00C55818"/>
    <w:rsid w:val="00C55949"/>
    <w:rsid w:val="00C55AA8"/>
    <w:rsid w:val="00C567F0"/>
    <w:rsid w:val="00C56FCC"/>
    <w:rsid w:val="00C575D5"/>
    <w:rsid w:val="00C61A03"/>
    <w:rsid w:val="00C625F3"/>
    <w:rsid w:val="00C632F2"/>
    <w:rsid w:val="00C646D6"/>
    <w:rsid w:val="00C64A2C"/>
    <w:rsid w:val="00C64EAF"/>
    <w:rsid w:val="00C654C0"/>
    <w:rsid w:val="00C67200"/>
    <w:rsid w:val="00C6761C"/>
    <w:rsid w:val="00C67AFB"/>
    <w:rsid w:val="00C67C01"/>
    <w:rsid w:val="00C67D30"/>
    <w:rsid w:val="00C70850"/>
    <w:rsid w:val="00C7266B"/>
    <w:rsid w:val="00C728B3"/>
    <w:rsid w:val="00C72C26"/>
    <w:rsid w:val="00C753FB"/>
    <w:rsid w:val="00C757F5"/>
    <w:rsid w:val="00C75B12"/>
    <w:rsid w:val="00C76233"/>
    <w:rsid w:val="00C76325"/>
    <w:rsid w:val="00C763BD"/>
    <w:rsid w:val="00C77097"/>
    <w:rsid w:val="00C777AF"/>
    <w:rsid w:val="00C7794F"/>
    <w:rsid w:val="00C77B8D"/>
    <w:rsid w:val="00C80E95"/>
    <w:rsid w:val="00C81E80"/>
    <w:rsid w:val="00C831FD"/>
    <w:rsid w:val="00C8395F"/>
    <w:rsid w:val="00C83BB9"/>
    <w:rsid w:val="00C84EB7"/>
    <w:rsid w:val="00C8534D"/>
    <w:rsid w:val="00C857D6"/>
    <w:rsid w:val="00C85A5A"/>
    <w:rsid w:val="00C85B3F"/>
    <w:rsid w:val="00C86CC8"/>
    <w:rsid w:val="00C872C9"/>
    <w:rsid w:val="00C876DC"/>
    <w:rsid w:val="00C90606"/>
    <w:rsid w:val="00C90730"/>
    <w:rsid w:val="00C9234E"/>
    <w:rsid w:val="00C925F1"/>
    <w:rsid w:val="00C931ED"/>
    <w:rsid w:val="00C9359D"/>
    <w:rsid w:val="00C9373D"/>
    <w:rsid w:val="00C93DAC"/>
    <w:rsid w:val="00C9443D"/>
    <w:rsid w:val="00C94D13"/>
    <w:rsid w:val="00C95063"/>
    <w:rsid w:val="00C95AEF"/>
    <w:rsid w:val="00C95C42"/>
    <w:rsid w:val="00C96601"/>
    <w:rsid w:val="00C96EBA"/>
    <w:rsid w:val="00C97FC4"/>
    <w:rsid w:val="00CA074F"/>
    <w:rsid w:val="00CA0E41"/>
    <w:rsid w:val="00CA207D"/>
    <w:rsid w:val="00CA217F"/>
    <w:rsid w:val="00CA2366"/>
    <w:rsid w:val="00CA34B6"/>
    <w:rsid w:val="00CA399A"/>
    <w:rsid w:val="00CA3E05"/>
    <w:rsid w:val="00CA442F"/>
    <w:rsid w:val="00CA4505"/>
    <w:rsid w:val="00CA493E"/>
    <w:rsid w:val="00CA587E"/>
    <w:rsid w:val="00CA69C0"/>
    <w:rsid w:val="00CA7466"/>
    <w:rsid w:val="00CA7A54"/>
    <w:rsid w:val="00CB0E4F"/>
    <w:rsid w:val="00CB1065"/>
    <w:rsid w:val="00CB11DE"/>
    <w:rsid w:val="00CB272B"/>
    <w:rsid w:val="00CB51B2"/>
    <w:rsid w:val="00CB5797"/>
    <w:rsid w:val="00CB6B45"/>
    <w:rsid w:val="00CB6E6C"/>
    <w:rsid w:val="00CB724C"/>
    <w:rsid w:val="00CB787B"/>
    <w:rsid w:val="00CB7E0D"/>
    <w:rsid w:val="00CC01A9"/>
    <w:rsid w:val="00CC129E"/>
    <w:rsid w:val="00CC1FAA"/>
    <w:rsid w:val="00CC2918"/>
    <w:rsid w:val="00CC296C"/>
    <w:rsid w:val="00CC45F2"/>
    <w:rsid w:val="00CC499B"/>
    <w:rsid w:val="00CC4A16"/>
    <w:rsid w:val="00CC4D4E"/>
    <w:rsid w:val="00CC5E91"/>
    <w:rsid w:val="00CC770C"/>
    <w:rsid w:val="00CC784D"/>
    <w:rsid w:val="00CD1EDF"/>
    <w:rsid w:val="00CD25AA"/>
    <w:rsid w:val="00CD3A1A"/>
    <w:rsid w:val="00CD3A99"/>
    <w:rsid w:val="00CD4062"/>
    <w:rsid w:val="00CD51D3"/>
    <w:rsid w:val="00CD629E"/>
    <w:rsid w:val="00CD6D77"/>
    <w:rsid w:val="00CD6E92"/>
    <w:rsid w:val="00CD76A3"/>
    <w:rsid w:val="00CD7CF3"/>
    <w:rsid w:val="00CD7FA9"/>
    <w:rsid w:val="00CE0095"/>
    <w:rsid w:val="00CE0136"/>
    <w:rsid w:val="00CE08D0"/>
    <w:rsid w:val="00CE0900"/>
    <w:rsid w:val="00CE10BF"/>
    <w:rsid w:val="00CE19CD"/>
    <w:rsid w:val="00CE22B5"/>
    <w:rsid w:val="00CE2CA2"/>
    <w:rsid w:val="00CE3192"/>
    <w:rsid w:val="00CE3A52"/>
    <w:rsid w:val="00CE4902"/>
    <w:rsid w:val="00CE495F"/>
    <w:rsid w:val="00CE508C"/>
    <w:rsid w:val="00CE50C3"/>
    <w:rsid w:val="00CE5CEE"/>
    <w:rsid w:val="00CE669A"/>
    <w:rsid w:val="00CE6A61"/>
    <w:rsid w:val="00CE6CEF"/>
    <w:rsid w:val="00CE77C0"/>
    <w:rsid w:val="00CF06AB"/>
    <w:rsid w:val="00CF1F2C"/>
    <w:rsid w:val="00CF43BF"/>
    <w:rsid w:val="00CF4F22"/>
    <w:rsid w:val="00CF4FA7"/>
    <w:rsid w:val="00CF558F"/>
    <w:rsid w:val="00CF6879"/>
    <w:rsid w:val="00CF696F"/>
    <w:rsid w:val="00CF771F"/>
    <w:rsid w:val="00CF7B1A"/>
    <w:rsid w:val="00CF7C3D"/>
    <w:rsid w:val="00CF7DAD"/>
    <w:rsid w:val="00D01802"/>
    <w:rsid w:val="00D01D3F"/>
    <w:rsid w:val="00D02620"/>
    <w:rsid w:val="00D02EB2"/>
    <w:rsid w:val="00D02EB9"/>
    <w:rsid w:val="00D031AD"/>
    <w:rsid w:val="00D07E16"/>
    <w:rsid w:val="00D112D6"/>
    <w:rsid w:val="00D121A4"/>
    <w:rsid w:val="00D12443"/>
    <w:rsid w:val="00D12D93"/>
    <w:rsid w:val="00D12E66"/>
    <w:rsid w:val="00D12FB8"/>
    <w:rsid w:val="00D13680"/>
    <w:rsid w:val="00D13812"/>
    <w:rsid w:val="00D1406C"/>
    <w:rsid w:val="00D14637"/>
    <w:rsid w:val="00D15B6F"/>
    <w:rsid w:val="00D15F60"/>
    <w:rsid w:val="00D16133"/>
    <w:rsid w:val="00D161FE"/>
    <w:rsid w:val="00D16824"/>
    <w:rsid w:val="00D1683C"/>
    <w:rsid w:val="00D16A9D"/>
    <w:rsid w:val="00D17341"/>
    <w:rsid w:val="00D179CF"/>
    <w:rsid w:val="00D17B01"/>
    <w:rsid w:val="00D20546"/>
    <w:rsid w:val="00D21225"/>
    <w:rsid w:val="00D21E40"/>
    <w:rsid w:val="00D228CE"/>
    <w:rsid w:val="00D23E5D"/>
    <w:rsid w:val="00D24085"/>
    <w:rsid w:val="00D24C0E"/>
    <w:rsid w:val="00D2504C"/>
    <w:rsid w:val="00D25EB9"/>
    <w:rsid w:val="00D278ED"/>
    <w:rsid w:val="00D30318"/>
    <w:rsid w:val="00D30F50"/>
    <w:rsid w:val="00D3159C"/>
    <w:rsid w:val="00D315BE"/>
    <w:rsid w:val="00D31C44"/>
    <w:rsid w:val="00D31CD1"/>
    <w:rsid w:val="00D31F09"/>
    <w:rsid w:val="00D3261A"/>
    <w:rsid w:val="00D32A6A"/>
    <w:rsid w:val="00D32F2B"/>
    <w:rsid w:val="00D333E9"/>
    <w:rsid w:val="00D334F3"/>
    <w:rsid w:val="00D33B9C"/>
    <w:rsid w:val="00D35330"/>
    <w:rsid w:val="00D356E1"/>
    <w:rsid w:val="00D37B9F"/>
    <w:rsid w:val="00D406DC"/>
    <w:rsid w:val="00D40D7C"/>
    <w:rsid w:val="00D41012"/>
    <w:rsid w:val="00D415A5"/>
    <w:rsid w:val="00D415A8"/>
    <w:rsid w:val="00D432E7"/>
    <w:rsid w:val="00D449BA"/>
    <w:rsid w:val="00D451B8"/>
    <w:rsid w:val="00D46803"/>
    <w:rsid w:val="00D46824"/>
    <w:rsid w:val="00D50555"/>
    <w:rsid w:val="00D50FE4"/>
    <w:rsid w:val="00D52E5B"/>
    <w:rsid w:val="00D52EC8"/>
    <w:rsid w:val="00D530C4"/>
    <w:rsid w:val="00D53740"/>
    <w:rsid w:val="00D54799"/>
    <w:rsid w:val="00D547F4"/>
    <w:rsid w:val="00D54E7C"/>
    <w:rsid w:val="00D55438"/>
    <w:rsid w:val="00D55918"/>
    <w:rsid w:val="00D6024E"/>
    <w:rsid w:val="00D607B4"/>
    <w:rsid w:val="00D61856"/>
    <w:rsid w:val="00D621BE"/>
    <w:rsid w:val="00D62680"/>
    <w:rsid w:val="00D62C8D"/>
    <w:rsid w:val="00D633AC"/>
    <w:rsid w:val="00D63FAD"/>
    <w:rsid w:val="00D642BC"/>
    <w:rsid w:val="00D64A16"/>
    <w:rsid w:val="00D653DF"/>
    <w:rsid w:val="00D65490"/>
    <w:rsid w:val="00D658CF"/>
    <w:rsid w:val="00D65C9A"/>
    <w:rsid w:val="00D67047"/>
    <w:rsid w:val="00D672B6"/>
    <w:rsid w:val="00D71383"/>
    <w:rsid w:val="00D714BB"/>
    <w:rsid w:val="00D730CD"/>
    <w:rsid w:val="00D73C24"/>
    <w:rsid w:val="00D741B7"/>
    <w:rsid w:val="00D74440"/>
    <w:rsid w:val="00D74459"/>
    <w:rsid w:val="00D74612"/>
    <w:rsid w:val="00D75A2F"/>
    <w:rsid w:val="00D7607A"/>
    <w:rsid w:val="00D76F39"/>
    <w:rsid w:val="00D76F60"/>
    <w:rsid w:val="00D77382"/>
    <w:rsid w:val="00D773A1"/>
    <w:rsid w:val="00D77BBC"/>
    <w:rsid w:val="00D80754"/>
    <w:rsid w:val="00D80949"/>
    <w:rsid w:val="00D816DA"/>
    <w:rsid w:val="00D81814"/>
    <w:rsid w:val="00D8485D"/>
    <w:rsid w:val="00D84D98"/>
    <w:rsid w:val="00D84FC9"/>
    <w:rsid w:val="00D853E3"/>
    <w:rsid w:val="00D865E4"/>
    <w:rsid w:val="00D87C9F"/>
    <w:rsid w:val="00D90483"/>
    <w:rsid w:val="00D90852"/>
    <w:rsid w:val="00D90E70"/>
    <w:rsid w:val="00D914DC"/>
    <w:rsid w:val="00D91CA3"/>
    <w:rsid w:val="00D9346F"/>
    <w:rsid w:val="00D94973"/>
    <w:rsid w:val="00D95167"/>
    <w:rsid w:val="00D95325"/>
    <w:rsid w:val="00D956AD"/>
    <w:rsid w:val="00D95A19"/>
    <w:rsid w:val="00D966F9"/>
    <w:rsid w:val="00D9705D"/>
    <w:rsid w:val="00D97793"/>
    <w:rsid w:val="00D97DC7"/>
    <w:rsid w:val="00D97FCA"/>
    <w:rsid w:val="00DA3410"/>
    <w:rsid w:val="00DA3996"/>
    <w:rsid w:val="00DA41BA"/>
    <w:rsid w:val="00DA526A"/>
    <w:rsid w:val="00DA5748"/>
    <w:rsid w:val="00DA5B16"/>
    <w:rsid w:val="00DA5CD2"/>
    <w:rsid w:val="00DA65B5"/>
    <w:rsid w:val="00DA6FBC"/>
    <w:rsid w:val="00DA7B95"/>
    <w:rsid w:val="00DB0271"/>
    <w:rsid w:val="00DB12F8"/>
    <w:rsid w:val="00DB1592"/>
    <w:rsid w:val="00DB21D7"/>
    <w:rsid w:val="00DB26B0"/>
    <w:rsid w:val="00DB54FF"/>
    <w:rsid w:val="00DB5BF4"/>
    <w:rsid w:val="00DB5E78"/>
    <w:rsid w:val="00DB616A"/>
    <w:rsid w:val="00DB6A02"/>
    <w:rsid w:val="00DB7285"/>
    <w:rsid w:val="00DB7E61"/>
    <w:rsid w:val="00DC0E64"/>
    <w:rsid w:val="00DC194B"/>
    <w:rsid w:val="00DC1CD6"/>
    <w:rsid w:val="00DC2618"/>
    <w:rsid w:val="00DC28C6"/>
    <w:rsid w:val="00DC295E"/>
    <w:rsid w:val="00DC2DB2"/>
    <w:rsid w:val="00DC3B3A"/>
    <w:rsid w:val="00DC3D5E"/>
    <w:rsid w:val="00DC400A"/>
    <w:rsid w:val="00DC4553"/>
    <w:rsid w:val="00DC46A1"/>
    <w:rsid w:val="00DC47B3"/>
    <w:rsid w:val="00DC6AFB"/>
    <w:rsid w:val="00DD16E1"/>
    <w:rsid w:val="00DD176A"/>
    <w:rsid w:val="00DD2DC6"/>
    <w:rsid w:val="00DD2F14"/>
    <w:rsid w:val="00DD3342"/>
    <w:rsid w:val="00DD33F5"/>
    <w:rsid w:val="00DD3E3E"/>
    <w:rsid w:val="00DD4344"/>
    <w:rsid w:val="00DD4510"/>
    <w:rsid w:val="00DD4898"/>
    <w:rsid w:val="00DD4935"/>
    <w:rsid w:val="00DD61C2"/>
    <w:rsid w:val="00DD6695"/>
    <w:rsid w:val="00DD6CFC"/>
    <w:rsid w:val="00DE0768"/>
    <w:rsid w:val="00DE0865"/>
    <w:rsid w:val="00DE0FDC"/>
    <w:rsid w:val="00DE100A"/>
    <w:rsid w:val="00DE14A3"/>
    <w:rsid w:val="00DE1AC4"/>
    <w:rsid w:val="00DE262B"/>
    <w:rsid w:val="00DE3D8A"/>
    <w:rsid w:val="00DE45D2"/>
    <w:rsid w:val="00DE48BD"/>
    <w:rsid w:val="00DE497A"/>
    <w:rsid w:val="00DE5D9B"/>
    <w:rsid w:val="00DE6B55"/>
    <w:rsid w:val="00DF09A2"/>
    <w:rsid w:val="00DF0DB7"/>
    <w:rsid w:val="00DF0EF2"/>
    <w:rsid w:val="00DF115A"/>
    <w:rsid w:val="00DF17E1"/>
    <w:rsid w:val="00DF18B7"/>
    <w:rsid w:val="00DF1B50"/>
    <w:rsid w:val="00DF1C30"/>
    <w:rsid w:val="00DF1F78"/>
    <w:rsid w:val="00DF33F4"/>
    <w:rsid w:val="00DF3AEF"/>
    <w:rsid w:val="00DF3E2E"/>
    <w:rsid w:val="00DF57C2"/>
    <w:rsid w:val="00DF5CC3"/>
    <w:rsid w:val="00DF631A"/>
    <w:rsid w:val="00DF7345"/>
    <w:rsid w:val="00DF7591"/>
    <w:rsid w:val="00DF7A2D"/>
    <w:rsid w:val="00DF7A8C"/>
    <w:rsid w:val="00DF7C63"/>
    <w:rsid w:val="00E00237"/>
    <w:rsid w:val="00E004D3"/>
    <w:rsid w:val="00E01895"/>
    <w:rsid w:val="00E0190C"/>
    <w:rsid w:val="00E021A5"/>
    <w:rsid w:val="00E029D0"/>
    <w:rsid w:val="00E039BB"/>
    <w:rsid w:val="00E03CF9"/>
    <w:rsid w:val="00E04025"/>
    <w:rsid w:val="00E04A26"/>
    <w:rsid w:val="00E05D17"/>
    <w:rsid w:val="00E069AC"/>
    <w:rsid w:val="00E06ADC"/>
    <w:rsid w:val="00E07FCF"/>
    <w:rsid w:val="00E10935"/>
    <w:rsid w:val="00E10B8C"/>
    <w:rsid w:val="00E112D8"/>
    <w:rsid w:val="00E11879"/>
    <w:rsid w:val="00E12761"/>
    <w:rsid w:val="00E1354A"/>
    <w:rsid w:val="00E1404B"/>
    <w:rsid w:val="00E14216"/>
    <w:rsid w:val="00E14947"/>
    <w:rsid w:val="00E14C88"/>
    <w:rsid w:val="00E15D10"/>
    <w:rsid w:val="00E160FE"/>
    <w:rsid w:val="00E16C47"/>
    <w:rsid w:val="00E17391"/>
    <w:rsid w:val="00E2038D"/>
    <w:rsid w:val="00E203D5"/>
    <w:rsid w:val="00E2082A"/>
    <w:rsid w:val="00E20CC8"/>
    <w:rsid w:val="00E2205D"/>
    <w:rsid w:val="00E23C80"/>
    <w:rsid w:val="00E24063"/>
    <w:rsid w:val="00E24CA5"/>
    <w:rsid w:val="00E24EFC"/>
    <w:rsid w:val="00E2608B"/>
    <w:rsid w:val="00E267F5"/>
    <w:rsid w:val="00E30C4A"/>
    <w:rsid w:val="00E30F82"/>
    <w:rsid w:val="00E31982"/>
    <w:rsid w:val="00E319B3"/>
    <w:rsid w:val="00E31B0E"/>
    <w:rsid w:val="00E3264B"/>
    <w:rsid w:val="00E3268C"/>
    <w:rsid w:val="00E32C4E"/>
    <w:rsid w:val="00E32E8A"/>
    <w:rsid w:val="00E34496"/>
    <w:rsid w:val="00E349D7"/>
    <w:rsid w:val="00E34D6D"/>
    <w:rsid w:val="00E34FF4"/>
    <w:rsid w:val="00E36A02"/>
    <w:rsid w:val="00E37AC8"/>
    <w:rsid w:val="00E4033D"/>
    <w:rsid w:val="00E40844"/>
    <w:rsid w:val="00E435E5"/>
    <w:rsid w:val="00E43766"/>
    <w:rsid w:val="00E43B01"/>
    <w:rsid w:val="00E4437F"/>
    <w:rsid w:val="00E449DD"/>
    <w:rsid w:val="00E45B48"/>
    <w:rsid w:val="00E46610"/>
    <w:rsid w:val="00E46E13"/>
    <w:rsid w:val="00E47B06"/>
    <w:rsid w:val="00E50094"/>
    <w:rsid w:val="00E50701"/>
    <w:rsid w:val="00E508AD"/>
    <w:rsid w:val="00E50A2C"/>
    <w:rsid w:val="00E52134"/>
    <w:rsid w:val="00E5220A"/>
    <w:rsid w:val="00E5237F"/>
    <w:rsid w:val="00E52980"/>
    <w:rsid w:val="00E53088"/>
    <w:rsid w:val="00E53E59"/>
    <w:rsid w:val="00E54514"/>
    <w:rsid w:val="00E5605E"/>
    <w:rsid w:val="00E61F9F"/>
    <w:rsid w:val="00E62025"/>
    <w:rsid w:val="00E633EA"/>
    <w:rsid w:val="00E63E72"/>
    <w:rsid w:val="00E645B4"/>
    <w:rsid w:val="00E649A3"/>
    <w:rsid w:val="00E64EBA"/>
    <w:rsid w:val="00E6603F"/>
    <w:rsid w:val="00E66F78"/>
    <w:rsid w:val="00E678E5"/>
    <w:rsid w:val="00E70A6E"/>
    <w:rsid w:val="00E71079"/>
    <w:rsid w:val="00E7119C"/>
    <w:rsid w:val="00E73327"/>
    <w:rsid w:val="00E73E4C"/>
    <w:rsid w:val="00E746A5"/>
    <w:rsid w:val="00E748A3"/>
    <w:rsid w:val="00E75036"/>
    <w:rsid w:val="00E752F1"/>
    <w:rsid w:val="00E755F1"/>
    <w:rsid w:val="00E75B45"/>
    <w:rsid w:val="00E76DA0"/>
    <w:rsid w:val="00E76F05"/>
    <w:rsid w:val="00E776FB"/>
    <w:rsid w:val="00E779B2"/>
    <w:rsid w:val="00E779D3"/>
    <w:rsid w:val="00E80AC7"/>
    <w:rsid w:val="00E8218E"/>
    <w:rsid w:val="00E82ABE"/>
    <w:rsid w:val="00E836B9"/>
    <w:rsid w:val="00E837C1"/>
    <w:rsid w:val="00E83BBF"/>
    <w:rsid w:val="00E83F2A"/>
    <w:rsid w:val="00E84477"/>
    <w:rsid w:val="00E846C7"/>
    <w:rsid w:val="00E851A2"/>
    <w:rsid w:val="00E8573F"/>
    <w:rsid w:val="00E86D41"/>
    <w:rsid w:val="00E87EDF"/>
    <w:rsid w:val="00E90116"/>
    <w:rsid w:val="00E902EA"/>
    <w:rsid w:val="00E9074E"/>
    <w:rsid w:val="00E91ABB"/>
    <w:rsid w:val="00E92361"/>
    <w:rsid w:val="00E93B21"/>
    <w:rsid w:val="00E9433B"/>
    <w:rsid w:val="00E95A8D"/>
    <w:rsid w:val="00E96463"/>
    <w:rsid w:val="00E96604"/>
    <w:rsid w:val="00E968E0"/>
    <w:rsid w:val="00E96F51"/>
    <w:rsid w:val="00E97B29"/>
    <w:rsid w:val="00E97DCE"/>
    <w:rsid w:val="00E97EFE"/>
    <w:rsid w:val="00EA015B"/>
    <w:rsid w:val="00EA01EA"/>
    <w:rsid w:val="00EA030C"/>
    <w:rsid w:val="00EA0B48"/>
    <w:rsid w:val="00EA1C6B"/>
    <w:rsid w:val="00EA2DC8"/>
    <w:rsid w:val="00EA3B44"/>
    <w:rsid w:val="00EA3F0C"/>
    <w:rsid w:val="00EA4652"/>
    <w:rsid w:val="00EA4654"/>
    <w:rsid w:val="00EA512F"/>
    <w:rsid w:val="00EA7CE8"/>
    <w:rsid w:val="00EA7DE1"/>
    <w:rsid w:val="00EB006A"/>
    <w:rsid w:val="00EB02A9"/>
    <w:rsid w:val="00EB07D2"/>
    <w:rsid w:val="00EB082C"/>
    <w:rsid w:val="00EB0CD6"/>
    <w:rsid w:val="00EB20C2"/>
    <w:rsid w:val="00EB25FD"/>
    <w:rsid w:val="00EB3080"/>
    <w:rsid w:val="00EB46E1"/>
    <w:rsid w:val="00EB4800"/>
    <w:rsid w:val="00EB4BC6"/>
    <w:rsid w:val="00EB6097"/>
    <w:rsid w:val="00EB6F35"/>
    <w:rsid w:val="00EB7F96"/>
    <w:rsid w:val="00EC0B52"/>
    <w:rsid w:val="00EC0CBB"/>
    <w:rsid w:val="00EC1E39"/>
    <w:rsid w:val="00EC2321"/>
    <w:rsid w:val="00EC35B6"/>
    <w:rsid w:val="00EC36D7"/>
    <w:rsid w:val="00EC4586"/>
    <w:rsid w:val="00EC46DB"/>
    <w:rsid w:val="00EC4BB7"/>
    <w:rsid w:val="00EC5560"/>
    <w:rsid w:val="00EC58E6"/>
    <w:rsid w:val="00EC6879"/>
    <w:rsid w:val="00EC6E65"/>
    <w:rsid w:val="00EC6EE2"/>
    <w:rsid w:val="00ED0A11"/>
    <w:rsid w:val="00ED0C07"/>
    <w:rsid w:val="00ED182F"/>
    <w:rsid w:val="00ED1B60"/>
    <w:rsid w:val="00ED2FA0"/>
    <w:rsid w:val="00ED3A44"/>
    <w:rsid w:val="00ED3AFF"/>
    <w:rsid w:val="00ED4E0E"/>
    <w:rsid w:val="00ED4E54"/>
    <w:rsid w:val="00ED5335"/>
    <w:rsid w:val="00ED6C0D"/>
    <w:rsid w:val="00ED7618"/>
    <w:rsid w:val="00EE0496"/>
    <w:rsid w:val="00EE089B"/>
    <w:rsid w:val="00EE0B98"/>
    <w:rsid w:val="00EE0EA1"/>
    <w:rsid w:val="00EE13A2"/>
    <w:rsid w:val="00EE18AC"/>
    <w:rsid w:val="00EE1A26"/>
    <w:rsid w:val="00EE22A2"/>
    <w:rsid w:val="00EE35ED"/>
    <w:rsid w:val="00EE3A7D"/>
    <w:rsid w:val="00EE51C1"/>
    <w:rsid w:val="00EE5355"/>
    <w:rsid w:val="00EE57D7"/>
    <w:rsid w:val="00EE5996"/>
    <w:rsid w:val="00EE5B37"/>
    <w:rsid w:val="00EE636C"/>
    <w:rsid w:val="00EE6C0B"/>
    <w:rsid w:val="00EF0372"/>
    <w:rsid w:val="00EF1D3D"/>
    <w:rsid w:val="00EF29BC"/>
    <w:rsid w:val="00EF2AD9"/>
    <w:rsid w:val="00EF2DB2"/>
    <w:rsid w:val="00EF3DC3"/>
    <w:rsid w:val="00EF46AD"/>
    <w:rsid w:val="00EF49A6"/>
    <w:rsid w:val="00EF4C5D"/>
    <w:rsid w:val="00EF5301"/>
    <w:rsid w:val="00EF53EA"/>
    <w:rsid w:val="00EF6092"/>
    <w:rsid w:val="00EF6184"/>
    <w:rsid w:val="00EF632E"/>
    <w:rsid w:val="00EF6AC6"/>
    <w:rsid w:val="00EF7314"/>
    <w:rsid w:val="00F005BC"/>
    <w:rsid w:val="00F01916"/>
    <w:rsid w:val="00F02EA2"/>
    <w:rsid w:val="00F03FF8"/>
    <w:rsid w:val="00F0695D"/>
    <w:rsid w:val="00F078F0"/>
    <w:rsid w:val="00F1047B"/>
    <w:rsid w:val="00F10966"/>
    <w:rsid w:val="00F110AB"/>
    <w:rsid w:val="00F1193B"/>
    <w:rsid w:val="00F12DFF"/>
    <w:rsid w:val="00F13857"/>
    <w:rsid w:val="00F13C09"/>
    <w:rsid w:val="00F1490E"/>
    <w:rsid w:val="00F14922"/>
    <w:rsid w:val="00F16B57"/>
    <w:rsid w:val="00F177DE"/>
    <w:rsid w:val="00F17C9D"/>
    <w:rsid w:val="00F17D0E"/>
    <w:rsid w:val="00F17DFE"/>
    <w:rsid w:val="00F20F06"/>
    <w:rsid w:val="00F22CC8"/>
    <w:rsid w:val="00F22E95"/>
    <w:rsid w:val="00F23203"/>
    <w:rsid w:val="00F23D40"/>
    <w:rsid w:val="00F24177"/>
    <w:rsid w:val="00F2424B"/>
    <w:rsid w:val="00F24B45"/>
    <w:rsid w:val="00F25A93"/>
    <w:rsid w:val="00F267C1"/>
    <w:rsid w:val="00F3060C"/>
    <w:rsid w:val="00F30B97"/>
    <w:rsid w:val="00F30C35"/>
    <w:rsid w:val="00F30F46"/>
    <w:rsid w:val="00F311E8"/>
    <w:rsid w:val="00F314C4"/>
    <w:rsid w:val="00F3226B"/>
    <w:rsid w:val="00F323B4"/>
    <w:rsid w:val="00F3279B"/>
    <w:rsid w:val="00F33EA4"/>
    <w:rsid w:val="00F34AEE"/>
    <w:rsid w:val="00F361BB"/>
    <w:rsid w:val="00F36C31"/>
    <w:rsid w:val="00F36D93"/>
    <w:rsid w:val="00F40042"/>
    <w:rsid w:val="00F40399"/>
    <w:rsid w:val="00F4053B"/>
    <w:rsid w:val="00F40E8A"/>
    <w:rsid w:val="00F41A69"/>
    <w:rsid w:val="00F4205C"/>
    <w:rsid w:val="00F425AA"/>
    <w:rsid w:val="00F425F5"/>
    <w:rsid w:val="00F426CA"/>
    <w:rsid w:val="00F42A6B"/>
    <w:rsid w:val="00F42F8C"/>
    <w:rsid w:val="00F43200"/>
    <w:rsid w:val="00F436A5"/>
    <w:rsid w:val="00F43CF4"/>
    <w:rsid w:val="00F451E0"/>
    <w:rsid w:val="00F4521E"/>
    <w:rsid w:val="00F462A2"/>
    <w:rsid w:val="00F46377"/>
    <w:rsid w:val="00F468B2"/>
    <w:rsid w:val="00F46E79"/>
    <w:rsid w:val="00F501C4"/>
    <w:rsid w:val="00F50CA8"/>
    <w:rsid w:val="00F53599"/>
    <w:rsid w:val="00F5415E"/>
    <w:rsid w:val="00F54CB8"/>
    <w:rsid w:val="00F5573F"/>
    <w:rsid w:val="00F55825"/>
    <w:rsid w:val="00F561DD"/>
    <w:rsid w:val="00F5696B"/>
    <w:rsid w:val="00F569C1"/>
    <w:rsid w:val="00F56EF0"/>
    <w:rsid w:val="00F5771C"/>
    <w:rsid w:val="00F579C6"/>
    <w:rsid w:val="00F57C29"/>
    <w:rsid w:val="00F6133E"/>
    <w:rsid w:val="00F614F7"/>
    <w:rsid w:val="00F61881"/>
    <w:rsid w:val="00F63568"/>
    <w:rsid w:val="00F638F0"/>
    <w:rsid w:val="00F63BF0"/>
    <w:rsid w:val="00F6402D"/>
    <w:rsid w:val="00F6484F"/>
    <w:rsid w:val="00F64B71"/>
    <w:rsid w:val="00F65907"/>
    <w:rsid w:val="00F6724D"/>
    <w:rsid w:val="00F70196"/>
    <w:rsid w:val="00F70621"/>
    <w:rsid w:val="00F711C7"/>
    <w:rsid w:val="00F713DA"/>
    <w:rsid w:val="00F72250"/>
    <w:rsid w:val="00F73EB7"/>
    <w:rsid w:val="00F744E0"/>
    <w:rsid w:val="00F7455C"/>
    <w:rsid w:val="00F747A0"/>
    <w:rsid w:val="00F747E9"/>
    <w:rsid w:val="00F74D59"/>
    <w:rsid w:val="00F75361"/>
    <w:rsid w:val="00F75C9E"/>
    <w:rsid w:val="00F811DE"/>
    <w:rsid w:val="00F81797"/>
    <w:rsid w:val="00F82C8D"/>
    <w:rsid w:val="00F832B7"/>
    <w:rsid w:val="00F83F5A"/>
    <w:rsid w:val="00F842A8"/>
    <w:rsid w:val="00F8474F"/>
    <w:rsid w:val="00F84AA3"/>
    <w:rsid w:val="00F86890"/>
    <w:rsid w:val="00F868BE"/>
    <w:rsid w:val="00F87338"/>
    <w:rsid w:val="00F90068"/>
    <w:rsid w:val="00F90246"/>
    <w:rsid w:val="00F90309"/>
    <w:rsid w:val="00F9047E"/>
    <w:rsid w:val="00F90C0B"/>
    <w:rsid w:val="00F91230"/>
    <w:rsid w:val="00F91F55"/>
    <w:rsid w:val="00F92638"/>
    <w:rsid w:val="00F92F13"/>
    <w:rsid w:val="00F93548"/>
    <w:rsid w:val="00F93A81"/>
    <w:rsid w:val="00F95AF3"/>
    <w:rsid w:val="00F960C1"/>
    <w:rsid w:val="00F96BC0"/>
    <w:rsid w:val="00F974BD"/>
    <w:rsid w:val="00F9786D"/>
    <w:rsid w:val="00F97DC7"/>
    <w:rsid w:val="00F97F87"/>
    <w:rsid w:val="00F97FF3"/>
    <w:rsid w:val="00FA06F5"/>
    <w:rsid w:val="00FA3EAB"/>
    <w:rsid w:val="00FA4829"/>
    <w:rsid w:val="00FA4C55"/>
    <w:rsid w:val="00FA53FC"/>
    <w:rsid w:val="00FA56B3"/>
    <w:rsid w:val="00FA58FB"/>
    <w:rsid w:val="00FA6A27"/>
    <w:rsid w:val="00FA74D0"/>
    <w:rsid w:val="00FA783F"/>
    <w:rsid w:val="00FA7D7B"/>
    <w:rsid w:val="00FB0D7C"/>
    <w:rsid w:val="00FB0F23"/>
    <w:rsid w:val="00FB241B"/>
    <w:rsid w:val="00FB2B27"/>
    <w:rsid w:val="00FB3321"/>
    <w:rsid w:val="00FB38E3"/>
    <w:rsid w:val="00FB3AAD"/>
    <w:rsid w:val="00FB3FC2"/>
    <w:rsid w:val="00FB3FCB"/>
    <w:rsid w:val="00FB445A"/>
    <w:rsid w:val="00FB47F5"/>
    <w:rsid w:val="00FB4894"/>
    <w:rsid w:val="00FB4D0B"/>
    <w:rsid w:val="00FB57D5"/>
    <w:rsid w:val="00FB604F"/>
    <w:rsid w:val="00FB71D5"/>
    <w:rsid w:val="00FC0BD5"/>
    <w:rsid w:val="00FC0D35"/>
    <w:rsid w:val="00FC13A5"/>
    <w:rsid w:val="00FC1FA4"/>
    <w:rsid w:val="00FC29C4"/>
    <w:rsid w:val="00FC2BC4"/>
    <w:rsid w:val="00FC3118"/>
    <w:rsid w:val="00FC3B91"/>
    <w:rsid w:val="00FC3C2E"/>
    <w:rsid w:val="00FC3E54"/>
    <w:rsid w:val="00FC42EE"/>
    <w:rsid w:val="00FC44D4"/>
    <w:rsid w:val="00FC58C8"/>
    <w:rsid w:val="00FC5F17"/>
    <w:rsid w:val="00FC66B6"/>
    <w:rsid w:val="00FC679F"/>
    <w:rsid w:val="00FC6DCE"/>
    <w:rsid w:val="00FC71E4"/>
    <w:rsid w:val="00FD0658"/>
    <w:rsid w:val="00FD130F"/>
    <w:rsid w:val="00FD1815"/>
    <w:rsid w:val="00FD1EAD"/>
    <w:rsid w:val="00FD2E3C"/>
    <w:rsid w:val="00FD3CED"/>
    <w:rsid w:val="00FD43F2"/>
    <w:rsid w:val="00FD4744"/>
    <w:rsid w:val="00FD5C8A"/>
    <w:rsid w:val="00FD5D68"/>
    <w:rsid w:val="00FD645A"/>
    <w:rsid w:val="00FD6A16"/>
    <w:rsid w:val="00FD6BEB"/>
    <w:rsid w:val="00FD6E00"/>
    <w:rsid w:val="00FD7668"/>
    <w:rsid w:val="00FD773A"/>
    <w:rsid w:val="00FD7891"/>
    <w:rsid w:val="00FD7945"/>
    <w:rsid w:val="00FD7FBF"/>
    <w:rsid w:val="00FE01CA"/>
    <w:rsid w:val="00FE05CB"/>
    <w:rsid w:val="00FE0816"/>
    <w:rsid w:val="00FE15CE"/>
    <w:rsid w:val="00FE18AE"/>
    <w:rsid w:val="00FE24A2"/>
    <w:rsid w:val="00FE33F8"/>
    <w:rsid w:val="00FE383E"/>
    <w:rsid w:val="00FE3D43"/>
    <w:rsid w:val="00FE3DB8"/>
    <w:rsid w:val="00FE45BE"/>
    <w:rsid w:val="00FE66BF"/>
    <w:rsid w:val="00FE760E"/>
    <w:rsid w:val="00FE777D"/>
    <w:rsid w:val="00FF018E"/>
    <w:rsid w:val="00FF078C"/>
    <w:rsid w:val="00FF31A5"/>
    <w:rsid w:val="00FF3306"/>
    <w:rsid w:val="00FF3B73"/>
    <w:rsid w:val="00FF4C54"/>
    <w:rsid w:val="00FF53E5"/>
    <w:rsid w:val="00FF5675"/>
    <w:rsid w:val="00FF5871"/>
    <w:rsid w:val="00FF603E"/>
    <w:rsid w:val="00FF69D4"/>
    <w:rsid w:val="00FF7496"/>
    <w:rsid w:val="015A7B22"/>
    <w:rsid w:val="0692252E"/>
    <w:rsid w:val="07D5D115"/>
    <w:rsid w:val="093A21B1"/>
    <w:rsid w:val="150CA15D"/>
    <w:rsid w:val="1FDA4F1F"/>
    <w:rsid w:val="23573AB7"/>
    <w:rsid w:val="26D1B540"/>
    <w:rsid w:val="273FB295"/>
    <w:rsid w:val="274E5F0F"/>
    <w:rsid w:val="27B9C7BB"/>
    <w:rsid w:val="35C68769"/>
    <w:rsid w:val="374A1F7F"/>
    <w:rsid w:val="37C9C1A4"/>
    <w:rsid w:val="3B6C2A25"/>
    <w:rsid w:val="3D5763D0"/>
    <w:rsid w:val="44B408FB"/>
    <w:rsid w:val="46CB97F9"/>
    <w:rsid w:val="48DE979F"/>
    <w:rsid w:val="4A7A6800"/>
    <w:rsid w:val="55CAD8FA"/>
    <w:rsid w:val="56F78794"/>
    <w:rsid w:val="608E2EAD"/>
    <w:rsid w:val="6379FCD4"/>
    <w:rsid w:val="671131B7"/>
    <w:rsid w:val="672EA4A0"/>
    <w:rsid w:val="686A0873"/>
    <w:rsid w:val="6FEA4FBB"/>
    <w:rsid w:val="736353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8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6E"/>
    <w:pPr>
      <w:spacing w:before="240" w:after="120" w:line="240" w:lineRule="auto"/>
    </w:pPr>
    <w:rPr>
      <w:rFonts w:ascii="Arial" w:hAnsi="Arial" w:cs="Arial"/>
      <w:sz w:val="24"/>
    </w:rPr>
  </w:style>
  <w:style w:type="paragraph" w:styleId="Heading1">
    <w:name w:val="heading 1"/>
    <w:next w:val="Normal"/>
    <w:link w:val="Heading1Char"/>
    <w:qFormat/>
    <w:rsid w:val="002D0D8E"/>
    <w:pPr>
      <w:keepNext/>
      <w:spacing w:before="240" w:after="120" w:line="240" w:lineRule="auto"/>
      <w:outlineLvl w:val="0"/>
    </w:pPr>
    <w:rPr>
      <w:rFonts w:ascii="Arial" w:hAnsi="Arial" w:cs="Arial"/>
      <w:b/>
      <w:color w:val="000000" w:themeColor="text1"/>
      <w:sz w:val="36"/>
      <w:szCs w:val="32"/>
    </w:rPr>
  </w:style>
  <w:style w:type="paragraph" w:styleId="Heading2">
    <w:name w:val="heading 2"/>
    <w:next w:val="Normal"/>
    <w:link w:val="Heading2Char"/>
    <w:uiPriority w:val="99"/>
    <w:unhideWhenUsed/>
    <w:qFormat/>
    <w:rsid w:val="00B51ABF"/>
    <w:pPr>
      <w:keepNext/>
      <w:numPr>
        <w:numId w:val="3"/>
      </w:numPr>
      <w:spacing w:before="240" w:after="120" w:line="240" w:lineRule="auto"/>
      <w:outlineLvl w:val="1"/>
    </w:pPr>
    <w:rPr>
      <w:rFonts w:ascii="Arial" w:hAnsi="Arial" w:cs="Arial"/>
      <w:b/>
      <w:sz w:val="28"/>
    </w:rPr>
  </w:style>
  <w:style w:type="paragraph" w:styleId="Heading3">
    <w:name w:val="heading 3"/>
    <w:next w:val="Normal"/>
    <w:link w:val="Heading3Char"/>
    <w:uiPriority w:val="9"/>
    <w:unhideWhenUsed/>
    <w:qFormat/>
    <w:rsid w:val="00E1404B"/>
    <w:pPr>
      <w:keepNext/>
      <w:spacing w:before="240" w:after="120" w:line="240" w:lineRule="auto"/>
      <w:outlineLvl w:val="2"/>
    </w:pPr>
    <w:rPr>
      <w:rFonts w:ascii="Arial" w:hAnsi="Arial" w:cs="Arial"/>
      <w:b/>
      <w:color w:val="00577D"/>
      <w:sz w:val="24"/>
    </w:rPr>
  </w:style>
  <w:style w:type="paragraph" w:styleId="Heading5">
    <w:name w:val="heading 5"/>
    <w:basedOn w:val="ListParagraph"/>
    <w:next w:val="Normal"/>
    <w:link w:val="Heading5Char"/>
    <w:unhideWhenUsed/>
    <w:qFormat/>
    <w:rsid w:val="007D53B7"/>
    <w:pPr>
      <w:numPr>
        <w:numId w:val="4"/>
      </w:numPr>
      <w:spacing w:before="120" w:line="276" w:lineRule="auto"/>
      <w:outlineLvl w:val="4"/>
    </w:pPr>
    <w:rPr>
      <w:rFonts w:ascii="Fira Sans Light" w:eastAsiaTheme="minorEastAsia" w:hAnsi="Fira Sans Light" w:cstheme="minorBidi"/>
    </w:rPr>
  </w:style>
  <w:style w:type="paragraph" w:styleId="Heading7">
    <w:name w:val="heading 7"/>
    <w:basedOn w:val="Normal"/>
    <w:next w:val="Normal"/>
    <w:link w:val="Heading7Char"/>
    <w:uiPriority w:val="99"/>
    <w:unhideWhenUsed/>
    <w:qFormat/>
    <w:rsid w:val="00FE383E"/>
    <w:pPr>
      <w:spacing w:before="120" w:after="0" w:line="276" w:lineRule="auto"/>
      <w:outlineLvl w:val="6"/>
    </w:pPr>
    <w:rPr>
      <w:rFonts w:ascii="Fira Sans Light" w:eastAsiaTheme="majorEastAsia" w:hAnsi="Fira Sans Light" w:cstheme="majorBidi"/>
      <w:i/>
      <w:iCs/>
    </w:rPr>
  </w:style>
  <w:style w:type="paragraph" w:styleId="Heading8">
    <w:name w:val="heading 8"/>
    <w:basedOn w:val="Normal"/>
    <w:next w:val="Normal"/>
    <w:link w:val="Heading8Char"/>
    <w:uiPriority w:val="9"/>
    <w:semiHidden/>
    <w:unhideWhenUsed/>
    <w:qFormat/>
    <w:rsid w:val="0046507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43625"/>
    <w:pPr>
      <w:spacing w:before="320" w:after="600"/>
    </w:pPr>
    <w:rPr>
      <w:rFonts w:ascii="Arial" w:hAnsi="Arial" w:cs="Arial"/>
      <w:b/>
      <w:color w:val="FFFFFF" w:themeColor="background1"/>
      <w:sz w:val="72"/>
    </w:rPr>
  </w:style>
  <w:style w:type="character" w:customStyle="1" w:styleId="TitleChar">
    <w:name w:val="Title Char"/>
    <w:basedOn w:val="DefaultParagraphFont"/>
    <w:link w:val="Title"/>
    <w:uiPriority w:val="10"/>
    <w:rsid w:val="00043625"/>
    <w:rPr>
      <w:rFonts w:ascii="Arial" w:hAnsi="Arial" w:cs="Arial"/>
      <w:b/>
      <w:color w:val="FFFFFF" w:themeColor="background1"/>
      <w:sz w:val="72"/>
    </w:rPr>
  </w:style>
  <w:style w:type="paragraph" w:styleId="Subtitle">
    <w:name w:val="Subtitle"/>
    <w:next w:val="Normal"/>
    <w:link w:val="SubtitleChar"/>
    <w:uiPriority w:val="11"/>
    <w:qFormat/>
    <w:rsid w:val="00043625"/>
    <w:pPr>
      <w:keepNext/>
    </w:pPr>
    <w:rPr>
      <w:rFonts w:ascii="Arial" w:hAnsi="Arial" w:cs="Arial"/>
      <w:b/>
      <w:color w:val="000000" w:themeColor="text1"/>
      <w:sz w:val="56"/>
      <w:szCs w:val="32"/>
    </w:rPr>
  </w:style>
  <w:style w:type="character" w:customStyle="1" w:styleId="SubtitleChar">
    <w:name w:val="Subtitle Char"/>
    <w:basedOn w:val="DefaultParagraphFont"/>
    <w:link w:val="Subtitle"/>
    <w:uiPriority w:val="11"/>
    <w:rsid w:val="00043625"/>
    <w:rPr>
      <w:rFonts w:ascii="Arial" w:hAnsi="Arial" w:cs="Arial"/>
      <w:b/>
      <w:color w:val="000000" w:themeColor="text1"/>
      <w:sz w:val="56"/>
      <w:szCs w:val="32"/>
    </w:rPr>
  </w:style>
  <w:style w:type="character" w:customStyle="1" w:styleId="Heading1Char">
    <w:name w:val="Heading 1 Char"/>
    <w:basedOn w:val="DefaultParagraphFont"/>
    <w:link w:val="Heading1"/>
    <w:uiPriority w:val="9"/>
    <w:rsid w:val="002D0D8E"/>
    <w:rPr>
      <w:rFonts w:ascii="Arial" w:hAnsi="Arial" w:cs="Arial"/>
      <w:b/>
      <w:color w:val="000000" w:themeColor="text1"/>
      <w:sz w:val="36"/>
      <w:szCs w:val="32"/>
    </w:rPr>
  </w:style>
  <w:style w:type="character" w:customStyle="1" w:styleId="Heading2Char">
    <w:name w:val="Heading 2 Char"/>
    <w:basedOn w:val="DefaultParagraphFont"/>
    <w:link w:val="Heading2"/>
    <w:uiPriority w:val="99"/>
    <w:rsid w:val="00B51ABF"/>
    <w:rPr>
      <w:rFonts w:ascii="Arial" w:hAnsi="Arial" w:cs="Arial"/>
      <w:b/>
      <w:sz w:val="28"/>
    </w:rPr>
  </w:style>
  <w:style w:type="character" w:customStyle="1" w:styleId="Heading3Char">
    <w:name w:val="Heading 3 Char"/>
    <w:basedOn w:val="DefaultParagraphFont"/>
    <w:link w:val="Heading3"/>
    <w:uiPriority w:val="9"/>
    <w:rsid w:val="00E1404B"/>
    <w:rPr>
      <w:rFonts w:ascii="Arial" w:hAnsi="Arial" w:cs="Arial"/>
      <w:b/>
      <w:color w:val="00577D"/>
      <w:sz w:val="24"/>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34"/>
    <w:qFormat/>
    <w:rsid w:val="006F1923"/>
    <w:pPr>
      <w:ind w:left="720"/>
      <w:contextualSpacing/>
    </w:pPr>
  </w:style>
  <w:style w:type="paragraph" w:styleId="ListBullet">
    <w:name w:val="List Bullet"/>
    <w:basedOn w:val="ListParagraph"/>
    <w:uiPriority w:val="99"/>
    <w:unhideWhenUsed/>
    <w:rsid w:val="00867EE5"/>
    <w:pPr>
      <w:numPr>
        <w:numId w:val="1"/>
      </w:numPr>
      <w:contextualSpacing w:val="0"/>
    </w:pPr>
  </w:style>
  <w:style w:type="paragraph" w:styleId="ListBullet2">
    <w:name w:val="List Bullet 2"/>
    <w:basedOn w:val="ListParagraph"/>
    <w:uiPriority w:val="99"/>
    <w:unhideWhenUsed/>
    <w:rsid w:val="006F1923"/>
    <w:pPr>
      <w:numPr>
        <w:ilvl w:val="1"/>
        <w:numId w:val="1"/>
      </w:numPr>
      <w:ind w:left="851" w:hanging="425"/>
      <w:contextualSpacing w:val="0"/>
    </w:pPr>
  </w:style>
  <w:style w:type="paragraph" w:styleId="ListBullet3">
    <w:name w:val="List Bullet 3"/>
    <w:basedOn w:val="ListParagraph"/>
    <w:uiPriority w:val="99"/>
    <w:unhideWhenUsed/>
    <w:rsid w:val="006F1923"/>
    <w:pPr>
      <w:numPr>
        <w:ilvl w:val="2"/>
        <w:numId w:val="1"/>
      </w:numPr>
      <w:ind w:left="1276" w:hanging="425"/>
      <w:contextualSpacing w:val="0"/>
    </w:pPr>
  </w:style>
  <w:style w:type="paragraph" w:styleId="ListNumber">
    <w:name w:val="List Number"/>
    <w:basedOn w:val="ListParagraph"/>
    <w:uiPriority w:val="99"/>
    <w:unhideWhenUsed/>
    <w:rsid w:val="006F1923"/>
    <w:pPr>
      <w:numPr>
        <w:numId w:val="2"/>
      </w:numPr>
      <w:contextualSpacing w:val="0"/>
    </w:pPr>
  </w:style>
  <w:style w:type="paragraph" w:styleId="ListNumber2">
    <w:name w:val="List Number 2"/>
    <w:basedOn w:val="ListParagraph"/>
    <w:uiPriority w:val="99"/>
    <w:unhideWhenUsed/>
    <w:rsid w:val="006F1923"/>
    <w:pPr>
      <w:numPr>
        <w:ilvl w:val="1"/>
        <w:numId w:val="2"/>
      </w:numPr>
      <w:contextualSpacing w:val="0"/>
    </w:pPr>
  </w:style>
  <w:style w:type="paragraph" w:styleId="ListNumber3">
    <w:name w:val="List Number 3"/>
    <w:basedOn w:val="ListParagraph"/>
    <w:uiPriority w:val="99"/>
    <w:unhideWhenUsed/>
    <w:rsid w:val="006F1923"/>
    <w:pPr>
      <w:numPr>
        <w:ilvl w:val="2"/>
        <w:numId w:val="2"/>
      </w:numPr>
      <w:contextualSpacing w:val="0"/>
    </w:pPr>
  </w:style>
  <w:style w:type="table" w:customStyle="1" w:styleId="TableGrid1">
    <w:name w:val="Table Grid1"/>
    <w:basedOn w:val="TableNormal"/>
    <w:next w:val="TableGrid"/>
    <w:uiPriority w:val="59"/>
    <w:rsid w:val="006F192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23"/>
    <w:pPr>
      <w:tabs>
        <w:tab w:val="center" w:pos="4513"/>
        <w:tab w:val="right" w:pos="9026"/>
      </w:tabs>
      <w:spacing w:before="0" w:after="0"/>
    </w:pPr>
  </w:style>
  <w:style w:type="character" w:customStyle="1" w:styleId="HeaderChar">
    <w:name w:val="Header Char"/>
    <w:basedOn w:val="DefaultParagraphFont"/>
    <w:link w:val="Header"/>
    <w:uiPriority w:val="99"/>
    <w:rsid w:val="006F1923"/>
    <w:rPr>
      <w:rFonts w:ascii="Arial" w:hAnsi="Arial" w:cs="Arial"/>
      <w:sz w:val="24"/>
    </w:rPr>
  </w:style>
  <w:style w:type="paragraph" w:styleId="Footer">
    <w:name w:val="footer"/>
    <w:basedOn w:val="Normal"/>
    <w:link w:val="FooterChar"/>
    <w:uiPriority w:val="99"/>
    <w:unhideWhenUsed/>
    <w:rsid w:val="006F1923"/>
    <w:pPr>
      <w:tabs>
        <w:tab w:val="center" w:pos="4513"/>
        <w:tab w:val="right" w:pos="9026"/>
      </w:tabs>
      <w:spacing w:before="0" w:after="0"/>
    </w:pPr>
  </w:style>
  <w:style w:type="character" w:customStyle="1" w:styleId="FooterChar">
    <w:name w:val="Footer Char"/>
    <w:basedOn w:val="DefaultParagraphFont"/>
    <w:link w:val="Footer"/>
    <w:uiPriority w:val="99"/>
    <w:rsid w:val="006F1923"/>
    <w:rPr>
      <w:rFonts w:ascii="Arial" w:hAnsi="Arial" w:cs="Arial"/>
      <w:sz w:val="24"/>
    </w:rPr>
  </w:style>
  <w:style w:type="character" w:styleId="CommentReference">
    <w:name w:val="annotation reference"/>
    <w:basedOn w:val="DefaultParagraphFont"/>
    <w:uiPriority w:val="99"/>
    <w:unhideWhenUsed/>
    <w:rsid w:val="00F4053B"/>
    <w:rPr>
      <w:sz w:val="16"/>
      <w:szCs w:val="16"/>
    </w:rPr>
  </w:style>
  <w:style w:type="paragraph" w:styleId="CommentText">
    <w:name w:val="annotation text"/>
    <w:basedOn w:val="Normal"/>
    <w:link w:val="CommentTextChar"/>
    <w:uiPriority w:val="99"/>
    <w:unhideWhenUsed/>
    <w:rsid w:val="00F4053B"/>
    <w:rPr>
      <w:sz w:val="20"/>
      <w:szCs w:val="20"/>
    </w:rPr>
  </w:style>
  <w:style w:type="character" w:customStyle="1" w:styleId="CommentTextChar">
    <w:name w:val="Comment Text Char"/>
    <w:basedOn w:val="DefaultParagraphFont"/>
    <w:link w:val="CommentText"/>
    <w:uiPriority w:val="99"/>
    <w:rsid w:val="00F405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053B"/>
    <w:rPr>
      <w:b/>
      <w:bCs/>
    </w:rPr>
  </w:style>
  <w:style w:type="character" w:customStyle="1" w:styleId="CommentSubjectChar">
    <w:name w:val="Comment Subject Char"/>
    <w:basedOn w:val="CommentTextChar"/>
    <w:link w:val="CommentSubject"/>
    <w:uiPriority w:val="99"/>
    <w:semiHidden/>
    <w:rsid w:val="00F4053B"/>
    <w:rPr>
      <w:rFonts w:ascii="Arial" w:hAnsi="Arial" w:cs="Arial"/>
      <w:b/>
      <w:bCs/>
      <w:sz w:val="20"/>
      <w:szCs w:val="20"/>
    </w:rPr>
  </w:style>
  <w:style w:type="paragraph" w:styleId="BalloonText">
    <w:name w:val="Balloon Text"/>
    <w:basedOn w:val="Normal"/>
    <w:link w:val="BalloonTextChar"/>
    <w:uiPriority w:val="99"/>
    <w:semiHidden/>
    <w:unhideWhenUsed/>
    <w:rsid w:val="00F405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B"/>
    <w:rPr>
      <w:rFonts w:ascii="Segoe UI" w:hAnsi="Segoe UI" w:cs="Segoe UI"/>
      <w:sz w:val="18"/>
      <w:szCs w:val="18"/>
    </w:rPr>
  </w:style>
  <w:style w:type="character" w:styleId="Hyperlink">
    <w:name w:val="Hyperlink"/>
    <w:basedOn w:val="DefaultParagraphFont"/>
    <w:uiPriority w:val="99"/>
    <w:unhideWhenUsed/>
    <w:rsid w:val="00F4053B"/>
    <w:rPr>
      <w:color w:val="0563C1" w:themeColor="hyperlink"/>
      <w:u w:val="single"/>
    </w:rPr>
  </w:style>
  <w:style w:type="character" w:customStyle="1" w:styleId="UnresolvedMention1">
    <w:name w:val="Unresolved Mention1"/>
    <w:basedOn w:val="DefaultParagraphFont"/>
    <w:uiPriority w:val="99"/>
    <w:semiHidden/>
    <w:unhideWhenUsed/>
    <w:rsid w:val="00F4053B"/>
    <w:rPr>
      <w:color w:val="605E5C"/>
      <w:shd w:val="clear" w:color="auto" w:fill="E1DFDD"/>
    </w:rPr>
  </w:style>
  <w:style w:type="paragraph" w:styleId="FootnoteText">
    <w:name w:val="footnote text"/>
    <w:basedOn w:val="Normal"/>
    <w:link w:val="FootnoteTextChar"/>
    <w:uiPriority w:val="99"/>
    <w:semiHidden/>
    <w:unhideWhenUsed/>
    <w:rsid w:val="00BD3063"/>
    <w:pPr>
      <w:spacing w:before="0" w:after="0"/>
    </w:pPr>
    <w:rPr>
      <w:sz w:val="20"/>
      <w:szCs w:val="20"/>
    </w:rPr>
  </w:style>
  <w:style w:type="character" w:customStyle="1" w:styleId="FootnoteTextChar">
    <w:name w:val="Footnote Text Char"/>
    <w:basedOn w:val="DefaultParagraphFont"/>
    <w:link w:val="FootnoteText"/>
    <w:uiPriority w:val="99"/>
    <w:semiHidden/>
    <w:rsid w:val="00BD3063"/>
    <w:rPr>
      <w:rFonts w:ascii="Arial" w:hAnsi="Arial" w:cs="Arial"/>
      <w:sz w:val="20"/>
      <w:szCs w:val="20"/>
    </w:rPr>
  </w:style>
  <w:style w:type="character" w:styleId="FootnoteReference">
    <w:name w:val="footnote reference"/>
    <w:basedOn w:val="DefaultParagraphFont"/>
    <w:uiPriority w:val="99"/>
    <w:semiHidden/>
    <w:unhideWhenUsed/>
    <w:rsid w:val="00BD3063"/>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34"/>
    <w:rsid w:val="0008183F"/>
    <w:rPr>
      <w:rFonts w:ascii="Arial" w:hAnsi="Arial" w:cs="Arial"/>
      <w:sz w:val="24"/>
    </w:rPr>
  </w:style>
  <w:style w:type="paragraph" w:styleId="NormalWeb">
    <w:name w:val="Normal (Web)"/>
    <w:basedOn w:val="Normal"/>
    <w:uiPriority w:val="99"/>
    <w:unhideWhenUsed/>
    <w:rsid w:val="00066BCF"/>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E6483"/>
  </w:style>
  <w:style w:type="paragraph" w:styleId="NoSpacing">
    <w:name w:val="No Spacing"/>
    <w:uiPriority w:val="1"/>
    <w:qFormat/>
    <w:rsid w:val="00151641"/>
    <w:pPr>
      <w:spacing w:after="0" w:line="240" w:lineRule="auto"/>
    </w:pPr>
    <w:rPr>
      <w:rFonts w:ascii="Arial" w:hAnsi="Arial" w:cs="Arial"/>
      <w:sz w:val="24"/>
    </w:rPr>
  </w:style>
  <w:style w:type="paragraph" w:styleId="Revision">
    <w:name w:val="Revision"/>
    <w:hidden/>
    <w:uiPriority w:val="99"/>
    <w:semiHidden/>
    <w:rsid w:val="00B52F05"/>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933BB3"/>
    <w:rPr>
      <w:color w:val="954F72" w:themeColor="followedHyperlink"/>
      <w:u w:val="single"/>
    </w:rPr>
  </w:style>
  <w:style w:type="character" w:styleId="Emphasis">
    <w:name w:val="Emphasis"/>
    <w:basedOn w:val="DefaultParagraphFont"/>
    <w:uiPriority w:val="20"/>
    <w:qFormat/>
    <w:rsid w:val="00E5605E"/>
    <w:rPr>
      <w:i/>
      <w:iCs/>
    </w:rPr>
  </w:style>
  <w:style w:type="paragraph" w:customStyle="1" w:styleId="Tabletextleft">
    <w:name w:val="Table text left"/>
    <w:autoRedefine/>
    <w:qFormat/>
    <w:locked/>
    <w:rsid w:val="001022EC"/>
    <w:pPr>
      <w:spacing w:before="60" w:after="60" w:line="240" w:lineRule="auto"/>
    </w:pPr>
    <w:rPr>
      <w:rFonts w:ascii="Arial" w:eastAsia="Times New Roman" w:hAnsi="Arial" w:cs="Times New Roman"/>
      <w:color w:val="000000" w:themeColor="text1"/>
      <w:sz w:val="21"/>
      <w:szCs w:val="24"/>
    </w:rPr>
  </w:style>
  <w:style w:type="paragraph" w:customStyle="1" w:styleId="TableHeaderWhite">
    <w:name w:val="Table Header White"/>
    <w:basedOn w:val="Normal"/>
    <w:next w:val="Tabletextleft"/>
    <w:qFormat/>
    <w:rsid w:val="001022EC"/>
    <w:pPr>
      <w:spacing w:before="80" w:after="80"/>
    </w:pPr>
    <w:rPr>
      <w:rFonts w:eastAsia="Cambria" w:cs="Times New Roman"/>
      <w:b/>
      <w:color w:val="FFFFFF" w:themeColor="background1"/>
      <w:sz w:val="22"/>
      <w:lang w:val="en-US"/>
    </w:rPr>
  </w:style>
  <w:style w:type="paragraph" w:customStyle="1" w:styleId="TableHeader">
    <w:name w:val="Table Header"/>
    <w:basedOn w:val="Normal"/>
    <w:next w:val="Tabletextleft"/>
    <w:qFormat/>
    <w:rsid w:val="001022EC"/>
    <w:pPr>
      <w:spacing w:before="80" w:after="80"/>
    </w:pPr>
    <w:rPr>
      <w:rFonts w:eastAsia="Cambria" w:cs="Times New Roman"/>
      <w:b/>
      <w:color w:val="FFFFFF" w:themeColor="background1"/>
      <w:sz w:val="22"/>
      <w:lang w:val="en-US"/>
    </w:rPr>
  </w:style>
  <w:style w:type="table" w:customStyle="1" w:styleId="DepartmentofHealthtable">
    <w:name w:val="Department of Health table"/>
    <w:basedOn w:val="TableNormal"/>
    <w:uiPriority w:val="99"/>
    <w:rsid w:val="001022E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1022EC"/>
    <w:pPr>
      <w:jc w:val="right"/>
    </w:pPr>
  </w:style>
  <w:style w:type="paragraph" w:customStyle="1" w:styleId="Tabletextcentre">
    <w:name w:val="Table text centre"/>
    <w:basedOn w:val="Tabletextleft"/>
    <w:rsid w:val="001022EC"/>
    <w:pPr>
      <w:jc w:val="center"/>
    </w:pPr>
  </w:style>
  <w:style w:type="character" w:styleId="IntenseEmphasis">
    <w:name w:val="Intense Emphasis"/>
    <w:basedOn w:val="DefaultParagraphFont"/>
    <w:uiPriority w:val="21"/>
    <w:qFormat/>
    <w:rsid w:val="00A77242"/>
    <w:rPr>
      <w:i/>
      <w:iCs/>
      <w:color w:val="4472C4" w:themeColor="accent1"/>
    </w:rPr>
  </w:style>
  <w:style w:type="character" w:customStyle="1" w:styleId="UnresolvedMention2">
    <w:name w:val="Unresolved Mention2"/>
    <w:basedOn w:val="DefaultParagraphFont"/>
    <w:uiPriority w:val="99"/>
    <w:semiHidden/>
    <w:unhideWhenUsed/>
    <w:rsid w:val="002D2062"/>
    <w:rPr>
      <w:color w:val="605E5C"/>
      <w:shd w:val="clear" w:color="auto" w:fill="E1DFDD"/>
    </w:rPr>
  </w:style>
  <w:style w:type="paragraph" w:styleId="TOCHeading">
    <w:name w:val="TOC Heading"/>
    <w:basedOn w:val="Heading1"/>
    <w:next w:val="Normal"/>
    <w:uiPriority w:val="39"/>
    <w:unhideWhenUsed/>
    <w:qFormat/>
    <w:rsid w:val="000969F6"/>
    <w:pPr>
      <w:keepLines/>
      <w:spacing w:line="276" w:lineRule="auto"/>
      <w:outlineLvl w:val="9"/>
    </w:pPr>
    <w:rPr>
      <w:rFonts w:ascii="Fira Sans Black" w:eastAsiaTheme="majorEastAsia" w:hAnsi="Fira Sans Black" w:cstheme="minorHAnsi"/>
      <w:color w:val="auto"/>
      <w:sz w:val="28"/>
      <w:szCs w:val="28"/>
      <w:lang w:bidi="en-US"/>
    </w:rPr>
  </w:style>
  <w:style w:type="character" w:customStyle="1" w:styleId="Heading7Char">
    <w:name w:val="Heading 7 Char"/>
    <w:basedOn w:val="DefaultParagraphFont"/>
    <w:link w:val="Heading7"/>
    <w:uiPriority w:val="99"/>
    <w:rsid w:val="00FE383E"/>
    <w:rPr>
      <w:rFonts w:ascii="Fira Sans Light" w:eastAsiaTheme="majorEastAsia" w:hAnsi="Fira Sans Light" w:cstheme="majorBidi"/>
      <w:i/>
      <w:iCs/>
      <w:sz w:val="24"/>
    </w:rPr>
  </w:style>
  <w:style w:type="character" w:customStyle="1" w:styleId="Heading8Char">
    <w:name w:val="Heading 8 Char"/>
    <w:basedOn w:val="DefaultParagraphFont"/>
    <w:link w:val="Heading8"/>
    <w:uiPriority w:val="99"/>
    <w:rsid w:val="00465071"/>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rsid w:val="007D53B7"/>
    <w:rPr>
      <w:rFonts w:ascii="Fira Sans Light" w:eastAsiaTheme="minorEastAsia" w:hAnsi="Fira Sans Light"/>
      <w:sz w:val="24"/>
    </w:rPr>
  </w:style>
  <w:style w:type="paragraph" w:customStyle="1" w:styleId="paragraph">
    <w:name w:val="paragraph"/>
    <w:basedOn w:val="Normal"/>
    <w:rsid w:val="00A53FF0"/>
    <w:pPr>
      <w:spacing w:before="100" w:beforeAutospacing="1" w:after="100" w:afterAutospacing="1"/>
    </w:pPr>
    <w:rPr>
      <w:rFonts w:ascii="Times New Roman" w:eastAsia="Times New Roman" w:hAnsi="Times New Roman" w:cs="Times New Roman"/>
      <w:szCs w:val="24"/>
      <w:lang w:eastAsia="en-AU"/>
    </w:rPr>
  </w:style>
  <w:style w:type="character" w:customStyle="1" w:styleId="eop">
    <w:name w:val="eop"/>
    <w:basedOn w:val="DefaultParagraphFont"/>
    <w:rsid w:val="00A53FF0"/>
  </w:style>
  <w:style w:type="character" w:styleId="UnresolvedMention">
    <w:name w:val="Unresolved Mention"/>
    <w:basedOn w:val="DefaultParagraphFont"/>
    <w:uiPriority w:val="99"/>
    <w:semiHidden/>
    <w:unhideWhenUsed/>
    <w:rsid w:val="0087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881">
      <w:bodyDiv w:val="1"/>
      <w:marLeft w:val="0"/>
      <w:marRight w:val="0"/>
      <w:marTop w:val="0"/>
      <w:marBottom w:val="0"/>
      <w:divBdr>
        <w:top w:val="none" w:sz="0" w:space="0" w:color="auto"/>
        <w:left w:val="none" w:sz="0" w:space="0" w:color="auto"/>
        <w:bottom w:val="none" w:sz="0" w:space="0" w:color="auto"/>
        <w:right w:val="none" w:sz="0" w:space="0" w:color="auto"/>
      </w:divBdr>
    </w:div>
    <w:div w:id="82188905">
      <w:bodyDiv w:val="1"/>
      <w:marLeft w:val="0"/>
      <w:marRight w:val="0"/>
      <w:marTop w:val="0"/>
      <w:marBottom w:val="0"/>
      <w:divBdr>
        <w:top w:val="none" w:sz="0" w:space="0" w:color="auto"/>
        <w:left w:val="none" w:sz="0" w:space="0" w:color="auto"/>
        <w:bottom w:val="none" w:sz="0" w:space="0" w:color="auto"/>
        <w:right w:val="none" w:sz="0" w:space="0" w:color="auto"/>
      </w:divBdr>
    </w:div>
    <w:div w:id="84037546">
      <w:bodyDiv w:val="1"/>
      <w:marLeft w:val="0"/>
      <w:marRight w:val="0"/>
      <w:marTop w:val="0"/>
      <w:marBottom w:val="0"/>
      <w:divBdr>
        <w:top w:val="none" w:sz="0" w:space="0" w:color="auto"/>
        <w:left w:val="none" w:sz="0" w:space="0" w:color="auto"/>
        <w:bottom w:val="none" w:sz="0" w:space="0" w:color="auto"/>
        <w:right w:val="none" w:sz="0" w:space="0" w:color="auto"/>
      </w:divBdr>
    </w:div>
    <w:div w:id="91242365">
      <w:bodyDiv w:val="1"/>
      <w:marLeft w:val="0"/>
      <w:marRight w:val="0"/>
      <w:marTop w:val="0"/>
      <w:marBottom w:val="0"/>
      <w:divBdr>
        <w:top w:val="none" w:sz="0" w:space="0" w:color="auto"/>
        <w:left w:val="none" w:sz="0" w:space="0" w:color="auto"/>
        <w:bottom w:val="none" w:sz="0" w:space="0" w:color="auto"/>
        <w:right w:val="none" w:sz="0" w:space="0" w:color="auto"/>
      </w:divBdr>
    </w:div>
    <w:div w:id="91779168">
      <w:bodyDiv w:val="1"/>
      <w:marLeft w:val="0"/>
      <w:marRight w:val="0"/>
      <w:marTop w:val="0"/>
      <w:marBottom w:val="0"/>
      <w:divBdr>
        <w:top w:val="none" w:sz="0" w:space="0" w:color="auto"/>
        <w:left w:val="none" w:sz="0" w:space="0" w:color="auto"/>
        <w:bottom w:val="none" w:sz="0" w:space="0" w:color="auto"/>
        <w:right w:val="none" w:sz="0" w:space="0" w:color="auto"/>
      </w:divBdr>
    </w:div>
    <w:div w:id="105470033">
      <w:bodyDiv w:val="1"/>
      <w:marLeft w:val="0"/>
      <w:marRight w:val="0"/>
      <w:marTop w:val="0"/>
      <w:marBottom w:val="0"/>
      <w:divBdr>
        <w:top w:val="none" w:sz="0" w:space="0" w:color="auto"/>
        <w:left w:val="none" w:sz="0" w:space="0" w:color="auto"/>
        <w:bottom w:val="none" w:sz="0" w:space="0" w:color="auto"/>
        <w:right w:val="none" w:sz="0" w:space="0" w:color="auto"/>
      </w:divBdr>
      <w:divsChild>
        <w:div w:id="59640779">
          <w:marLeft w:val="0"/>
          <w:marRight w:val="0"/>
          <w:marTop w:val="0"/>
          <w:marBottom w:val="0"/>
          <w:divBdr>
            <w:top w:val="none" w:sz="0" w:space="0" w:color="auto"/>
            <w:left w:val="none" w:sz="0" w:space="0" w:color="auto"/>
            <w:bottom w:val="none" w:sz="0" w:space="0" w:color="auto"/>
            <w:right w:val="none" w:sz="0" w:space="0" w:color="auto"/>
          </w:divBdr>
        </w:div>
        <w:div w:id="110326920">
          <w:marLeft w:val="0"/>
          <w:marRight w:val="0"/>
          <w:marTop w:val="0"/>
          <w:marBottom w:val="0"/>
          <w:divBdr>
            <w:top w:val="none" w:sz="0" w:space="0" w:color="auto"/>
            <w:left w:val="none" w:sz="0" w:space="0" w:color="auto"/>
            <w:bottom w:val="none" w:sz="0" w:space="0" w:color="auto"/>
            <w:right w:val="none" w:sz="0" w:space="0" w:color="auto"/>
          </w:divBdr>
        </w:div>
        <w:div w:id="152725803">
          <w:marLeft w:val="0"/>
          <w:marRight w:val="0"/>
          <w:marTop w:val="0"/>
          <w:marBottom w:val="0"/>
          <w:divBdr>
            <w:top w:val="none" w:sz="0" w:space="0" w:color="auto"/>
            <w:left w:val="none" w:sz="0" w:space="0" w:color="auto"/>
            <w:bottom w:val="none" w:sz="0" w:space="0" w:color="auto"/>
            <w:right w:val="none" w:sz="0" w:space="0" w:color="auto"/>
          </w:divBdr>
        </w:div>
        <w:div w:id="161093197">
          <w:marLeft w:val="0"/>
          <w:marRight w:val="0"/>
          <w:marTop w:val="0"/>
          <w:marBottom w:val="0"/>
          <w:divBdr>
            <w:top w:val="none" w:sz="0" w:space="0" w:color="auto"/>
            <w:left w:val="none" w:sz="0" w:space="0" w:color="auto"/>
            <w:bottom w:val="none" w:sz="0" w:space="0" w:color="auto"/>
            <w:right w:val="none" w:sz="0" w:space="0" w:color="auto"/>
          </w:divBdr>
        </w:div>
        <w:div w:id="229467017">
          <w:marLeft w:val="0"/>
          <w:marRight w:val="0"/>
          <w:marTop w:val="0"/>
          <w:marBottom w:val="0"/>
          <w:divBdr>
            <w:top w:val="none" w:sz="0" w:space="0" w:color="auto"/>
            <w:left w:val="none" w:sz="0" w:space="0" w:color="auto"/>
            <w:bottom w:val="none" w:sz="0" w:space="0" w:color="auto"/>
            <w:right w:val="none" w:sz="0" w:space="0" w:color="auto"/>
          </w:divBdr>
        </w:div>
        <w:div w:id="283394308">
          <w:marLeft w:val="0"/>
          <w:marRight w:val="0"/>
          <w:marTop w:val="0"/>
          <w:marBottom w:val="0"/>
          <w:divBdr>
            <w:top w:val="none" w:sz="0" w:space="0" w:color="auto"/>
            <w:left w:val="none" w:sz="0" w:space="0" w:color="auto"/>
            <w:bottom w:val="none" w:sz="0" w:space="0" w:color="auto"/>
            <w:right w:val="none" w:sz="0" w:space="0" w:color="auto"/>
          </w:divBdr>
        </w:div>
        <w:div w:id="325397897">
          <w:marLeft w:val="0"/>
          <w:marRight w:val="0"/>
          <w:marTop w:val="0"/>
          <w:marBottom w:val="0"/>
          <w:divBdr>
            <w:top w:val="none" w:sz="0" w:space="0" w:color="auto"/>
            <w:left w:val="none" w:sz="0" w:space="0" w:color="auto"/>
            <w:bottom w:val="none" w:sz="0" w:space="0" w:color="auto"/>
            <w:right w:val="none" w:sz="0" w:space="0" w:color="auto"/>
          </w:divBdr>
        </w:div>
        <w:div w:id="379791845">
          <w:marLeft w:val="0"/>
          <w:marRight w:val="0"/>
          <w:marTop w:val="0"/>
          <w:marBottom w:val="0"/>
          <w:divBdr>
            <w:top w:val="none" w:sz="0" w:space="0" w:color="auto"/>
            <w:left w:val="none" w:sz="0" w:space="0" w:color="auto"/>
            <w:bottom w:val="none" w:sz="0" w:space="0" w:color="auto"/>
            <w:right w:val="none" w:sz="0" w:space="0" w:color="auto"/>
          </w:divBdr>
        </w:div>
        <w:div w:id="433743600">
          <w:marLeft w:val="0"/>
          <w:marRight w:val="0"/>
          <w:marTop w:val="0"/>
          <w:marBottom w:val="0"/>
          <w:divBdr>
            <w:top w:val="none" w:sz="0" w:space="0" w:color="auto"/>
            <w:left w:val="none" w:sz="0" w:space="0" w:color="auto"/>
            <w:bottom w:val="none" w:sz="0" w:space="0" w:color="auto"/>
            <w:right w:val="none" w:sz="0" w:space="0" w:color="auto"/>
          </w:divBdr>
        </w:div>
        <w:div w:id="472256520">
          <w:marLeft w:val="0"/>
          <w:marRight w:val="0"/>
          <w:marTop w:val="0"/>
          <w:marBottom w:val="0"/>
          <w:divBdr>
            <w:top w:val="none" w:sz="0" w:space="0" w:color="auto"/>
            <w:left w:val="none" w:sz="0" w:space="0" w:color="auto"/>
            <w:bottom w:val="none" w:sz="0" w:space="0" w:color="auto"/>
            <w:right w:val="none" w:sz="0" w:space="0" w:color="auto"/>
          </w:divBdr>
        </w:div>
        <w:div w:id="665550354">
          <w:marLeft w:val="0"/>
          <w:marRight w:val="0"/>
          <w:marTop w:val="0"/>
          <w:marBottom w:val="0"/>
          <w:divBdr>
            <w:top w:val="none" w:sz="0" w:space="0" w:color="auto"/>
            <w:left w:val="none" w:sz="0" w:space="0" w:color="auto"/>
            <w:bottom w:val="none" w:sz="0" w:space="0" w:color="auto"/>
            <w:right w:val="none" w:sz="0" w:space="0" w:color="auto"/>
          </w:divBdr>
        </w:div>
        <w:div w:id="720639633">
          <w:marLeft w:val="0"/>
          <w:marRight w:val="0"/>
          <w:marTop w:val="0"/>
          <w:marBottom w:val="0"/>
          <w:divBdr>
            <w:top w:val="none" w:sz="0" w:space="0" w:color="auto"/>
            <w:left w:val="none" w:sz="0" w:space="0" w:color="auto"/>
            <w:bottom w:val="none" w:sz="0" w:space="0" w:color="auto"/>
            <w:right w:val="none" w:sz="0" w:space="0" w:color="auto"/>
          </w:divBdr>
        </w:div>
        <w:div w:id="823275735">
          <w:marLeft w:val="0"/>
          <w:marRight w:val="0"/>
          <w:marTop w:val="0"/>
          <w:marBottom w:val="0"/>
          <w:divBdr>
            <w:top w:val="none" w:sz="0" w:space="0" w:color="auto"/>
            <w:left w:val="none" w:sz="0" w:space="0" w:color="auto"/>
            <w:bottom w:val="none" w:sz="0" w:space="0" w:color="auto"/>
            <w:right w:val="none" w:sz="0" w:space="0" w:color="auto"/>
          </w:divBdr>
        </w:div>
        <w:div w:id="875852618">
          <w:marLeft w:val="0"/>
          <w:marRight w:val="0"/>
          <w:marTop w:val="0"/>
          <w:marBottom w:val="0"/>
          <w:divBdr>
            <w:top w:val="none" w:sz="0" w:space="0" w:color="auto"/>
            <w:left w:val="none" w:sz="0" w:space="0" w:color="auto"/>
            <w:bottom w:val="none" w:sz="0" w:space="0" w:color="auto"/>
            <w:right w:val="none" w:sz="0" w:space="0" w:color="auto"/>
          </w:divBdr>
        </w:div>
        <w:div w:id="920260475">
          <w:marLeft w:val="0"/>
          <w:marRight w:val="0"/>
          <w:marTop w:val="0"/>
          <w:marBottom w:val="0"/>
          <w:divBdr>
            <w:top w:val="none" w:sz="0" w:space="0" w:color="auto"/>
            <w:left w:val="none" w:sz="0" w:space="0" w:color="auto"/>
            <w:bottom w:val="none" w:sz="0" w:space="0" w:color="auto"/>
            <w:right w:val="none" w:sz="0" w:space="0" w:color="auto"/>
          </w:divBdr>
        </w:div>
        <w:div w:id="921646547">
          <w:marLeft w:val="0"/>
          <w:marRight w:val="0"/>
          <w:marTop w:val="0"/>
          <w:marBottom w:val="0"/>
          <w:divBdr>
            <w:top w:val="none" w:sz="0" w:space="0" w:color="auto"/>
            <w:left w:val="none" w:sz="0" w:space="0" w:color="auto"/>
            <w:bottom w:val="none" w:sz="0" w:space="0" w:color="auto"/>
            <w:right w:val="none" w:sz="0" w:space="0" w:color="auto"/>
          </w:divBdr>
        </w:div>
        <w:div w:id="955452668">
          <w:marLeft w:val="0"/>
          <w:marRight w:val="0"/>
          <w:marTop w:val="0"/>
          <w:marBottom w:val="0"/>
          <w:divBdr>
            <w:top w:val="none" w:sz="0" w:space="0" w:color="auto"/>
            <w:left w:val="none" w:sz="0" w:space="0" w:color="auto"/>
            <w:bottom w:val="none" w:sz="0" w:space="0" w:color="auto"/>
            <w:right w:val="none" w:sz="0" w:space="0" w:color="auto"/>
          </w:divBdr>
        </w:div>
        <w:div w:id="995570457">
          <w:marLeft w:val="0"/>
          <w:marRight w:val="0"/>
          <w:marTop w:val="0"/>
          <w:marBottom w:val="0"/>
          <w:divBdr>
            <w:top w:val="none" w:sz="0" w:space="0" w:color="auto"/>
            <w:left w:val="none" w:sz="0" w:space="0" w:color="auto"/>
            <w:bottom w:val="none" w:sz="0" w:space="0" w:color="auto"/>
            <w:right w:val="none" w:sz="0" w:space="0" w:color="auto"/>
          </w:divBdr>
        </w:div>
        <w:div w:id="1250431217">
          <w:marLeft w:val="0"/>
          <w:marRight w:val="0"/>
          <w:marTop w:val="0"/>
          <w:marBottom w:val="0"/>
          <w:divBdr>
            <w:top w:val="none" w:sz="0" w:space="0" w:color="auto"/>
            <w:left w:val="none" w:sz="0" w:space="0" w:color="auto"/>
            <w:bottom w:val="none" w:sz="0" w:space="0" w:color="auto"/>
            <w:right w:val="none" w:sz="0" w:space="0" w:color="auto"/>
          </w:divBdr>
        </w:div>
        <w:div w:id="1281568620">
          <w:marLeft w:val="0"/>
          <w:marRight w:val="0"/>
          <w:marTop w:val="0"/>
          <w:marBottom w:val="0"/>
          <w:divBdr>
            <w:top w:val="none" w:sz="0" w:space="0" w:color="auto"/>
            <w:left w:val="none" w:sz="0" w:space="0" w:color="auto"/>
            <w:bottom w:val="none" w:sz="0" w:space="0" w:color="auto"/>
            <w:right w:val="none" w:sz="0" w:space="0" w:color="auto"/>
          </w:divBdr>
        </w:div>
        <w:div w:id="1317876116">
          <w:marLeft w:val="0"/>
          <w:marRight w:val="0"/>
          <w:marTop w:val="0"/>
          <w:marBottom w:val="0"/>
          <w:divBdr>
            <w:top w:val="none" w:sz="0" w:space="0" w:color="auto"/>
            <w:left w:val="none" w:sz="0" w:space="0" w:color="auto"/>
            <w:bottom w:val="none" w:sz="0" w:space="0" w:color="auto"/>
            <w:right w:val="none" w:sz="0" w:space="0" w:color="auto"/>
          </w:divBdr>
        </w:div>
        <w:div w:id="1425569585">
          <w:marLeft w:val="0"/>
          <w:marRight w:val="0"/>
          <w:marTop w:val="0"/>
          <w:marBottom w:val="0"/>
          <w:divBdr>
            <w:top w:val="none" w:sz="0" w:space="0" w:color="auto"/>
            <w:left w:val="none" w:sz="0" w:space="0" w:color="auto"/>
            <w:bottom w:val="none" w:sz="0" w:space="0" w:color="auto"/>
            <w:right w:val="none" w:sz="0" w:space="0" w:color="auto"/>
          </w:divBdr>
        </w:div>
        <w:div w:id="1607421652">
          <w:marLeft w:val="0"/>
          <w:marRight w:val="0"/>
          <w:marTop w:val="0"/>
          <w:marBottom w:val="0"/>
          <w:divBdr>
            <w:top w:val="none" w:sz="0" w:space="0" w:color="auto"/>
            <w:left w:val="none" w:sz="0" w:space="0" w:color="auto"/>
            <w:bottom w:val="none" w:sz="0" w:space="0" w:color="auto"/>
            <w:right w:val="none" w:sz="0" w:space="0" w:color="auto"/>
          </w:divBdr>
        </w:div>
        <w:div w:id="1730420123">
          <w:marLeft w:val="0"/>
          <w:marRight w:val="0"/>
          <w:marTop w:val="0"/>
          <w:marBottom w:val="0"/>
          <w:divBdr>
            <w:top w:val="none" w:sz="0" w:space="0" w:color="auto"/>
            <w:left w:val="none" w:sz="0" w:space="0" w:color="auto"/>
            <w:bottom w:val="none" w:sz="0" w:space="0" w:color="auto"/>
            <w:right w:val="none" w:sz="0" w:space="0" w:color="auto"/>
          </w:divBdr>
        </w:div>
        <w:div w:id="1758558252">
          <w:marLeft w:val="0"/>
          <w:marRight w:val="0"/>
          <w:marTop w:val="0"/>
          <w:marBottom w:val="0"/>
          <w:divBdr>
            <w:top w:val="none" w:sz="0" w:space="0" w:color="auto"/>
            <w:left w:val="none" w:sz="0" w:space="0" w:color="auto"/>
            <w:bottom w:val="none" w:sz="0" w:space="0" w:color="auto"/>
            <w:right w:val="none" w:sz="0" w:space="0" w:color="auto"/>
          </w:divBdr>
        </w:div>
        <w:div w:id="1846480621">
          <w:marLeft w:val="0"/>
          <w:marRight w:val="0"/>
          <w:marTop w:val="0"/>
          <w:marBottom w:val="0"/>
          <w:divBdr>
            <w:top w:val="none" w:sz="0" w:space="0" w:color="auto"/>
            <w:left w:val="none" w:sz="0" w:space="0" w:color="auto"/>
            <w:bottom w:val="none" w:sz="0" w:space="0" w:color="auto"/>
            <w:right w:val="none" w:sz="0" w:space="0" w:color="auto"/>
          </w:divBdr>
        </w:div>
        <w:div w:id="1918439432">
          <w:marLeft w:val="0"/>
          <w:marRight w:val="0"/>
          <w:marTop w:val="0"/>
          <w:marBottom w:val="0"/>
          <w:divBdr>
            <w:top w:val="none" w:sz="0" w:space="0" w:color="auto"/>
            <w:left w:val="none" w:sz="0" w:space="0" w:color="auto"/>
            <w:bottom w:val="none" w:sz="0" w:space="0" w:color="auto"/>
            <w:right w:val="none" w:sz="0" w:space="0" w:color="auto"/>
          </w:divBdr>
        </w:div>
        <w:div w:id="1942568004">
          <w:marLeft w:val="0"/>
          <w:marRight w:val="0"/>
          <w:marTop w:val="0"/>
          <w:marBottom w:val="0"/>
          <w:divBdr>
            <w:top w:val="none" w:sz="0" w:space="0" w:color="auto"/>
            <w:left w:val="none" w:sz="0" w:space="0" w:color="auto"/>
            <w:bottom w:val="none" w:sz="0" w:space="0" w:color="auto"/>
            <w:right w:val="none" w:sz="0" w:space="0" w:color="auto"/>
          </w:divBdr>
        </w:div>
      </w:divsChild>
    </w:div>
    <w:div w:id="139885956">
      <w:bodyDiv w:val="1"/>
      <w:marLeft w:val="0"/>
      <w:marRight w:val="0"/>
      <w:marTop w:val="0"/>
      <w:marBottom w:val="0"/>
      <w:divBdr>
        <w:top w:val="none" w:sz="0" w:space="0" w:color="auto"/>
        <w:left w:val="none" w:sz="0" w:space="0" w:color="auto"/>
        <w:bottom w:val="none" w:sz="0" w:space="0" w:color="auto"/>
        <w:right w:val="none" w:sz="0" w:space="0" w:color="auto"/>
      </w:divBdr>
    </w:div>
    <w:div w:id="143741578">
      <w:bodyDiv w:val="1"/>
      <w:marLeft w:val="0"/>
      <w:marRight w:val="0"/>
      <w:marTop w:val="0"/>
      <w:marBottom w:val="0"/>
      <w:divBdr>
        <w:top w:val="none" w:sz="0" w:space="0" w:color="auto"/>
        <w:left w:val="none" w:sz="0" w:space="0" w:color="auto"/>
        <w:bottom w:val="none" w:sz="0" w:space="0" w:color="auto"/>
        <w:right w:val="none" w:sz="0" w:space="0" w:color="auto"/>
      </w:divBdr>
    </w:div>
    <w:div w:id="191844307">
      <w:bodyDiv w:val="1"/>
      <w:marLeft w:val="0"/>
      <w:marRight w:val="0"/>
      <w:marTop w:val="0"/>
      <w:marBottom w:val="0"/>
      <w:divBdr>
        <w:top w:val="none" w:sz="0" w:space="0" w:color="auto"/>
        <w:left w:val="none" w:sz="0" w:space="0" w:color="auto"/>
        <w:bottom w:val="none" w:sz="0" w:space="0" w:color="auto"/>
        <w:right w:val="none" w:sz="0" w:space="0" w:color="auto"/>
      </w:divBdr>
    </w:div>
    <w:div w:id="260072155">
      <w:bodyDiv w:val="1"/>
      <w:marLeft w:val="0"/>
      <w:marRight w:val="0"/>
      <w:marTop w:val="0"/>
      <w:marBottom w:val="0"/>
      <w:divBdr>
        <w:top w:val="none" w:sz="0" w:space="0" w:color="auto"/>
        <w:left w:val="none" w:sz="0" w:space="0" w:color="auto"/>
        <w:bottom w:val="none" w:sz="0" w:space="0" w:color="auto"/>
        <w:right w:val="none" w:sz="0" w:space="0" w:color="auto"/>
      </w:divBdr>
    </w:div>
    <w:div w:id="281545071">
      <w:bodyDiv w:val="1"/>
      <w:marLeft w:val="0"/>
      <w:marRight w:val="0"/>
      <w:marTop w:val="0"/>
      <w:marBottom w:val="0"/>
      <w:divBdr>
        <w:top w:val="none" w:sz="0" w:space="0" w:color="auto"/>
        <w:left w:val="none" w:sz="0" w:space="0" w:color="auto"/>
        <w:bottom w:val="none" w:sz="0" w:space="0" w:color="auto"/>
        <w:right w:val="none" w:sz="0" w:space="0" w:color="auto"/>
      </w:divBdr>
    </w:div>
    <w:div w:id="443042922">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4">
          <w:marLeft w:val="0"/>
          <w:marRight w:val="0"/>
          <w:marTop w:val="0"/>
          <w:marBottom w:val="0"/>
          <w:divBdr>
            <w:top w:val="none" w:sz="0" w:space="0" w:color="auto"/>
            <w:left w:val="none" w:sz="0" w:space="0" w:color="auto"/>
            <w:bottom w:val="none" w:sz="0" w:space="0" w:color="auto"/>
            <w:right w:val="none" w:sz="0" w:space="0" w:color="auto"/>
          </w:divBdr>
        </w:div>
      </w:divsChild>
    </w:div>
    <w:div w:id="561985487">
      <w:bodyDiv w:val="1"/>
      <w:marLeft w:val="0"/>
      <w:marRight w:val="0"/>
      <w:marTop w:val="0"/>
      <w:marBottom w:val="0"/>
      <w:divBdr>
        <w:top w:val="none" w:sz="0" w:space="0" w:color="auto"/>
        <w:left w:val="none" w:sz="0" w:space="0" w:color="auto"/>
        <w:bottom w:val="none" w:sz="0" w:space="0" w:color="auto"/>
        <w:right w:val="none" w:sz="0" w:space="0" w:color="auto"/>
      </w:divBdr>
    </w:div>
    <w:div w:id="583221457">
      <w:bodyDiv w:val="1"/>
      <w:marLeft w:val="0"/>
      <w:marRight w:val="0"/>
      <w:marTop w:val="0"/>
      <w:marBottom w:val="0"/>
      <w:divBdr>
        <w:top w:val="none" w:sz="0" w:space="0" w:color="auto"/>
        <w:left w:val="none" w:sz="0" w:space="0" w:color="auto"/>
        <w:bottom w:val="none" w:sz="0" w:space="0" w:color="auto"/>
        <w:right w:val="none" w:sz="0" w:space="0" w:color="auto"/>
      </w:divBdr>
    </w:div>
    <w:div w:id="627976397">
      <w:bodyDiv w:val="1"/>
      <w:marLeft w:val="0"/>
      <w:marRight w:val="0"/>
      <w:marTop w:val="0"/>
      <w:marBottom w:val="0"/>
      <w:divBdr>
        <w:top w:val="none" w:sz="0" w:space="0" w:color="auto"/>
        <w:left w:val="none" w:sz="0" w:space="0" w:color="auto"/>
        <w:bottom w:val="none" w:sz="0" w:space="0" w:color="auto"/>
        <w:right w:val="none" w:sz="0" w:space="0" w:color="auto"/>
      </w:divBdr>
    </w:div>
    <w:div w:id="686953268">
      <w:bodyDiv w:val="1"/>
      <w:marLeft w:val="0"/>
      <w:marRight w:val="0"/>
      <w:marTop w:val="0"/>
      <w:marBottom w:val="0"/>
      <w:divBdr>
        <w:top w:val="none" w:sz="0" w:space="0" w:color="auto"/>
        <w:left w:val="none" w:sz="0" w:space="0" w:color="auto"/>
        <w:bottom w:val="none" w:sz="0" w:space="0" w:color="auto"/>
        <w:right w:val="none" w:sz="0" w:space="0" w:color="auto"/>
      </w:divBdr>
    </w:div>
    <w:div w:id="748649863">
      <w:bodyDiv w:val="1"/>
      <w:marLeft w:val="0"/>
      <w:marRight w:val="0"/>
      <w:marTop w:val="0"/>
      <w:marBottom w:val="0"/>
      <w:divBdr>
        <w:top w:val="none" w:sz="0" w:space="0" w:color="auto"/>
        <w:left w:val="none" w:sz="0" w:space="0" w:color="auto"/>
        <w:bottom w:val="none" w:sz="0" w:space="0" w:color="auto"/>
        <w:right w:val="none" w:sz="0" w:space="0" w:color="auto"/>
      </w:divBdr>
      <w:divsChild>
        <w:div w:id="877082642">
          <w:marLeft w:val="0"/>
          <w:marRight w:val="0"/>
          <w:marTop w:val="0"/>
          <w:marBottom w:val="0"/>
          <w:divBdr>
            <w:top w:val="none" w:sz="0" w:space="0" w:color="auto"/>
            <w:left w:val="none" w:sz="0" w:space="0" w:color="auto"/>
            <w:bottom w:val="none" w:sz="0" w:space="0" w:color="auto"/>
            <w:right w:val="none" w:sz="0" w:space="0" w:color="auto"/>
          </w:divBdr>
        </w:div>
      </w:divsChild>
    </w:div>
    <w:div w:id="796872327">
      <w:bodyDiv w:val="1"/>
      <w:marLeft w:val="0"/>
      <w:marRight w:val="0"/>
      <w:marTop w:val="0"/>
      <w:marBottom w:val="0"/>
      <w:divBdr>
        <w:top w:val="none" w:sz="0" w:space="0" w:color="auto"/>
        <w:left w:val="none" w:sz="0" w:space="0" w:color="auto"/>
        <w:bottom w:val="none" w:sz="0" w:space="0" w:color="auto"/>
        <w:right w:val="none" w:sz="0" w:space="0" w:color="auto"/>
      </w:divBdr>
      <w:divsChild>
        <w:div w:id="1010988065">
          <w:marLeft w:val="0"/>
          <w:marRight w:val="0"/>
          <w:marTop w:val="0"/>
          <w:marBottom w:val="0"/>
          <w:divBdr>
            <w:top w:val="none" w:sz="0" w:space="0" w:color="auto"/>
            <w:left w:val="none" w:sz="0" w:space="0" w:color="auto"/>
            <w:bottom w:val="none" w:sz="0" w:space="0" w:color="auto"/>
            <w:right w:val="none" w:sz="0" w:space="0" w:color="auto"/>
          </w:divBdr>
        </w:div>
        <w:div w:id="1097600371">
          <w:marLeft w:val="0"/>
          <w:marRight w:val="0"/>
          <w:marTop w:val="0"/>
          <w:marBottom w:val="0"/>
          <w:divBdr>
            <w:top w:val="none" w:sz="0" w:space="0" w:color="auto"/>
            <w:left w:val="none" w:sz="0" w:space="0" w:color="auto"/>
            <w:bottom w:val="none" w:sz="0" w:space="0" w:color="auto"/>
            <w:right w:val="none" w:sz="0" w:space="0" w:color="auto"/>
          </w:divBdr>
        </w:div>
        <w:div w:id="1778525889">
          <w:marLeft w:val="0"/>
          <w:marRight w:val="0"/>
          <w:marTop w:val="0"/>
          <w:marBottom w:val="0"/>
          <w:divBdr>
            <w:top w:val="none" w:sz="0" w:space="0" w:color="auto"/>
            <w:left w:val="none" w:sz="0" w:space="0" w:color="auto"/>
            <w:bottom w:val="none" w:sz="0" w:space="0" w:color="auto"/>
            <w:right w:val="none" w:sz="0" w:space="0" w:color="auto"/>
          </w:divBdr>
        </w:div>
      </w:divsChild>
    </w:div>
    <w:div w:id="931815703">
      <w:bodyDiv w:val="1"/>
      <w:marLeft w:val="0"/>
      <w:marRight w:val="0"/>
      <w:marTop w:val="0"/>
      <w:marBottom w:val="0"/>
      <w:divBdr>
        <w:top w:val="none" w:sz="0" w:space="0" w:color="auto"/>
        <w:left w:val="none" w:sz="0" w:space="0" w:color="auto"/>
        <w:bottom w:val="none" w:sz="0" w:space="0" w:color="auto"/>
        <w:right w:val="none" w:sz="0" w:space="0" w:color="auto"/>
      </w:divBdr>
    </w:div>
    <w:div w:id="936717674">
      <w:bodyDiv w:val="1"/>
      <w:marLeft w:val="0"/>
      <w:marRight w:val="0"/>
      <w:marTop w:val="0"/>
      <w:marBottom w:val="0"/>
      <w:divBdr>
        <w:top w:val="none" w:sz="0" w:space="0" w:color="auto"/>
        <w:left w:val="none" w:sz="0" w:space="0" w:color="auto"/>
        <w:bottom w:val="none" w:sz="0" w:space="0" w:color="auto"/>
        <w:right w:val="none" w:sz="0" w:space="0" w:color="auto"/>
      </w:divBdr>
      <w:divsChild>
        <w:div w:id="1235161461">
          <w:marLeft w:val="0"/>
          <w:marRight w:val="0"/>
          <w:marTop w:val="0"/>
          <w:marBottom w:val="0"/>
          <w:divBdr>
            <w:top w:val="none" w:sz="0" w:space="0" w:color="auto"/>
            <w:left w:val="none" w:sz="0" w:space="0" w:color="auto"/>
            <w:bottom w:val="none" w:sz="0" w:space="0" w:color="auto"/>
            <w:right w:val="none" w:sz="0" w:space="0" w:color="auto"/>
          </w:divBdr>
        </w:div>
      </w:divsChild>
    </w:div>
    <w:div w:id="972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7226085">
          <w:marLeft w:val="0"/>
          <w:marRight w:val="0"/>
          <w:marTop w:val="0"/>
          <w:marBottom w:val="0"/>
          <w:divBdr>
            <w:top w:val="none" w:sz="0" w:space="0" w:color="auto"/>
            <w:left w:val="none" w:sz="0" w:space="0" w:color="auto"/>
            <w:bottom w:val="none" w:sz="0" w:space="0" w:color="auto"/>
            <w:right w:val="none" w:sz="0" w:space="0" w:color="auto"/>
          </w:divBdr>
        </w:div>
      </w:divsChild>
    </w:div>
    <w:div w:id="976253841">
      <w:bodyDiv w:val="1"/>
      <w:marLeft w:val="0"/>
      <w:marRight w:val="0"/>
      <w:marTop w:val="0"/>
      <w:marBottom w:val="0"/>
      <w:divBdr>
        <w:top w:val="none" w:sz="0" w:space="0" w:color="auto"/>
        <w:left w:val="none" w:sz="0" w:space="0" w:color="auto"/>
        <w:bottom w:val="none" w:sz="0" w:space="0" w:color="auto"/>
        <w:right w:val="none" w:sz="0" w:space="0" w:color="auto"/>
      </w:divBdr>
      <w:divsChild>
        <w:div w:id="445783000">
          <w:marLeft w:val="0"/>
          <w:marRight w:val="0"/>
          <w:marTop w:val="0"/>
          <w:marBottom w:val="0"/>
          <w:divBdr>
            <w:top w:val="none" w:sz="0" w:space="0" w:color="auto"/>
            <w:left w:val="none" w:sz="0" w:space="0" w:color="auto"/>
            <w:bottom w:val="none" w:sz="0" w:space="0" w:color="auto"/>
            <w:right w:val="none" w:sz="0" w:space="0" w:color="auto"/>
          </w:divBdr>
        </w:div>
        <w:div w:id="949702001">
          <w:marLeft w:val="0"/>
          <w:marRight w:val="0"/>
          <w:marTop w:val="0"/>
          <w:marBottom w:val="0"/>
          <w:divBdr>
            <w:top w:val="none" w:sz="0" w:space="0" w:color="auto"/>
            <w:left w:val="none" w:sz="0" w:space="0" w:color="auto"/>
            <w:bottom w:val="none" w:sz="0" w:space="0" w:color="auto"/>
            <w:right w:val="none" w:sz="0" w:space="0" w:color="auto"/>
          </w:divBdr>
        </w:div>
        <w:div w:id="1140459864">
          <w:marLeft w:val="0"/>
          <w:marRight w:val="0"/>
          <w:marTop w:val="0"/>
          <w:marBottom w:val="0"/>
          <w:divBdr>
            <w:top w:val="none" w:sz="0" w:space="0" w:color="auto"/>
            <w:left w:val="none" w:sz="0" w:space="0" w:color="auto"/>
            <w:bottom w:val="none" w:sz="0" w:space="0" w:color="auto"/>
            <w:right w:val="none" w:sz="0" w:space="0" w:color="auto"/>
          </w:divBdr>
        </w:div>
        <w:div w:id="1737623787">
          <w:marLeft w:val="0"/>
          <w:marRight w:val="0"/>
          <w:marTop w:val="0"/>
          <w:marBottom w:val="0"/>
          <w:divBdr>
            <w:top w:val="none" w:sz="0" w:space="0" w:color="auto"/>
            <w:left w:val="none" w:sz="0" w:space="0" w:color="auto"/>
            <w:bottom w:val="none" w:sz="0" w:space="0" w:color="auto"/>
            <w:right w:val="none" w:sz="0" w:space="0" w:color="auto"/>
          </w:divBdr>
        </w:div>
      </w:divsChild>
    </w:div>
    <w:div w:id="1114862128">
      <w:bodyDiv w:val="1"/>
      <w:marLeft w:val="0"/>
      <w:marRight w:val="0"/>
      <w:marTop w:val="0"/>
      <w:marBottom w:val="0"/>
      <w:divBdr>
        <w:top w:val="none" w:sz="0" w:space="0" w:color="auto"/>
        <w:left w:val="none" w:sz="0" w:space="0" w:color="auto"/>
        <w:bottom w:val="none" w:sz="0" w:space="0" w:color="auto"/>
        <w:right w:val="none" w:sz="0" w:space="0" w:color="auto"/>
      </w:divBdr>
    </w:div>
    <w:div w:id="1125464074">
      <w:bodyDiv w:val="1"/>
      <w:marLeft w:val="0"/>
      <w:marRight w:val="0"/>
      <w:marTop w:val="0"/>
      <w:marBottom w:val="0"/>
      <w:divBdr>
        <w:top w:val="none" w:sz="0" w:space="0" w:color="auto"/>
        <w:left w:val="none" w:sz="0" w:space="0" w:color="auto"/>
        <w:bottom w:val="none" w:sz="0" w:space="0" w:color="auto"/>
        <w:right w:val="none" w:sz="0" w:space="0" w:color="auto"/>
      </w:divBdr>
    </w:div>
    <w:div w:id="1170681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2876">
          <w:marLeft w:val="0"/>
          <w:marRight w:val="0"/>
          <w:marTop w:val="0"/>
          <w:marBottom w:val="0"/>
          <w:divBdr>
            <w:top w:val="none" w:sz="0" w:space="0" w:color="auto"/>
            <w:left w:val="none" w:sz="0" w:space="0" w:color="auto"/>
            <w:bottom w:val="none" w:sz="0" w:space="0" w:color="auto"/>
            <w:right w:val="none" w:sz="0" w:space="0" w:color="auto"/>
          </w:divBdr>
        </w:div>
      </w:divsChild>
    </w:div>
    <w:div w:id="1224678672">
      <w:bodyDiv w:val="1"/>
      <w:marLeft w:val="0"/>
      <w:marRight w:val="0"/>
      <w:marTop w:val="0"/>
      <w:marBottom w:val="0"/>
      <w:divBdr>
        <w:top w:val="none" w:sz="0" w:space="0" w:color="auto"/>
        <w:left w:val="none" w:sz="0" w:space="0" w:color="auto"/>
        <w:bottom w:val="none" w:sz="0" w:space="0" w:color="auto"/>
        <w:right w:val="none" w:sz="0" w:space="0" w:color="auto"/>
      </w:divBdr>
    </w:div>
    <w:div w:id="1248535616">
      <w:bodyDiv w:val="1"/>
      <w:marLeft w:val="0"/>
      <w:marRight w:val="0"/>
      <w:marTop w:val="0"/>
      <w:marBottom w:val="0"/>
      <w:divBdr>
        <w:top w:val="none" w:sz="0" w:space="0" w:color="auto"/>
        <w:left w:val="none" w:sz="0" w:space="0" w:color="auto"/>
        <w:bottom w:val="none" w:sz="0" w:space="0" w:color="auto"/>
        <w:right w:val="none" w:sz="0" w:space="0" w:color="auto"/>
      </w:divBdr>
    </w:div>
    <w:div w:id="1271627529">
      <w:bodyDiv w:val="1"/>
      <w:marLeft w:val="0"/>
      <w:marRight w:val="0"/>
      <w:marTop w:val="0"/>
      <w:marBottom w:val="0"/>
      <w:divBdr>
        <w:top w:val="none" w:sz="0" w:space="0" w:color="auto"/>
        <w:left w:val="none" w:sz="0" w:space="0" w:color="auto"/>
        <w:bottom w:val="none" w:sz="0" w:space="0" w:color="auto"/>
        <w:right w:val="none" w:sz="0" w:space="0" w:color="auto"/>
      </w:divBdr>
    </w:div>
    <w:div w:id="1298606693">
      <w:bodyDiv w:val="1"/>
      <w:marLeft w:val="0"/>
      <w:marRight w:val="0"/>
      <w:marTop w:val="0"/>
      <w:marBottom w:val="0"/>
      <w:divBdr>
        <w:top w:val="none" w:sz="0" w:space="0" w:color="auto"/>
        <w:left w:val="none" w:sz="0" w:space="0" w:color="auto"/>
        <w:bottom w:val="none" w:sz="0" w:space="0" w:color="auto"/>
        <w:right w:val="none" w:sz="0" w:space="0" w:color="auto"/>
      </w:divBdr>
      <w:divsChild>
        <w:div w:id="530151703">
          <w:marLeft w:val="0"/>
          <w:marRight w:val="0"/>
          <w:marTop w:val="0"/>
          <w:marBottom w:val="0"/>
          <w:divBdr>
            <w:top w:val="none" w:sz="0" w:space="0" w:color="auto"/>
            <w:left w:val="none" w:sz="0" w:space="0" w:color="auto"/>
            <w:bottom w:val="none" w:sz="0" w:space="0" w:color="auto"/>
            <w:right w:val="none" w:sz="0" w:space="0" w:color="auto"/>
          </w:divBdr>
        </w:div>
        <w:div w:id="633222313">
          <w:marLeft w:val="0"/>
          <w:marRight w:val="0"/>
          <w:marTop w:val="0"/>
          <w:marBottom w:val="0"/>
          <w:divBdr>
            <w:top w:val="none" w:sz="0" w:space="0" w:color="auto"/>
            <w:left w:val="none" w:sz="0" w:space="0" w:color="auto"/>
            <w:bottom w:val="none" w:sz="0" w:space="0" w:color="auto"/>
            <w:right w:val="none" w:sz="0" w:space="0" w:color="auto"/>
          </w:divBdr>
        </w:div>
        <w:div w:id="638845124">
          <w:marLeft w:val="0"/>
          <w:marRight w:val="0"/>
          <w:marTop w:val="0"/>
          <w:marBottom w:val="0"/>
          <w:divBdr>
            <w:top w:val="none" w:sz="0" w:space="0" w:color="auto"/>
            <w:left w:val="none" w:sz="0" w:space="0" w:color="auto"/>
            <w:bottom w:val="none" w:sz="0" w:space="0" w:color="auto"/>
            <w:right w:val="none" w:sz="0" w:space="0" w:color="auto"/>
          </w:divBdr>
        </w:div>
      </w:divsChild>
    </w:div>
    <w:div w:id="1330478527">
      <w:bodyDiv w:val="1"/>
      <w:marLeft w:val="0"/>
      <w:marRight w:val="0"/>
      <w:marTop w:val="0"/>
      <w:marBottom w:val="0"/>
      <w:divBdr>
        <w:top w:val="none" w:sz="0" w:space="0" w:color="auto"/>
        <w:left w:val="none" w:sz="0" w:space="0" w:color="auto"/>
        <w:bottom w:val="none" w:sz="0" w:space="0" w:color="auto"/>
        <w:right w:val="none" w:sz="0" w:space="0" w:color="auto"/>
      </w:divBdr>
    </w:div>
    <w:div w:id="1412463802">
      <w:bodyDiv w:val="1"/>
      <w:marLeft w:val="0"/>
      <w:marRight w:val="0"/>
      <w:marTop w:val="0"/>
      <w:marBottom w:val="0"/>
      <w:divBdr>
        <w:top w:val="none" w:sz="0" w:space="0" w:color="auto"/>
        <w:left w:val="none" w:sz="0" w:space="0" w:color="auto"/>
        <w:bottom w:val="none" w:sz="0" w:space="0" w:color="auto"/>
        <w:right w:val="none" w:sz="0" w:space="0" w:color="auto"/>
      </w:divBdr>
    </w:div>
    <w:div w:id="1475678319">
      <w:bodyDiv w:val="1"/>
      <w:marLeft w:val="0"/>
      <w:marRight w:val="0"/>
      <w:marTop w:val="0"/>
      <w:marBottom w:val="0"/>
      <w:divBdr>
        <w:top w:val="none" w:sz="0" w:space="0" w:color="auto"/>
        <w:left w:val="none" w:sz="0" w:space="0" w:color="auto"/>
        <w:bottom w:val="none" w:sz="0" w:space="0" w:color="auto"/>
        <w:right w:val="none" w:sz="0" w:space="0" w:color="auto"/>
      </w:divBdr>
    </w:div>
    <w:div w:id="1481118946">
      <w:bodyDiv w:val="1"/>
      <w:marLeft w:val="0"/>
      <w:marRight w:val="0"/>
      <w:marTop w:val="0"/>
      <w:marBottom w:val="0"/>
      <w:divBdr>
        <w:top w:val="none" w:sz="0" w:space="0" w:color="auto"/>
        <w:left w:val="none" w:sz="0" w:space="0" w:color="auto"/>
        <w:bottom w:val="none" w:sz="0" w:space="0" w:color="auto"/>
        <w:right w:val="none" w:sz="0" w:space="0" w:color="auto"/>
      </w:divBdr>
    </w:div>
    <w:div w:id="1521507133">
      <w:bodyDiv w:val="1"/>
      <w:marLeft w:val="0"/>
      <w:marRight w:val="0"/>
      <w:marTop w:val="0"/>
      <w:marBottom w:val="0"/>
      <w:divBdr>
        <w:top w:val="none" w:sz="0" w:space="0" w:color="auto"/>
        <w:left w:val="none" w:sz="0" w:space="0" w:color="auto"/>
        <w:bottom w:val="none" w:sz="0" w:space="0" w:color="auto"/>
        <w:right w:val="none" w:sz="0" w:space="0" w:color="auto"/>
      </w:divBdr>
    </w:div>
    <w:div w:id="1527132336">
      <w:bodyDiv w:val="1"/>
      <w:marLeft w:val="0"/>
      <w:marRight w:val="0"/>
      <w:marTop w:val="0"/>
      <w:marBottom w:val="0"/>
      <w:divBdr>
        <w:top w:val="none" w:sz="0" w:space="0" w:color="auto"/>
        <w:left w:val="none" w:sz="0" w:space="0" w:color="auto"/>
        <w:bottom w:val="none" w:sz="0" w:space="0" w:color="auto"/>
        <w:right w:val="none" w:sz="0" w:space="0" w:color="auto"/>
      </w:divBdr>
    </w:div>
    <w:div w:id="1527790685">
      <w:bodyDiv w:val="1"/>
      <w:marLeft w:val="0"/>
      <w:marRight w:val="0"/>
      <w:marTop w:val="0"/>
      <w:marBottom w:val="0"/>
      <w:divBdr>
        <w:top w:val="none" w:sz="0" w:space="0" w:color="auto"/>
        <w:left w:val="none" w:sz="0" w:space="0" w:color="auto"/>
        <w:bottom w:val="none" w:sz="0" w:space="0" w:color="auto"/>
        <w:right w:val="none" w:sz="0" w:space="0" w:color="auto"/>
      </w:divBdr>
    </w:div>
    <w:div w:id="1585842449">
      <w:bodyDiv w:val="1"/>
      <w:marLeft w:val="0"/>
      <w:marRight w:val="0"/>
      <w:marTop w:val="0"/>
      <w:marBottom w:val="0"/>
      <w:divBdr>
        <w:top w:val="none" w:sz="0" w:space="0" w:color="auto"/>
        <w:left w:val="none" w:sz="0" w:space="0" w:color="auto"/>
        <w:bottom w:val="none" w:sz="0" w:space="0" w:color="auto"/>
        <w:right w:val="none" w:sz="0" w:space="0" w:color="auto"/>
      </w:divBdr>
    </w:div>
    <w:div w:id="1634478965">
      <w:bodyDiv w:val="1"/>
      <w:marLeft w:val="0"/>
      <w:marRight w:val="0"/>
      <w:marTop w:val="0"/>
      <w:marBottom w:val="0"/>
      <w:divBdr>
        <w:top w:val="none" w:sz="0" w:space="0" w:color="auto"/>
        <w:left w:val="none" w:sz="0" w:space="0" w:color="auto"/>
        <w:bottom w:val="none" w:sz="0" w:space="0" w:color="auto"/>
        <w:right w:val="none" w:sz="0" w:space="0" w:color="auto"/>
      </w:divBdr>
    </w:div>
    <w:div w:id="1684938179">
      <w:bodyDiv w:val="1"/>
      <w:marLeft w:val="0"/>
      <w:marRight w:val="0"/>
      <w:marTop w:val="0"/>
      <w:marBottom w:val="0"/>
      <w:divBdr>
        <w:top w:val="none" w:sz="0" w:space="0" w:color="auto"/>
        <w:left w:val="none" w:sz="0" w:space="0" w:color="auto"/>
        <w:bottom w:val="none" w:sz="0" w:space="0" w:color="auto"/>
        <w:right w:val="none" w:sz="0" w:space="0" w:color="auto"/>
      </w:divBdr>
    </w:div>
    <w:div w:id="1770543164">
      <w:bodyDiv w:val="1"/>
      <w:marLeft w:val="0"/>
      <w:marRight w:val="0"/>
      <w:marTop w:val="0"/>
      <w:marBottom w:val="0"/>
      <w:divBdr>
        <w:top w:val="none" w:sz="0" w:space="0" w:color="auto"/>
        <w:left w:val="none" w:sz="0" w:space="0" w:color="auto"/>
        <w:bottom w:val="none" w:sz="0" w:space="0" w:color="auto"/>
        <w:right w:val="none" w:sz="0" w:space="0" w:color="auto"/>
      </w:divBdr>
    </w:div>
    <w:div w:id="1784692201">
      <w:bodyDiv w:val="1"/>
      <w:marLeft w:val="0"/>
      <w:marRight w:val="0"/>
      <w:marTop w:val="0"/>
      <w:marBottom w:val="0"/>
      <w:divBdr>
        <w:top w:val="none" w:sz="0" w:space="0" w:color="auto"/>
        <w:left w:val="none" w:sz="0" w:space="0" w:color="auto"/>
        <w:bottom w:val="none" w:sz="0" w:space="0" w:color="auto"/>
        <w:right w:val="none" w:sz="0" w:space="0" w:color="auto"/>
      </w:divBdr>
    </w:div>
    <w:div w:id="1797019411">
      <w:bodyDiv w:val="1"/>
      <w:marLeft w:val="0"/>
      <w:marRight w:val="0"/>
      <w:marTop w:val="0"/>
      <w:marBottom w:val="0"/>
      <w:divBdr>
        <w:top w:val="none" w:sz="0" w:space="0" w:color="auto"/>
        <w:left w:val="none" w:sz="0" w:space="0" w:color="auto"/>
        <w:bottom w:val="none" w:sz="0" w:space="0" w:color="auto"/>
        <w:right w:val="none" w:sz="0" w:space="0" w:color="auto"/>
      </w:divBdr>
      <w:divsChild>
        <w:div w:id="1348483179">
          <w:marLeft w:val="0"/>
          <w:marRight w:val="0"/>
          <w:marTop w:val="0"/>
          <w:marBottom w:val="0"/>
          <w:divBdr>
            <w:top w:val="none" w:sz="0" w:space="0" w:color="auto"/>
            <w:left w:val="none" w:sz="0" w:space="0" w:color="auto"/>
            <w:bottom w:val="none" w:sz="0" w:space="0" w:color="auto"/>
            <w:right w:val="none" w:sz="0" w:space="0" w:color="auto"/>
          </w:divBdr>
        </w:div>
      </w:divsChild>
    </w:div>
    <w:div w:id="1832914906">
      <w:bodyDiv w:val="1"/>
      <w:marLeft w:val="0"/>
      <w:marRight w:val="0"/>
      <w:marTop w:val="0"/>
      <w:marBottom w:val="0"/>
      <w:divBdr>
        <w:top w:val="none" w:sz="0" w:space="0" w:color="auto"/>
        <w:left w:val="none" w:sz="0" w:space="0" w:color="auto"/>
        <w:bottom w:val="none" w:sz="0" w:space="0" w:color="auto"/>
        <w:right w:val="none" w:sz="0" w:space="0" w:color="auto"/>
      </w:divBdr>
    </w:div>
    <w:div w:id="1837838881">
      <w:bodyDiv w:val="1"/>
      <w:marLeft w:val="0"/>
      <w:marRight w:val="0"/>
      <w:marTop w:val="0"/>
      <w:marBottom w:val="0"/>
      <w:divBdr>
        <w:top w:val="none" w:sz="0" w:space="0" w:color="auto"/>
        <w:left w:val="none" w:sz="0" w:space="0" w:color="auto"/>
        <w:bottom w:val="none" w:sz="0" w:space="0" w:color="auto"/>
        <w:right w:val="none" w:sz="0" w:space="0" w:color="auto"/>
      </w:divBdr>
    </w:div>
    <w:div w:id="1846089867">
      <w:bodyDiv w:val="1"/>
      <w:marLeft w:val="0"/>
      <w:marRight w:val="0"/>
      <w:marTop w:val="0"/>
      <w:marBottom w:val="0"/>
      <w:divBdr>
        <w:top w:val="none" w:sz="0" w:space="0" w:color="auto"/>
        <w:left w:val="none" w:sz="0" w:space="0" w:color="auto"/>
        <w:bottom w:val="none" w:sz="0" w:space="0" w:color="auto"/>
        <w:right w:val="none" w:sz="0" w:space="0" w:color="auto"/>
      </w:divBdr>
      <w:divsChild>
        <w:div w:id="649018899">
          <w:marLeft w:val="0"/>
          <w:marRight w:val="0"/>
          <w:marTop w:val="0"/>
          <w:marBottom w:val="0"/>
          <w:divBdr>
            <w:top w:val="none" w:sz="0" w:space="0" w:color="auto"/>
            <w:left w:val="none" w:sz="0" w:space="0" w:color="auto"/>
            <w:bottom w:val="none" w:sz="0" w:space="0" w:color="auto"/>
            <w:right w:val="none" w:sz="0" w:space="0" w:color="auto"/>
          </w:divBdr>
        </w:div>
        <w:div w:id="898054302">
          <w:marLeft w:val="0"/>
          <w:marRight w:val="0"/>
          <w:marTop w:val="0"/>
          <w:marBottom w:val="0"/>
          <w:divBdr>
            <w:top w:val="none" w:sz="0" w:space="0" w:color="auto"/>
            <w:left w:val="none" w:sz="0" w:space="0" w:color="auto"/>
            <w:bottom w:val="none" w:sz="0" w:space="0" w:color="auto"/>
            <w:right w:val="none" w:sz="0" w:space="0" w:color="auto"/>
          </w:divBdr>
        </w:div>
        <w:div w:id="1686899247">
          <w:marLeft w:val="0"/>
          <w:marRight w:val="0"/>
          <w:marTop w:val="0"/>
          <w:marBottom w:val="0"/>
          <w:divBdr>
            <w:top w:val="none" w:sz="0" w:space="0" w:color="auto"/>
            <w:left w:val="none" w:sz="0" w:space="0" w:color="auto"/>
            <w:bottom w:val="none" w:sz="0" w:space="0" w:color="auto"/>
            <w:right w:val="none" w:sz="0" w:space="0" w:color="auto"/>
          </w:divBdr>
        </w:div>
      </w:divsChild>
    </w:div>
    <w:div w:id="1921526484">
      <w:bodyDiv w:val="1"/>
      <w:marLeft w:val="0"/>
      <w:marRight w:val="0"/>
      <w:marTop w:val="0"/>
      <w:marBottom w:val="0"/>
      <w:divBdr>
        <w:top w:val="none" w:sz="0" w:space="0" w:color="auto"/>
        <w:left w:val="none" w:sz="0" w:space="0" w:color="auto"/>
        <w:bottom w:val="none" w:sz="0" w:space="0" w:color="auto"/>
        <w:right w:val="none" w:sz="0" w:space="0" w:color="auto"/>
      </w:divBdr>
    </w:div>
    <w:div w:id="1999189396">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3338719">
      <w:bodyDiv w:val="1"/>
      <w:marLeft w:val="0"/>
      <w:marRight w:val="0"/>
      <w:marTop w:val="0"/>
      <w:marBottom w:val="0"/>
      <w:divBdr>
        <w:top w:val="none" w:sz="0" w:space="0" w:color="auto"/>
        <w:left w:val="none" w:sz="0" w:space="0" w:color="auto"/>
        <w:bottom w:val="none" w:sz="0" w:space="0" w:color="auto"/>
        <w:right w:val="none" w:sz="0" w:space="0" w:color="auto"/>
      </w:divBdr>
    </w:div>
    <w:div w:id="2035231446">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 w:id="21284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edcarequality.gov.au/repor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quality.gov.au/providers/assessment-processes/accreditation-and-re-accreditation/re-accreditation-of-residential-servi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gedcarequality.gov.au/subscri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resources/rb-2020-11-publication-provider-performance-information" TargetMode="External"/><Relationship Id="rId5" Type="http://schemas.openxmlformats.org/officeDocument/2006/relationships/webSettings" Target="webSettings.xml"/><Relationship Id="rId15" Type="http://schemas.openxmlformats.org/officeDocument/2006/relationships/hyperlink" Target="mailto:info@agedcarequality.gov.au" TargetMode="External"/><Relationship Id="rId10" Type="http://schemas.openxmlformats.org/officeDocument/2006/relationships/hyperlink" Target="https://www.agedcarequality.gov.au/media/892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dcarequality.gov.au/resources/aged-care-quality-and-safety-commission-glossary" TargetMode="External"/><Relationship Id="rId14" Type="http://schemas.openxmlformats.org/officeDocument/2006/relationships/hyperlink" Target="https://www.agedcarequality.gov.au/resources/regulatory-bulletin-2020-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resources/rb-2020-11-publication-provider-performance-information" TargetMode="External"/><Relationship Id="rId7" Type="http://schemas.openxmlformats.org/officeDocument/2006/relationships/hyperlink" Target="https://www.agedcarequality.gov.au/subscribe" TargetMode="External"/><Relationship Id="rId2" Type="http://schemas.openxmlformats.org/officeDocument/2006/relationships/hyperlink" Target="https://www.agedcarequality.gov.au/media/89299" TargetMode="External"/><Relationship Id="rId1" Type="http://schemas.openxmlformats.org/officeDocument/2006/relationships/hyperlink" Target="https://www.agedcarequality.gov.au/resources/aged-care-quality-and-safety-commission-glossary" TargetMode="External"/><Relationship Id="rId6" Type="http://schemas.openxmlformats.org/officeDocument/2006/relationships/hyperlink" Target="https://www.agedcarequality.gov.au/resources/regulatory-bulletin-2020-1.0" TargetMode="External"/><Relationship Id="rId5" Type="http://schemas.openxmlformats.org/officeDocument/2006/relationships/hyperlink" Target="https://www.agedcarequality.gov.au/reports" TargetMode="External"/><Relationship Id="rId4" Type="http://schemas.openxmlformats.org/officeDocument/2006/relationships/hyperlink" Target="https://www.agedcarequality.gov.au/providers/assessment-processes/accreditation-and-re-accreditation/re-accreditation-of-residenti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D0C2-99D2-4F3C-BA44-0AB5704B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3027</Words>
  <Characters>17259</Characters>
  <Application>Microsoft Office Word</Application>
  <DocSecurity>0</DocSecurity>
  <Lines>143</Lines>
  <Paragraphs>40</Paragraphs>
  <ScaleCrop>false</ScaleCrop>
  <Company/>
  <LinksUpToDate>false</LinksUpToDate>
  <CharactersWithSpaces>20246</CharactersWithSpaces>
  <SharedDoc>false</SharedDoc>
  <HLinks>
    <vt:vector size="84" baseType="variant">
      <vt:variant>
        <vt:i4>4587548</vt:i4>
      </vt:variant>
      <vt:variant>
        <vt:i4>21</vt:i4>
      </vt:variant>
      <vt:variant>
        <vt:i4>0</vt:i4>
      </vt:variant>
      <vt:variant>
        <vt:i4>5</vt:i4>
      </vt:variant>
      <vt:variant>
        <vt:lpwstr>https://www.agedcarequality.gov.au/subscribe</vt:lpwstr>
      </vt:variant>
      <vt:variant>
        <vt:lpwstr/>
      </vt:variant>
      <vt:variant>
        <vt:i4>5374007</vt:i4>
      </vt:variant>
      <vt:variant>
        <vt:i4>18</vt:i4>
      </vt:variant>
      <vt:variant>
        <vt:i4>0</vt:i4>
      </vt:variant>
      <vt:variant>
        <vt:i4>5</vt:i4>
      </vt:variant>
      <vt:variant>
        <vt:lpwstr>mailto:regulatorypolicy@agedcarequality.gov.au</vt:lpwstr>
      </vt:variant>
      <vt:variant>
        <vt:lpwstr/>
      </vt:variant>
      <vt:variant>
        <vt:i4>917569</vt:i4>
      </vt:variant>
      <vt:variant>
        <vt:i4>15</vt:i4>
      </vt:variant>
      <vt:variant>
        <vt:i4>0</vt:i4>
      </vt:variant>
      <vt:variant>
        <vt:i4>5</vt:i4>
      </vt:variant>
      <vt:variant>
        <vt:lpwstr>https://www.agedcarequality.gov.au/resources/regulatory-bulletin-2020-1.0</vt:lpwstr>
      </vt:variant>
      <vt:variant>
        <vt:lpwstr/>
      </vt:variant>
      <vt:variant>
        <vt:i4>3866740</vt:i4>
      </vt:variant>
      <vt:variant>
        <vt:i4>12</vt:i4>
      </vt:variant>
      <vt:variant>
        <vt:i4>0</vt:i4>
      </vt:variant>
      <vt:variant>
        <vt:i4>5</vt:i4>
      </vt:variant>
      <vt:variant>
        <vt:lpwstr>https://www.agedcarequality.gov.au/reports</vt:lpwstr>
      </vt:variant>
      <vt:variant>
        <vt:lpwstr/>
      </vt:variant>
      <vt:variant>
        <vt:i4>5701702</vt:i4>
      </vt:variant>
      <vt:variant>
        <vt:i4>9</vt:i4>
      </vt:variant>
      <vt:variant>
        <vt:i4>0</vt:i4>
      </vt:variant>
      <vt:variant>
        <vt:i4>5</vt:i4>
      </vt:variant>
      <vt:variant>
        <vt:lpwstr>https://www.agedcarequality.gov.au/providers/assessment-processes/accreditation-and-re-accreditation/re-accreditation-of-residential-services</vt:lpwstr>
      </vt:variant>
      <vt:variant>
        <vt:lpwstr>applying%20for%20reaccreditation</vt:lpwstr>
      </vt:variant>
      <vt:variant>
        <vt:i4>5308492</vt:i4>
      </vt:variant>
      <vt:variant>
        <vt:i4>6</vt:i4>
      </vt:variant>
      <vt:variant>
        <vt:i4>0</vt:i4>
      </vt:variant>
      <vt:variant>
        <vt:i4>5</vt:i4>
      </vt:variant>
      <vt:variant>
        <vt:lpwstr>https://www.agedcarequality.gov.au/resources/rb-2020-11-publication-provider-performance-information</vt:lpwstr>
      </vt:variant>
      <vt:variant>
        <vt:lpwstr/>
      </vt:variant>
      <vt:variant>
        <vt:i4>6488105</vt:i4>
      </vt:variant>
      <vt:variant>
        <vt:i4>3</vt:i4>
      </vt:variant>
      <vt:variant>
        <vt:i4>0</vt:i4>
      </vt:variant>
      <vt:variant>
        <vt:i4>5</vt:i4>
      </vt:variant>
      <vt:variant>
        <vt:lpwstr>https://www.agedcarequality.gov.au/media/89299</vt:lpwstr>
      </vt:variant>
      <vt:variant>
        <vt:lpwstr/>
      </vt:variant>
      <vt:variant>
        <vt:i4>4653137</vt:i4>
      </vt:variant>
      <vt:variant>
        <vt:i4>0</vt:i4>
      </vt:variant>
      <vt:variant>
        <vt:i4>0</vt:i4>
      </vt:variant>
      <vt:variant>
        <vt:i4>5</vt:i4>
      </vt:variant>
      <vt:variant>
        <vt:lpwstr>https://www.agedcarequality.gov.au/resources/aged-care-quality-and-safety-commission-glossary</vt:lpwstr>
      </vt:variant>
      <vt:variant>
        <vt:lpwstr/>
      </vt:variant>
      <vt:variant>
        <vt:i4>4587548</vt:i4>
      </vt:variant>
      <vt:variant>
        <vt:i4>15</vt:i4>
      </vt:variant>
      <vt:variant>
        <vt:i4>0</vt:i4>
      </vt:variant>
      <vt:variant>
        <vt:i4>5</vt:i4>
      </vt:variant>
      <vt:variant>
        <vt:lpwstr>https://www.agedcarequality.gov.au/subscribe</vt:lpwstr>
      </vt:variant>
      <vt:variant>
        <vt:lpwstr/>
      </vt:variant>
      <vt:variant>
        <vt:i4>917569</vt:i4>
      </vt:variant>
      <vt:variant>
        <vt:i4>12</vt:i4>
      </vt:variant>
      <vt:variant>
        <vt:i4>0</vt:i4>
      </vt:variant>
      <vt:variant>
        <vt:i4>5</vt:i4>
      </vt:variant>
      <vt:variant>
        <vt:lpwstr>https://www.agedcarequality.gov.au/resources/regulatory-bulletin-2020-1.0</vt:lpwstr>
      </vt:variant>
      <vt:variant>
        <vt:lpwstr/>
      </vt:variant>
      <vt:variant>
        <vt:i4>3866740</vt:i4>
      </vt:variant>
      <vt:variant>
        <vt:i4>9</vt:i4>
      </vt:variant>
      <vt:variant>
        <vt:i4>0</vt:i4>
      </vt:variant>
      <vt:variant>
        <vt:i4>5</vt:i4>
      </vt:variant>
      <vt:variant>
        <vt:lpwstr>https://www.agedcarequality.gov.au/reports</vt:lpwstr>
      </vt:variant>
      <vt:variant>
        <vt:lpwstr/>
      </vt:variant>
      <vt:variant>
        <vt:i4>5701702</vt:i4>
      </vt:variant>
      <vt:variant>
        <vt:i4>6</vt:i4>
      </vt:variant>
      <vt:variant>
        <vt:i4>0</vt:i4>
      </vt:variant>
      <vt:variant>
        <vt:i4>5</vt:i4>
      </vt:variant>
      <vt:variant>
        <vt:lpwstr>https://www.agedcarequality.gov.au/providers/assessment-processes/accreditation-and-re-accreditation/re-accreditation-of-residential-services</vt:lpwstr>
      </vt:variant>
      <vt:variant>
        <vt:lpwstr>applying%20for%20reaccreditation</vt:lpwstr>
      </vt:variant>
      <vt:variant>
        <vt:i4>5308492</vt:i4>
      </vt:variant>
      <vt:variant>
        <vt:i4>3</vt:i4>
      </vt:variant>
      <vt:variant>
        <vt:i4>0</vt:i4>
      </vt:variant>
      <vt:variant>
        <vt:i4>5</vt:i4>
      </vt:variant>
      <vt:variant>
        <vt:lpwstr>https://www.agedcarequality.gov.au/resources/rb-2020-11-publication-provider-performance-information</vt:lpwstr>
      </vt:variant>
      <vt:variant>
        <vt:lpwstr/>
      </vt:variant>
      <vt:variant>
        <vt:i4>4653137</vt:i4>
      </vt:variant>
      <vt:variant>
        <vt:i4>0</vt:i4>
      </vt:variant>
      <vt:variant>
        <vt:i4>0</vt:i4>
      </vt:variant>
      <vt:variant>
        <vt:i4>5</vt:i4>
      </vt:variant>
      <vt:variant>
        <vt:lpwstr>https://www.agedcarequality.gov.au/resources/aged-care-quality-and-safety-commission-glossary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2025-09-15T06:11:00Z</dcterms:created>
  <dcterms:modified xsi:type="dcterms:W3CDTF">2025-09-15T06:11:00Z</dcterms:modified>
</cp:coreProperties>
</file>