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D988" w14:textId="77777777" w:rsidR="007D73FD" w:rsidRPr="00901EA0" w:rsidRDefault="00901EA0" w:rsidP="2439D125">
      <w:pPr>
        <w:spacing w:before="360"/>
        <w:rPr>
          <w:b/>
          <w:bCs/>
          <w:color w:val="FFFFFF" w:themeColor="background1"/>
          <w:sz w:val="72"/>
          <w:szCs w:val="72"/>
        </w:rPr>
      </w:pPr>
      <w:r>
        <w:rPr>
          <w:noProof/>
          <w:color w:val="2B579A"/>
          <w:shd w:val="clear" w:color="auto" w:fill="E6E6E6"/>
          <w:lang w:eastAsia="en-AU"/>
        </w:rPr>
        <w:drawing>
          <wp:anchor distT="0" distB="0" distL="114300" distR="114300" simplePos="0" relativeHeight="251658240" behindDoc="1" locked="0" layoutInCell="1" allowOverlap="1" wp14:anchorId="5FAC2211" wp14:editId="60899F04">
            <wp:simplePos x="0" y="0"/>
            <wp:positionH relativeFrom="page">
              <wp:posOffset>-6655</wp:posOffset>
            </wp:positionH>
            <wp:positionV relativeFrom="paragraph">
              <wp:posOffset>-1090600</wp:posOffset>
            </wp:positionV>
            <wp:extent cx="7566463" cy="215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6463" cy="2152650"/>
                    </a:xfrm>
                    <a:prstGeom prst="rect">
                      <a:avLst/>
                    </a:prstGeom>
                    <a:noFill/>
                  </pic:spPr>
                </pic:pic>
              </a:graphicData>
            </a:graphic>
            <wp14:sizeRelH relativeFrom="page">
              <wp14:pctWidth>0</wp14:pctWidth>
            </wp14:sizeRelH>
            <wp14:sizeRelV relativeFrom="page">
              <wp14:pctHeight>0</wp14:pctHeight>
            </wp14:sizeRelV>
          </wp:anchor>
        </w:drawing>
      </w:r>
      <w:r w:rsidR="033C89C4" w:rsidRPr="2439D125">
        <w:rPr>
          <w:b/>
          <w:bCs/>
          <w:color w:val="FFFFFF" w:themeColor="background1"/>
          <w:sz w:val="72"/>
          <w:szCs w:val="72"/>
        </w:rPr>
        <w:t>Regulatory Bulletin</w:t>
      </w:r>
    </w:p>
    <w:p w14:paraId="07B5FF2A" w14:textId="77777777" w:rsidR="00901EA0" w:rsidRDefault="00901EA0" w:rsidP="002F70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7D73FD" w:rsidRPr="00901EA0" w14:paraId="216256AD" w14:textId="77777777" w:rsidTr="162A8409">
        <w:tc>
          <w:tcPr>
            <w:tcW w:w="2410" w:type="dxa"/>
            <w:tcBorders>
              <w:top w:val="single" w:sz="12" w:space="0" w:color="auto"/>
              <w:bottom w:val="single" w:sz="12" w:space="0" w:color="auto"/>
            </w:tcBorders>
          </w:tcPr>
          <w:p w14:paraId="6C0AB00B" w14:textId="77777777" w:rsidR="007D73FD" w:rsidRPr="00901EA0" w:rsidRDefault="007D73FD" w:rsidP="00A5604D">
            <w:pPr>
              <w:spacing w:after="120" w:line="240" w:lineRule="auto"/>
              <w:rPr>
                <w:b/>
                <w:sz w:val="28"/>
                <w:szCs w:val="24"/>
              </w:rPr>
            </w:pPr>
            <w:r w:rsidRPr="00901EA0">
              <w:rPr>
                <w:b/>
                <w:sz w:val="28"/>
                <w:szCs w:val="24"/>
              </w:rPr>
              <w:t>TITLE</w:t>
            </w:r>
          </w:p>
        </w:tc>
        <w:tc>
          <w:tcPr>
            <w:tcW w:w="6650" w:type="dxa"/>
            <w:tcBorders>
              <w:top w:val="single" w:sz="12" w:space="0" w:color="auto"/>
              <w:bottom w:val="single" w:sz="12" w:space="0" w:color="auto"/>
            </w:tcBorders>
          </w:tcPr>
          <w:p w14:paraId="71108244" w14:textId="77777777" w:rsidR="007D73FD" w:rsidRPr="00901EA0" w:rsidRDefault="004765E3" w:rsidP="00A5604D">
            <w:pPr>
              <w:spacing w:after="120" w:line="240" w:lineRule="auto"/>
              <w:rPr>
                <w:b/>
                <w:sz w:val="28"/>
                <w:szCs w:val="24"/>
              </w:rPr>
            </w:pPr>
            <w:bookmarkStart w:id="0" w:name="_Hlk80204752"/>
            <w:r w:rsidRPr="00901EA0">
              <w:rPr>
                <w:b/>
                <w:sz w:val="28"/>
                <w:szCs w:val="24"/>
              </w:rPr>
              <w:t>Plan for Continuous Improvement</w:t>
            </w:r>
            <w:r w:rsidR="00901EA0" w:rsidRPr="00901EA0">
              <w:rPr>
                <w:b/>
                <w:sz w:val="28"/>
                <w:szCs w:val="24"/>
              </w:rPr>
              <w:t xml:space="preserve"> requirements</w:t>
            </w:r>
            <w:bookmarkEnd w:id="0"/>
          </w:p>
        </w:tc>
      </w:tr>
      <w:tr w:rsidR="007D73FD" w:rsidRPr="00901EA0" w14:paraId="51A06546" w14:textId="77777777" w:rsidTr="162A8409">
        <w:tc>
          <w:tcPr>
            <w:tcW w:w="2410" w:type="dxa"/>
            <w:tcBorders>
              <w:top w:val="single" w:sz="12" w:space="0" w:color="auto"/>
              <w:bottom w:val="single" w:sz="2" w:space="0" w:color="auto"/>
            </w:tcBorders>
          </w:tcPr>
          <w:p w14:paraId="54A3FAF2" w14:textId="77777777" w:rsidR="007D73FD" w:rsidRPr="00311629" w:rsidRDefault="007D73FD" w:rsidP="00A5604D">
            <w:pPr>
              <w:spacing w:after="120" w:line="240" w:lineRule="auto"/>
              <w:rPr>
                <w:sz w:val="24"/>
                <w:szCs w:val="24"/>
              </w:rPr>
            </w:pPr>
            <w:r w:rsidRPr="00311629">
              <w:rPr>
                <w:sz w:val="24"/>
                <w:szCs w:val="24"/>
              </w:rPr>
              <w:t>Bulletin number</w:t>
            </w:r>
          </w:p>
        </w:tc>
        <w:tc>
          <w:tcPr>
            <w:tcW w:w="6650" w:type="dxa"/>
            <w:tcBorders>
              <w:top w:val="single" w:sz="12" w:space="0" w:color="auto"/>
              <w:bottom w:val="single" w:sz="2" w:space="0" w:color="auto"/>
            </w:tcBorders>
          </w:tcPr>
          <w:p w14:paraId="31DEF66C" w14:textId="4C469348" w:rsidR="007D73FD" w:rsidRPr="00901EA0" w:rsidRDefault="00901EA0" w:rsidP="00A5604D">
            <w:pPr>
              <w:spacing w:after="120" w:line="240" w:lineRule="auto"/>
              <w:rPr>
                <w:sz w:val="24"/>
                <w:szCs w:val="24"/>
              </w:rPr>
            </w:pPr>
            <w:bookmarkStart w:id="1" w:name="_Hlk80204763"/>
            <w:r w:rsidRPr="00311629">
              <w:rPr>
                <w:sz w:val="24"/>
                <w:szCs w:val="24"/>
              </w:rPr>
              <w:t xml:space="preserve">RB </w:t>
            </w:r>
            <w:r w:rsidR="004765E3" w:rsidRPr="00311629">
              <w:rPr>
                <w:sz w:val="24"/>
                <w:szCs w:val="24"/>
              </w:rPr>
              <w:t>202</w:t>
            </w:r>
            <w:r w:rsidR="7B52F053" w:rsidRPr="00311629">
              <w:rPr>
                <w:sz w:val="24"/>
                <w:szCs w:val="24"/>
              </w:rPr>
              <w:t>1</w:t>
            </w:r>
            <w:r w:rsidR="004765E3" w:rsidRPr="00311629">
              <w:rPr>
                <w:sz w:val="24"/>
                <w:szCs w:val="24"/>
              </w:rPr>
              <w:t>-</w:t>
            </w:r>
            <w:r w:rsidR="00AD03A6" w:rsidRPr="00311629">
              <w:rPr>
                <w:sz w:val="24"/>
                <w:szCs w:val="24"/>
              </w:rPr>
              <w:t>15</w:t>
            </w:r>
            <w:bookmarkEnd w:id="1"/>
          </w:p>
        </w:tc>
      </w:tr>
      <w:tr w:rsidR="007D73FD" w:rsidRPr="00901EA0" w14:paraId="4857921B" w14:textId="77777777" w:rsidTr="162A8409">
        <w:tc>
          <w:tcPr>
            <w:tcW w:w="2410" w:type="dxa"/>
            <w:tcBorders>
              <w:top w:val="single" w:sz="2" w:space="0" w:color="auto"/>
              <w:bottom w:val="single" w:sz="2" w:space="0" w:color="auto"/>
            </w:tcBorders>
          </w:tcPr>
          <w:p w14:paraId="115A18AE" w14:textId="77777777" w:rsidR="007D73FD" w:rsidRPr="00901EA0" w:rsidRDefault="007D73FD" w:rsidP="00A5604D">
            <w:pPr>
              <w:spacing w:after="120" w:line="240" w:lineRule="auto"/>
              <w:rPr>
                <w:sz w:val="24"/>
                <w:szCs w:val="24"/>
              </w:rPr>
            </w:pPr>
            <w:r w:rsidRPr="00901EA0">
              <w:rPr>
                <w:sz w:val="24"/>
                <w:szCs w:val="24"/>
              </w:rPr>
              <w:t>Version number</w:t>
            </w:r>
          </w:p>
        </w:tc>
        <w:tc>
          <w:tcPr>
            <w:tcW w:w="6650" w:type="dxa"/>
            <w:tcBorders>
              <w:top w:val="single" w:sz="2" w:space="0" w:color="auto"/>
              <w:bottom w:val="single" w:sz="2" w:space="0" w:color="auto"/>
            </w:tcBorders>
          </w:tcPr>
          <w:p w14:paraId="4871946A" w14:textId="77777777" w:rsidR="007D73FD" w:rsidRPr="00901EA0" w:rsidRDefault="004765E3" w:rsidP="00A5604D">
            <w:pPr>
              <w:spacing w:after="120" w:line="240" w:lineRule="auto"/>
              <w:rPr>
                <w:sz w:val="24"/>
                <w:szCs w:val="24"/>
              </w:rPr>
            </w:pPr>
            <w:r w:rsidRPr="00901EA0">
              <w:rPr>
                <w:sz w:val="24"/>
                <w:szCs w:val="24"/>
              </w:rPr>
              <w:t>1</w:t>
            </w:r>
            <w:r w:rsidR="007D73FD" w:rsidRPr="00901EA0">
              <w:rPr>
                <w:sz w:val="24"/>
                <w:szCs w:val="24"/>
              </w:rPr>
              <w:t>.0</w:t>
            </w:r>
          </w:p>
        </w:tc>
      </w:tr>
      <w:tr w:rsidR="007D73FD" w:rsidRPr="00901EA0" w14:paraId="1F298565" w14:textId="77777777" w:rsidTr="162A8409">
        <w:tc>
          <w:tcPr>
            <w:tcW w:w="2410" w:type="dxa"/>
            <w:tcBorders>
              <w:top w:val="single" w:sz="2" w:space="0" w:color="auto"/>
              <w:bottom w:val="single" w:sz="2" w:space="0" w:color="auto"/>
            </w:tcBorders>
          </w:tcPr>
          <w:p w14:paraId="628CE95A" w14:textId="77777777" w:rsidR="007D73FD" w:rsidRPr="00901EA0" w:rsidRDefault="007D73FD" w:rsidP="00A5604D">
            <w:pPr>
              <w:spacing w:after="120" w:line="240" w:lineRule="auto"/>
              <w:rPr>
                <w:sz w:val="24"/>
                <w:szCs w:val="24"/>
              </w:rPr>
            </w:pPr>
            <w:r w:rsidRPr="00901EA0">
              <w:rPr>
                <w:sz w:val="24"/>
                <w:szCs w:val="24"/>
              </w:rPr>
              <w:t>Document number</w:t>
            </w:r>
          </w:p>
        </w:tc>
        <w:tc>
          <w:tcPr>
            <w:tcW w:w="6650" w:type="dxa"/>
            <w:tcBorders>
              <w:top w:val="single" w:sz="2" w:space="0" w:color="auto"/>
              <w:bottom w:val="single" w:sz="2" w:space="0" w:color="auto"/>
            </w:tcBorders>
          </w:tcPr>
          <w:p w14:paraId="52E10FD7" w14:textId="5729276D" w:rsidR="007D73FD" w:rsidRPr="00901EA0" w:rsidRDefault="007D73FD" w:rsidP="00A5604D">
            <w:pPr>
              <w:spacing w:after="120" w:line="240" w:lineRule="auto"/>
              <w:rPr>
                <w:sz w:val="24"/>
                <w:szCs w:val="24"/>
              </w:rPr>
            </w:pPr>
            <w:r w:rsidRPr="00901EA0">
              <w:rPr>
                <w:sz w:val="24"/>
                <w:szCs w:val="24"/>
              </w:rPr>
              <w:t>FRM-ACC-</w:t>
            </w:r>
            <w:r w:rsidR="00EA77FC" w:rsidRPr="00EA77FC">
              <w:rPr>
                <w:sz w:val="24"/>
                <w:szCs w:val="24"/>
              </w:rPr>
              <w:t>0756</w:t>
            </w:r>
          </w:p>
        </w:tc>
      </w:tr>
      <w:tr w:rsidR="007D73FD" w:rsidRPr="00901EA0" w14:paraId="6119C58B" w14:textId="77777777" w:rsidTr="001D6719">
        <w:tc>
          <w:tcPr>
            <w:tcW w:w="2410" w:type="dxa"/>
            <w:tcBorders>
              <w:top w:val="single" w:sz="2" w:space="0" w:color="auto"/>
              <w:bottom w:val="single" w:sz="2" w:space="0" w:color="auto"/>
            </w:tcBorders>
          </w:tcPr>
          <w:p w14:paraId="16EF48D0" w14:textId="77777777" w:rsidR="007D73FD" w:rsidRPr="00901EA0" w:rsidRDefault="007D73FD" w:rsidP="00A5604D">
            <w:pPr>
              <w:spacing w:after="120" w:line="240" w:lineRule="auto"/>
              <w:rPr>
                <w:sz w:val="24"/>
                <w:szCs w:val="24"/>
              </w:rPr>
            </w:pPr>
            <w:r w:rsidRPr="00901EA0">
              <w:rPr>
                <w:sz w:val="24"/>
                <w:szCs w:val="24"/>
              </w:rPr>
              <w:t>Publication date</w:t>
            </w:r>
          </w:p>
        </w:tc>
        <w:tc>
          <w:tcPr>
            <w:tcW w:w="6650" w:type="dxa"/>
            <w:tcBorders>
              <w:top w:val="single" w:sz="2" w:space="0" w:color="auto"/>
              <w:bottom w:val="single" w:sz="2" w:space="0" w:color="auto"/>
            </w:tcBorders>
          </w:tcPr>
          <w:p w14:paraId="74C91439" w14:textId="5B055527" w:rsidR="007D73FD" w:rsidRPr="00901EA0" w:rsidRDefault="001D6719" w:rsidP="00A5604D">
            <w:pPr>
              <w:spacing w:after="120" w:line="240" w:lineRule="auto"/>
              <w:rPr>
                <w:sz w:val="24"/>
                <w:szCs w:val="24"/>
              </w:rPr>
            </w:pPr>
            <w:r w:rsidRPr="001D6719">
              <w:rPr>
                <w:sz w:val="24"/>
                <w:szCs w:val="24"/>
              </w:rPr>
              <w:t xml:space="preserve">17 </w:t>
            </w:r>
            <w:r w:rsidR="00706456" w:rsidRPr="001D6719">
              <w:rPr>
                <w:sz w:val="24"/>
                <w:szCs w:val="24"/>
              </w:rPr>
              <w:t>November</w:t>
            </w:r>
            <w:r w:rsidR="006C5FA9" w:rsidRPr="001D6719">
              <w:rPr>
                <w:sz w:val="24"/>
                <w:szCs w:val="24"/>
              </w:rPr>
              <w:t xml:space="preserve"> </w:t>
            </w:r>
            <w:r w:rsidR="003F4359" w:rsidRPr="001D6719">
              <w:rPr>
                <w:sz w:val="24"/>
                <w:szCs w:val="24"/>
              </w:rPr>
              <w:t>2021</w:t>
            </w:r>
          </w:p>
        </w:tc>
      </w:tr>
      <w:tr w:rsidR="007D73FD" w:rsidRPr="00901EA0" w14:paraId="1BA8F897" w14:textId="77777777" w:rsidTr="162A8409">
        <w:tc>
          <w:tcPr>
            <w:tcW w:w="2410" w:type="dxa"/>
            <w:tcBorders>
              <w:top w:val="single" w:sz="2" w:space="0" w:color="auto"/>
              <w:bottom w:val="single" w:sz="4" w:space="0" w:color="auto"/>
            </w:tcBorders>
          </w:tcPr>
          <w:p w14:paraId="34BC42A2" w14:textId="77777777" w:rsidR="007D73FD" w:rsidRPr="00901EA0" w:rsidRDefault="007D73FD" w:rsidP="00A5604D">
            <w:pPr>
              <w:spacing w:after="120" w:line="240" w:lineRule="auto"/>
              <w:rPr>
                <w:sz w:val="24"/>
                <w:szCs w:val="24"/>
              </w:rPr>
            </w:pPr>
            <w:r w:rsidRPr="00901EA0">
              <w:rPr>
                <w:sz w:val="24"/>
                <w:szCs w:val="24"/>
              </w:rPr>
              <w:t>Replaces</w:t>
            </w:r>
          </w:p>
        </w:tc>
        <w:tc>
          <w:tcPr>
            <w:tcW w:w="6650" w:type="dxa"/>
            <w:tcBorders>
              <w:top w:val="single" w:sz="2" w:space="0" w:color="auto"/>
              <w:bottom w:val="single" w:sz="4" w:space="0" w:color="auto"/>
            </w:tcBorders>
          </w:tcPr>
          <w:p w14:paraId="3555123A" w14:textId="77777777" w:rsidR="007D73FD" w:rsidRPr="00901EA0" w:rsidRDefault="004765E3" w:rsidP="00A5604D">
            <w:pPr>
              <w:spacing w:after="120" w:line="240" w:lineRule="auto"/>
              <w:rPr>
                <w:sz w:val="24"/>
                <w:szCs w:val="24"/>
              </w:rPr>
            </w:pPr>
            <w:r w:rsidRPr="00901EA0">
              <w:rPr>
                <w:sz w:val="24"/>
                <w:szCs w:val="24"/>
              </w:rPr>
              <w:t>Initial release</w:t>
            </w:r>
          </w:p>
        </w:tc>
      </w:tr>
      <w:tr w:rsidR="007D73FD" w:rsidRPr="00901EA0" w14:paraId="422D3F81" w14:textId="77777777" w:rsidTr="162A8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3C557134" w14:textId="77777777" w:rsidR="007D73FD" w:rsidRPr="00901EA0" w:rsidRDefault="007D73FD" w:rsidP="00A5604D">
            <w:pPr>
              <w:spacing w:after="120" w:line="240" w:lineRule="auto"/>
              <w:rPr>
                <w:sz w:val="24"/>
                <w:szCs w:val="24"/>
              </w:rPr>
            </w:pPr>
            <w:r w:rsidRPr="00901EA0">
              <w:rPr>
                <w:sz w:val="24"/>
                <w:szCs w:val="24"/>
              </w:rPr>
              <w:t>Information in this bulletin applies to</w:t>
            </w:r>
          </w:p>
        </w:tc>
        <w:tc>
          <w:tcPr>
            <w:tcW w:w="6650" w:type="dxa"/>
            <w:tcBorders>
              <w:top w:val="single" w:sz="4" w:space="0" w:color="auto"/>
              <w:left w:val="nil"/>
              <w:bottom w:val="single" w:sz="4" w:space="0" w:color="auto"/>
              <w:right w:val="nil"/>
            </w:tcBorders>
          </w:tcPr>
          <w:p w14:paraId="34E4A225" w14:textId="77777777" w:rsidR="007D73FD" w:rsidRPr="00901EA0" w:rsidRDefault="005117BF" w:rsidP="00A5604D">
            <w:pPr>
              <w:spacing w:after="120" w:line="240" w:lineRule="auto"/>
              <w:rPr>
                <w:sz w:val="24"/>
                <w:szCs w:val="24"/>
              </w:rPr>
            </w:pPr>
            <w:r w:rsidRPr="00901EA0">
              <w:rPr>
                <w:sz w:val="24"/>
                <w:szCs w:val="24"/>
              </w:rPr>
              <w:t>Accredited services, residential services and home services</w:t>
            </w:r>
          </w:p>
        </w:tc>
      </w:tr>
      <w:tr w:rsidR="007D73FD" w:rsidRPr="00901EA0" w14:paraId="0CBCA89E" w14:textId="77777777" w:rsidTr="162A8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5CEA1E70" w14:textId="77777777" w:rsidR="007D73FD" w:rsidRPr="00901EA0" w:rsidRDefault="007D73FD" w:rsidP="00A5604D">
            <w:pPr>
              <w:spacing w:after="120" w:line="240" w:lineRule="auto"/>
              <w:rPr>
                <w:sz w:val="24"/>
                <w:szCs w:val="24"/>
              </w:rPr>
            </w:pPr>
            <w:r w:rsidRPr="00901EA0">
              <w:rPr>
                <w:sz w:val="24"/>
                <w:szCs w:val="24"/>
              </w:rPr>
              <w:t>Attachment</w:t>
            </w:r>
          </w:p>
        </w:tc>
        <w:tc>
          <w:tcPr>
            <w:tcW w:w="6650" w:type="dxa"/>
            <w:tcBorders>
              <w:top w:val="single" w:sz="4" w:space="0" w:color="auto"/>
              <w:left w:val="nil"/>
              <w:bottom w:val="single" w:sz="4" w:space="0" w:color="auto"/>
              <w:right w:val="nil"/>
            </w:tcBorders>
          </w:tcPr>
          <w:p w14:paraId="1C9EA214" w14:textId="77777777" w:rsidR="007D73FD" w:rsidRPr="00901EA0" w:rsidRDefault="007D73FD" w:rsidP="00A5604D">
            <w:pPr>
              <w:spacing w:after="120" w:line="240" w:lineRule="auto"/>
              <w:rPr>
                <w:sz w:val="24"/>
                <w:szCs w:val="24"/>
              </w:rPr>
            </w:pPr>
            <w:r w:rsidRPr="00901EA0">
              <w:rPr>
                <w:sz w:val="24"/>
                <w:szCs w:val="24"/>
              </w:rPr>
              <w:t>n/a</w:t>
            </w:r>
          </w:p>
        </w:tc>
      </w:tr>
      <w:tr w:rsidR="007D73FD" w:rsidRPr="00901EA0" w14:paraId="174EF6BE" w14:textId="77777777" w:rsidTr="162A8409">
        <w:tc>
          <w:tcPr>
            <w:tcW w:w="2410" w:type="dxa"/>
            <w:tcBorders>
              <w:top w:val="single" w:sz="2" w:space="0" w:color="auto"/>
              <w:bottom w:val="single" w:sz="2" w:space="0" w:color="auto"/>
            </w:tcBorders>
          </w:tcPr>
          <w:p w14:paraId="3C9D7696" w14:textId="77777777" w:rsidR="007D73FD" w:rsidRPr="00901EA0" w:rsidRDefault="007D73FD" w:rsidP="00A5604D">
            <w:pPr>
              <w:spacing w:after="120" w:line="240" w:lineRule="auto"/>
              <w:rPr>
                <w:sz w:val="24"/>
                <w:szCs w:val="24"/>
              </w:rPr>
            </w:pPr>
            <w:r w:rsidRPr="00901EA0">
              <w:rPr>
                <w:sz w:val="24"/>
                <w:szCs w:val="24"/>
              </w:rPr>
              <w:t>Notes</w:t>
            </w:r>
          </w:p>
        </w:tc>
        <w:tc>
          <w:tcPr>
            <w:tcW w:w="6650" w:type="dxa"/>
            <w:tcBorders>
              <w:top w:val="single" w:sz="2" w:space="0" w:color="auto"/>
              <w:bottom w:val="single" w:sz="2" w:space="0" w:color="auto"/>
            </w:tcBorders>
          </w:tcPr>
          <w:p w14:paraId="7FDB3360" w14:textId="77777777" w:rsidR="007D73FD" w:rsidRPr="00901EA0" w:rsidRDefault="007D73FD" w:rsidP="00A5604D">
            <w:pPr>
              <w:spacing w:after="120" w:line="240" w:lineRule="auto"/>
              <w:rPr>
                <w:sz w:val="24"/>
                <w:szCs w:val="24"/>
              </w:rPr>
            </w:pPr>
          </w:p>
        </w:tc>
      </w:tr>
      <w:tr w:rsidR="007D73FD" w:rsidRPr="00901EA0" w14:paraId="7D746041" w14:textId="77777777" w:rsidTr="162A8409">
        <w:tc>
          <w:tcPr>
            <w:tcW w:w="2410" w:type="dxa"/>
            <w:tcBorders>
              <w:top w:val="single" w:sz="2" w:space="0" w:color="auto"/>
              <w:bottom w:val="single" w:sz="2" w:space="0" w:color="auto"/>
            </w:tcBorders>
          </w:tcPr>
          <w:p w14:paraId="4B5C9D15" w14:textId="77777777" w:rsidR="007D73FD" w:rsidRPr="00901EA0" w:rsidRDefault="007D73FD" w:rsidP="00A5604D">
            <w:pPr>
              <w:spacing w:after="120" w:line="240" w:lineRule="auto"/>
              <w:rPr>
                <w:sz w:val="24"/>
                <w:szCs w:val="24"/>
              </w:rPr>
            </w:pPr>
            <w:r w:rsidRPr="00901EA0">
              <w:rPr>
                <w:rFonts w:cs="Arial"/>
                <w:color w:val="313131"/>
                <w:sz w:val="24"/>
                <w:szCs w:val="24"/>
                <w:shd w:val="clear" w:color="auto" w:fill="FFFFFF"/>
              </w:rPr>
              <w:t>To be reviewed</w:t>
            </w:r>
          </w:p>
        </w:tc>
        <w:tc>
          <w:tcPr>
            <w:tcW w:w="6650" w:type="dxa"/>
            <w:tcBorders>
              <w:top w:val="single" w:sz="2" w:space="0" w:color="auto"/>
              <w:bottom w:val="single" w:sz="2" w:space="0" w:color="auto"/>
            </w:tcBorders>
          </w:tcPr>
          <w:p w14:paraId="3B03021A" w14:textId="7EF15422" w:rsidR="007D73FD" w:rsidRPr="00901EA0" w:rsidRDefault="001D6719" w:rsidP="00A5604D">
            <w:pPr>
              <w:spacing w:after="120" w:line="240" w:lineRule="auto"/>
              <w:rPr>
                <w:sz w:val="24"/>
                <w:szCs w:val="24"/>
              </w:rPr>
            </w:pPr>
            <w:r w:rsidRPr="001D6719">
              <w:rPr>
                <w:sz w:val="24"/>
                <w:szCs w:val="24"/>
              </w:rPr>
              <w:t xml:space="preserve">17 </w:t>
            </w:r>
            <w:r w:rsidR="00706456" w:rsidRPr="001D6719">
              <w:rPr>
                <w:sz w:val="24"/>
                <w:szCs w:val="24"/>
              </w:rPr>
              <w:t xml:space="preserve">November </w:t>
            </w:r>
            <w:r w:rsidR="00810555" w:rsidRPr="001D6719">
              <w:rPr>
                <w:sz w:val="24"/>
                <w:szCs w:val="24"/>
              </w:rPr>
              <w:t>2022</w:t>
            </w:r>
          </w:p>
        </w:tc>
      </w:tr>
    </w:tbl>
    <w:p w14:paraId="749DA262" w14:textId="77777777" w:rsidR="00901EA0" w:rsidRDefault="00901EA0" w:rsidP="008356BB">
      <w:pPr>
        <w:pStyle w:val="Heading1"/>
        <w:spacing w:before="240"/>
      </w:pPr>
    </w:p>
    <w:p w14:paraId="5E6B84B5" w14:textId="77777777" w:rsidR="00901EA0" w:rsidRDefault="00901EA0">
      <w:pPr>
        <w:spacing w:before="0" w:after="0" w:line="240" w:lineRule="auto"/>
        <w:rPr>
          <w:b/>
          <w:sz w:val="32"/>
        </w:rPr>
      </w:pPr>
      <w:r>
        <w:br w:type="page"/>
      </w:r>
    </w:p>
    <w:p w14:paraId="5DCEFE60" w14:textId="77777777" w:rsidR="00901EA0" w:rsidRPr="00901EA0" w:rsidRDefault="00901EA0" w:rsidP="00901EA0">
      <w:pPr>
        <w:pStyle w:val="Subtitle"/>
        <w:jc w:val="left"/>
        <w:rPr>
          <w:sz w:val="56"/>
        </w:rPr>
      </w:pPr>
      <w:r w:rsidRPr="00901EA0">
        <w:rPr>
          <w:sz w:val="56"/>
        </w:rPr>
        <w:lastRenderedPageBreak/>
        <w:t>Regulatory Bulletin</w:t>
      </w:r>
    </w:p>
    <w:p w14:paraId="690194EB" w14:textId="703E58B8" w:rsidR="008356BB" w:rsidRPr="00901EA0" w:rsidRDefault="004765E3" w:rsidP="008356BB">
      <w:pPr>
        <w:pStyle w:val="Heading1"/>
        <w:spacing w:before="240"/>
        <w:rPr>
          <w:sz w:val="36"/>
        </w:rPr>
      </w:pPr>
      <w:r w:rsidRPr="00901EA0">
        <w:rPr>
          <w:sz w:val="36"/>
        </w:rPr>
        <w:t>RB 202</w:t>
      </w:r>
      <w:r w:rsidR="003C5A53">
        <w:rPr>
          <w:sz w:val="36"/>
        </w:rPr>
        <w:t>1</w:t>
      </w:r>
      <w:r w:rsidRPr="00901EA0">
        <w:rPr>
          <w:sz w:val="36"/>
        </w:rPr>
        <w:t>-1</w:t>
      </w:r>
      <w:r w:rsidR="003C5A53">
        <w:rPr>
          <w:sz w:val="36"/>
        </w:rPr>
        <w:t>5</w:t>
      </w:r>
      <w:r w:rsidR="00552243">
        <w:rPr>
          <w:sz w:val="36"/>
        </w:rPr>
        <w:t>:</w:t>
      </w:r>
      <w:r w:rsidRPr="00901EA0">
        <w:rPr>
          <w:sz w:val="36"/>
        </w:rPr>
        <w:t xml:space="preserve"> </w:t>
      </w:r>
      <w:r w:rsidR="00B761B4" w:rsidRPr="00901EA0">
        <w:rPr>
          <w:sz w:val="36"/>
        </w:rPr>
        <w:t>Plan for Continuous Improvement</w:t>
      </w:r>
      <w:r w:rsidR="00901EA0" w:rsidRPr="00901EA0">
        <w:rPr>
          <w:sz w:val="36"/>
        </w:rPr>
        <w:t xml:space="preserve"> requirements</w:t>
      </w:r>
    </w:p>
    <w:p w14:paraId="015C2C19" w14:textId="0B2479D5" w:rsidR="00A609F0" w:rsidRDefault="002A47A1" w:rsidP="00B37229">
      <w:pPr>
        <w:spacing w:before="0" w:after="240"/>
        <w:rPr>
          <w:sz w:val="24"/>
          <w:szCs w:val="24"/>
        </w:rPr>
      </w:pPr>
      <w:r>
        <w:rPr>
          <w:sz w:val="24"/>
          <w:szCs w:val="24"/>
        </w:rPr>
        <w:t>P</w:t>
      </w:r>
      <w:r w:rsidR="00A609F0" w:rsidRPr="00330461">
        <w:rPr>
          <w:sz w:val="24"/>
          <w:szCs w:val="24"/>
        </w:rPr>
        <w:t xml:space="preserve">roviders are required to have continuous improvement systems and processes </w:t>
      </w:r>
      <w:r w:rsidR="00A609F0">
        <w:rPr>
          <w:sz w:val="24"/>
          <w:szCs w:val="24"/>
        </w:rPr>
        <w:t xml:space="preserve">that </w:t>
      </w:r>
      <w:r w:rsidR="00A609F0" w:rsidRPr="00330461">
        <w:rPr>
          <w:sz w:val="24"/>
          <w:szCs w:val="24"/>
        </w:rPr>
        <w:t xml:space="preserve">assess, monitor, and improve the quality and safety of care and services. This includes </w:t>
      </w:r>
      <w:r w:rsidR="00A609F0">
        <w:rPr>
          <w:sz w:val="24"/>
          <w:szCs w:val="24"/>
        </w:rPr>
        <w:t>identifying area</w:t>
      </w:r>
      <w:r w:rsidR="007801C3">
        <w:rPr>
          <w:sz w:val="24"/>
          <w:szCs w:val="24"/>
        </w:rPr>
        <w:t>s</w:t>
      </w:r>
      <w:r w:rsidR="00A609F0">
        <w:rPr>
          <w:sz w:val="24"/>
          <w:szCs w:val="24"/>
        </w:rPr>
        <w:t xml:space="preserve"> for improvement as part of the providers</w:t>
      </w:r>
      <w:r w:rsidR="003D780E">
        <w:rPr>
          <w:sz w:val="24"/>
          <w:szCs w:val="24"/>
        </w:rPr>
        <w:t>’</w:t>
      </w:r>
      <w:r w:rsidR="00A609F0">
        <w:rPr>
          <w:sz w:val="24"/>
          <w:szCs w:val="24"/>
        </w:rPr>
        <w:t xml:space="preserve"> </w:t>
      </w:r>
      <w:r w:rsidR="00A609F0" w:rsidRPr="373970FB">
        <w:rPr>
          <w:sz w:val="24"/>
          <w:szCs w:val="24"/>
        </w:rPr>
        <w:t>self-</w:t>
      </w:r>
      <w:r w:rsidR="00A609F0">
        <w:rPr>
          <w:sz w:val="24"/>
          <w:szCs w:val="24"/>
        </w:rPr>
        <w:t xml:space="preserve">assessment of its compliance with the </w:t>
      </w:r>
      <w:r w:rsidR="00A609F0" w:rsidRPr="00901EA0">
        <w:rPr>
          <w:sz w:val="24"/>
          <w:szCs w:val="24"/>
        </w:rPr>
        <w:t xml:space="preserve">Aged Care </w:t>
      </w:r>
      <w:r w:rsidR="00A609F0">
        <w:rPr>
          <w:sz w:val="24"/>
          <w:szCs w:val="24"/>
        </w:rPr>
        <w:t xml:space="preserve">Quality Standards </w:t>
      </w:r>
      <w:r w:rsidR="00A609F0" w:rsidRPr="00901EA0">
        <w:rPr>
          <w:sz w:val="24"/>
          <w:szCs w:val="24"/>
        </w:rPr>
        <w:t>(Quality Standards)</w:t>
      </w:r>
      <w:r w:rsidR="00A609F0">
        <w:rPr>
          <w:sz w:val="24"/>
          <w:szCs w:val="24"/>
        </w:rPr>
        <w:t xml:space="preserve"> in relation to a service</w:t>
      </w:r>
      <w:r w:rsidR="00A609F0" w:rsidRPr="00330461">
        <w:rPr>
          <w:sz w:val="24"/>
          <w:szCs w:val="24"/>
        </w:rPr>
        <w:t>.</w:t>
      </w:r>
      <w:r w:rsidR="00A609F0">
        <w:rPr>
          <w:sz w:val="24"/>
          <w:szCs w:val="24"/>
        </w:rPr>
        <w:t xml:space="preserve"> </w:t>
      </w:r>
    </w:p>
    <w:p w14:paraId="7CBAF8B9" w14:textId="5058DB44" w:rsidR="002A1909" w:rsidRPr="00901EA0" w:rsidRDefault="00901EA0" w:rsidP="00B37229">
      <w:pPr>
        <w:spacing w:before="0" w:after="240"/>
        <w:rPr>
          <w:sz w:val="24"/>
          <w:szCs w:val="24"/>
        </w:rPr>
      </w:pPr>
      <w:r>
        <w:rPr>
          <w:sz w:val="24"/>
          <w:szCs w:val="24"/>
        </w:rPr>
        <w:t>P</w:t>
      </w:r>
      <w:r w:rsidR="001A7B66" w:rsidRPr="00901EA0">
        <w:rPr>
          <w:sz w:val="24"/>
          <w:szCs w:val="24"/>
        </w:rPr>
        <w:t xml:space="preserve">roviders must have a written </w:t>
      </w:r>
      <w:r w:rsidR="00074433" w:rsidRPr="00901EA0">
        <w:rPr>
          <w:sz w:val="24"/>
          <w:szCs w:val="24"/>
        </w:rPr>
        <w:t xml:space="preserve">plan for continuous improvement </w:t>
      </w:r>
      <w:r>
        <w:rPr>
          <w:sz w:val="24"/>
          <w:szCs w:val="24"/>
        </w:rPr>
        <w:t xml:space="preserve">(PCI) and </w:t>
      </w:r>
      <w:r w:rsidR="006728A5">
        <w:rPr>
          <w:sz w:val="24"/>
          <w:szCs w:val="24"/>
        </w:rPr>
        <w:t xml:space="preserve">monitor </w:t>
      </w:r>
      <w:r>
        <w:rPr>
          <w:sz w:val="24"/>
          <w:szCs w:val="24"/>
        </w:rPr>
        <w:t>their progress against that plan to improve the quality and safety of care services</w:t>
      </w:r>
      <w:r w:rsidR="001A7B66" w:rsidRPr="00901EA0">
        <w:rPr>
          <w:sz w:val="24"/>
          <w:szCs w:val="24"/>
        </w:rPr>
        <w:t xml:space="preserve">. </w:t>
      </w:r>
    </w:p>
    <w:p w14:paraId="2BE4CCFD" w14:textId="16977561" w:rsidR="00C43B2B" w:rsidRDefault="00A26CD4" w:rsidP="00B37229">
      <w:pPr>
        <w:spacing w:before="0" w:after="240"/>
        <w:rPr>
          <w:sz w:val="24"/>
          <w:szCs w:val="24"/>
        </w:rPr>
      </w:pPr>
      <w:r>
        <w:rPr>
          <w:sz w:val="24"/>
          <w:szCs w:val="24"/>
        </w:rPr>
        <w:t>The</w:t>
      </w:r>
      <w:r w:rsidRPr="00901EA0">
        <w:rPr>
          <w:sz w:val="24"/>
          <w:szCs w:val="24"/>
        </w:rPr>
        <w:t xml:space="preserve"> PCI should set out </w:t>
      </w:r>
      <w:r w:rsidR="00313420">
        <w:rPr>
          <w:sz w:val="24"/>
          <w:szCs w:val="24"/>
        </w:rPr>
        <w:t xml:space="preserve">any identified areas for improvement, and </w:t>
      </w:r>
      <w:r w:rsidRPr="00901EA0">
        <w:rPr>
          <w:sz w:val="24"/>
          <w:szCs w:val="24"/>
        </w:rPr>
        <w:t>how the provider of the service will make</w:t>
      </w:r>
      <w:r w:rsidR="00C80BEA">
        <w:rPr>
          <w:sz w:val="24"/>
          <w:szCs w:val="24"/>
        </w:rPr>
        <w:t xml:space="preserve"> those</w:t>
      </w:r>
      <w:r w:rsidRPr="00901EA0">
        <w:rPr>
          <w:sz w:val="24"/>
          <w:szCs w:val="24"/>
        </w:rPr>
        <w:t xml:space="preserve"> improvements</w:t>
      </w:r>
      <w:r w:rsidR="009F3375" w:rsidRPr="00901EA0">
        <w:rPr>
          <w:sz w:val="24"/>
          <w:szCs w:val="24"/>
        </w:rPr>
        <w:t xml:space="preserve"> to ensure the </w:t>
      </w:r>
      <w:r w:rsidR="00901EA0" w:rsidRPr="00901EA0">
        <w:rPr>
          <w:sz w:val="24"/>
          <w:szCs w:val="24"/>
        </w:rPr>
        <w:t xml:space="preserve">Quality Standards </w:t>
      </w:r>
      <w:r w:rsidR="009F3375" w:rsidRPr="00901EA0">
        <w:rPr>
          <w:sz w:val="24"/>
          <w:szCs w:val="24"/>
        </w:rPr>
        <w:t>are complied with</w:t>
      </w:r>
      <w:r w:rsidR="009A6A6F">
        <w:rPr>
          <w:sz w:val="24"/>
          <w:szCs w:val="24"/>
        </w:rPr>
        <w:t>.</w:t>
      </w:r>
    </w:p>
    <w:p w14:paraId="7F294196" w14:textId="40426DBA" w:rsidR="008D28D1" w:rsidRPr="00901EA0" w:rsidRDefault="4AFAF53B" w:rsidP="00B37229">
      <w:pPr>
        <w:spacing w:before="0" w:after="240"/>
        <w:rPr>
          <w:sz w:val="24"/>
          <w:szCs w:val="24"/>
        </w:rPr>
      </w:pPr>
      <w:r w:rsidRPr="373970FB">
        <w:rPr>
          <w:sz w:val="24"/>
          <w:szCs w:val="24"/>
        </w:rPr>
        <w:t>T</w:t>
      </w:r>
      <w:r w:rsidR="008D28D1" w:rsidRPr="373970FB">
        <w:rPr>
          <w:sz w:val="24"/>
          <w:szCs w:val="24"/>
        </w:rPr>
        <w:t xml:space="preserve">he </w:t>
      </w:r>
      <w:r w:rsidR="00DF66A2" w:rsidRPr="373970FB">
        <w:rPr>
          <w:sz w:val="24"/>
          <w:szCs w:val="24"/>
        </w:rPr>
        <w:t>Aged Care Quality and Safety Commission (</w:t>
      </w:r>
      <w:r w:rsidR="008D28D1" w:rsidRPr="373970FB">
        <w:rPr>
          <w:sz w:val="24"/>
          <w:szCs w:val="24"/>
        </w:rPr>
        <w:t>Commission</w:t>
      </w:r>
      <w:r w:rsidR="00DF66A2" w:rsidRPr="373970FB">
        <w:rPr>
          <w:sz w:val="24"/>
          <w:szCs w:val="24"/>
        </w:rPr>
        <w:t>)</w:t>
      </w:r>
      <w:r w:rsidR="6E88B459" w:rsidRPr="373970FB">
        <w:rPr>
          <w:sz w:val="24"/>
          <w:szCs w:val="24"/>
        </w:rPr>
        <w:t xml:space="preserve"> may also identify areas of improvement</w:t>
      </w:r>
      <w:r w:rsidR="008D28D1" w:rsidRPr="373970FB">
        <w:rPr>
          <w:sz w:val="24"/>
          <w:szCs w:val="24"/>
        </w:rPr>
        <w:t xml:space="preserve"> against the Quality Standards</w:t>
      </w:r>
      <w:r w:rsidR="007C51CC" w:rsidRPr="007C51CC">
        <w:rPr>
          <w:sz w:val="24"/>
          <w:szCs w:val="24"/>
        </w:rPr>
        <w:t xml:space="preserve"> </w:t>
      </w:r>
      <w:r w:rsidR="00A31430">
        <w:rPr>
          <w:sz w:val="24"/>
          <w:szCs w:val="24"/>
        </w:rPr>
        <w:t xml:space="preserve">based on </w:t>
      </w:r>
      <w:r w:rsidR="00A31430" w:rsidRPr="00A33A37">
        <w:rPr>
          <w:sz w:val="24"/>
          <w:szCs w:val="24"/>
        </w:rPr>
        <w:t xml:space="preserve">information </w:t>
      </w:r>
      <w:r w:rsidR="009350F1" w:rsidRPr="00A33A37">
        <w:rPr>
          <w:sz w:val="24"/>
          <w:szCs w:val="24"/>
        </w:rPr>
        <w:t xml:space="preserve">obtained </w:t>
      </w:r>
      <w:r w:rsidR="00EE6AAB" w:rsidRPr="00A33A37">
        <w:rPr>
          <w:sz w:val="24"/>
          <w:szCs w:val="24"/>
        </w:rPr>
        <w:t>through</w:t>
      </w:r>
      <w:r w:rsidR="00FB6279" w:rsidRPr="00A33A37">
        <w:rPr>
          <w:sz w:val="24"/>
          <w:szCs w:val="24"/>
        </w:rPr>
        <w:t xml:space="preserve"> regulatory </w:t>
      </w:r>
      <w:r w:rsidR="00EE6AAB" w:rsidRPr="00A33A37">
        <w:rPr>
          <w:sz w:val="24"/>
          <w:szCs w:val="24"/>
        </w:rPr>
        <w:t xml:space="preserve">activities </w:t>
      </w:r>
      <w:r w:rsidR="00FB6279" w:rsidRPr="00A33A37">
        <w:rPr>
          <w:sz w:val="24"/>
          <w:szCs w:val="24"/>
        </w:rPr>
        <w:t xml:space="preserve">such as </w:t>
      </w:r>
      <w:r w:rsidR="007C51CC" w:rsidRPr="00A33A37">
        <w:rPr>
          <w:sz w:val="24"/>
          <w:szCs w:val="24"/>
        </w:rPr>
        <w:t>performance</w:t>
      </w:r>
      <w:r w:rsidR="007C51CC" w:rsidRPr="373970FB">
        <w:rPr>
          <w:sz w:val="24"/>
          <w:szCs w:val="24"/>
        </w:rPr>
        <w:t xml:space="preserve"> assessment</w:t>
      </w:r>
      <w:r w:rsidR="00FB6279">
        <w:rPr>
          <w:sz w:val="24"/>
          <w:szCs w:val="24"/>
        </w:rPr>
        <w:t>s</w:t>
      </w:r>
      <w:r w:rsidR="004F4E7B">
        <w:rPr>
          <w:sz w:val="24"/>
          <w:szCs w:val="24"/>
        </w:rPr>
        <w:t xml:space="preserve">, monitoring </w:t>
      </w:r>
      <w:r w:rsidR="00601E63">
        <w:rPr>
          <w:sz w:val="24"/>
          <w:szCs w:val="24"/>
        </w:rPr>
        <w:t>contacts</w:t>
      </w:r>
      <w:r w:rsidR="004F4E7B">
        <w:rPr>
          <w:sz w:val="24"/>
          <w:szCs w:val="24"/>
        </w:rPr>
        <w:t>, complaint</w:t>
      </w:r>
      <w:r w:rsidR="00FB6279">
        <w:rPr>
          <w:sz w:val="24"/>
          <w:szCs w:val="24"/>
        </w:rPr>
        <w:t xml:space="preserve">s or </w:t>
      </w:r>
      <w:r w:rsidR="00156FA8">
        <w:rPr>
          <w:sz w:val="24"/>
          <w:szCs w:val="24"/>
        </w:rPr>
        <w:t>reportable incidents</w:t>
      </w:r>
      <w:r w:rsidR="008D28D1" w:rsidRPr="373970FB">
        <w:rPr>
          <w:sz w:val="24"/>
          <w:szCs w:val="24"/>
        </w:rPr>
        <w:t>.</w:t>
      </w:r>
    </w:p>
    <w:p w14:paraId="1B3415C5" w14:textId="1E4507A3" w:rsidR="00E61634" w:rsidRPr="00901EA0" w:rsidRDefault="00E61634" w:rsidP="00B37229">
      <w:pPr>
        <w:spacing w:before="0" w:after="240"/>
        <w:rPr>
          <w:rFonts w:cs="Arial"/>
          <w:color w:val="000000"/>
          <w:sz w:val="24"/>
          <w:szCs w:val="24"/>
        </w:rPr>
      </w:pPr>
      <w:r w:rsidRPr="00901EA0">
        <w:rPr>
          <w:rFonts w:cs="Arial"/>
          <w:color w:val="000000"/>
          <w:sz w:val="24"/>
          <w:szCs w:val="24"/>
        </w:rPr>
        <w:t>Th</w:t>
      </w:r>
      <w:r w:rsidR="00D90FE5" w:rsidRPr="00901EA0">
        <w:rPr>
          <w:rFonts w:cs="Arial"/>
          <w:color w:val="000000"/>
          <w:sz w:val="24"/>
          <w:szCs w:val="24"/>
        </w:rPr>
        <w:t>is Regulatory Bulletin</w:t>
      </w:r>
      <w:r w:rsidRPr="00901EA0">
        <w:rPr>
          <w:rFonts w:cs="Arial"/>
          <w:color w:val="000000"/>
          <w:sz w:val="24"/>
          <w:szCs w:val="24"/>
        </w:rPr>
        <w:t xml:space="preserve"> </w:t>
      </w:r>
      <w:r w:rsidR="00CA6762" w:rsidRPr="00901EA0">
        <w:rPr>
          <w:rFonts w:cs="Arial"/>
          <w:color w:val="000000"/>
          <w:sz w:val="24"/>
          <w:szCs w:val="24"/>
        </w:rPr>
        <w:t>outlines</w:t>
      </w:r>
      <w:r w:rsidR="00AE3DD0" w:rsidRPr="00901EA0">
        <w:rPr>
          <w:rFonts w:cs="Arial"/>
          <w:color w:val="000000"/>
          <w:sz w:val="24"/>
          <w:szCs w:val="24"/>
        </w:rPr>
        <w:t xml:space="preserve"> </w:t>
      </w:r>
      <w:r w:rsidR="00CE5F31" w:rsidRPr="00901EA0">
        <w:rPr>
          <w:rFonts w:cs="Arial"/>
          <w:color w:val="000000"/>
          <w:sz w:val="24"/>
          <w:szCs w:val="24"/>
        </w:rPr>
        <w:t>the</w:t>
      </w:r>
      <w:r w:rsidR="00CE3460" w:rsidRPr="00901EA0">
        <w:rPr>
          <w:rFonts w:cs="Arial"/>
          <w:color w:val="000000"/>
          <w:sz w:val="24"/>
          <w:szCs w:val="24"/>
        </w:rPr>
        <w:t xml:space="preserve"> </w:t>
      </w:r>
      <w:r w:rsidR="00552243" w:rsidRPr="00901EA0">
        <w:rPr>
          <w:rFonts w:cs="Arial"/>
          <w:color w:val="000000"/>
          <w:sz w:val="24"/>
          <w:szCs w:val="24"/>
        </w:rPr>
        <w:t>Commission’s expectations in relation to</w:t>
      </w:r>
      <w:r w:rsidR="008D28D1">
        <w:rPr>
          <w:rFonts w:cs="Arial"/>
          <w:color w:val="000000"/>
          <w:sz w:val="24"/>
          <w:szCs w:val="24"/>
        </w:rPr>
        <w:t xml:space="preserve"> continuous improvement</w:t>
      </w:r>
      <w:r w:rsidR="004C07EF">
        <w:rPr>
          <w:rFonts w:cs="Arial"/>
          <w:color w:val="000000"/>
          <w:sz w:val="24"/>
          <w:szCs w:val="24"/>
        </w:rPr>
        <w:t xml:space="preserve"> and the</w:t>
      </w:r>
      <w:r w:rsidR="00746B2D">
        <w:rPr>
          <w:rFonts w:cs="Arial"/>
          <w:color w:val="000000"/>
          <w:sz w:val="24"/>
          <w:szCs w:val="24"/>
        </w:rPr>
        <w:t xml:space="preserve"> </w:t>
      </w:r>
      <w:r w:rsidR="00A00AF8">
        <w:rPr>
          <w:rFonts w:cs="Arial"/>
          <w:color w:val="000000"/>
          <w:sz w:val="24"/>
          <w:szCs w:val="24"/>
        </w:rPr>
        <w:t xml:space="preserve">regular </w:t>
      </w:r>
      <w:r w:rsidR="00746B2D">
        <w:rPr>
          <w:rFonts w:cs="Arial"/>
          <w:color w:val="000000"/>
          <w:sz w:val="24"/>
          <w:szCs w:val="24"/>
        </w:rPr>
        <w:t xml:space="preserve">review </w:t>
      </w:r>
      <w:r w:rsidR="00A00AF8">
        <w:rPr>
          <w:rFonts w:cs="Arial"/>
          <w:color w:val="000000"/>
          <w:sz w:val="24"/>
          <w:szCs w:val="24"/>
        </w:rPr>
        <w:t>of</w:t>
      </w:r>
      <w:r w:rsidR="002D474E">
        <w:rPr>
          <w:rFonts w:cs="Arial"/>
          <w:color w:val="000000"/>
          <w:sz w:val="24"/>
          <w:szCs w:val="24"/>
        </w:rPr>
        <w:t xml:space="preserve"> </w:t>
      </w:r>
      <w:r w:rsidR="002D474E" w:rsidRPr="00901EA0">
        <w:rPr>
          <w:rFonts w:cs="Arial"/>
          <w:color w:val="000000"/>
          <w:sz w:val="24"/>
          <w:szCs w:val="24"/>
        </w:rPr>
        <w:t>PCIs</w:t>
      </w:r>
      <w:r w:rsidR="00C9366F">
        <w:rPr>
          <w:rFonts w:cs="Arial"/>
          <w:color w:val="000000"/>
          <w:sz w:val="24"/>
          <w:szCs w:val="24"/>
        </w:rPr>
        <w:t>, as well as</w:t>
      </w:r>
      <w:r w:rsidR="00552243">
        <w:rPr>
          <w:rFonts w:cs="Arial"/>
          <w:color w:val="000000"/>
          <w:sz w:val="24"/>
          <w:szCs w:val="24"/>
        </w:rPr>
        <w:t xml:space="preserve"> the</w:t>
      </w:r>
      <w:r w:rsidR="00552243" w:rsidRPr="00901EA0">
        <w:rPr>
          <w:rFonts w:cs="Arial"/>
          <w:color w:val="000000"/>
          <w:sz w:val="24"/>
          <w:szCs w:val="24"/>
        </w:rPr>
        <w:t xml:space="preserve"> </w:t>
      </w:r>
      <w:r w:rsidR="00CE3460" w:rsidRPr="00901EA0">
        <w:rPr>
          <w:rFonts w:cs="Arial"/>
          <w:color w:val="000000"/>
          <w:sz w:val="24"/>
          <w:szCs w:val="24"/>
        </w:rPr>
        <w:t>Commission’s</w:t>
      </w:r>
      <w:r w:rsidR="00CE5F31" w:rsidRPr="00901EA0">
        <w:rPr>
          <w:rFonts w:cs="Arial"/>
          <w:color w:val="000000"/>
          <w:sz w:val="24"/>
          <w:szCs w:val="24"/>
        </w:rPr>
        <w:t xml:space="preserve"> </w:t>
      </w:r>
      <w:r w:rsidR="007D31BA">
        <w:rPr>
          <w:rFonts w:cs="Arial"/>
          <w:color w:val="000000"/>
          <w:sz w:val="24"/>
          <w:szCs w:val="24"/>
        </w:rPr>
        <w:t>approach</w:t>
      </w:r>
      <w:r w:rsidR="007D31BA" w:rsidRPr="00901EA0">
        <w:rPr>
          <w:rFonts w:cs="Arial"/>
          <w:color w:val="000000"/>
          <w:sz w:val="24"/>
          <w:szCs w:val="24"/>
        </w:rPr>
        <w:t xml:space="preserve"> </w:t>
      </w:r>
      <w:r w:rsidR="00CE5F31" w:rsidRPr="00901EA0">
        <w:rPr>
          <w:rFonts w:cs="Arial"/>
          <w:color w:val="000000"/>
          <w:sz w:val="24"/>
          <w:szCs w:val="24"/>
        </w:rPr>
        <w:t xml:space="preserve">for </w:t>
      </w:r>
      <w:r w:rsidR="00AC413A">
        <w:rPr>
          <w:rFonts w:cs="Arial"/>
          <w:color w:val="000000"/>
          <w:sz w:val="24"/>
          <w:szCs w:val="24"/>
        </w:rPr>
        <w:t xml:space="preserve">engaging </w:t>
      </w:r>
      <w:r w:rsidR="006213F2">
        <w:rPr>
          <w:rFonts w:cs="Arial"/>
          <w:color w:val="000000"/>
          <w:sz w:val="24"/>
          <w:szCs w:val="24"/>
        </w:rPr>
        <w:t xml:space="preserve">with </w:t>
      </w:r>
      <w:r w:rsidR="000E4AA4">
        <w:rPr>
          <w:rFonts w:cs="Arial"/>
          <w:color w:val="000000"/>
          <w:sz w:val="24"/>
          <w:szCs w:val="24"/>
        </w:rPr>
        <w:t xml:space="preserve">a provider in relation to </w:t>
      </w:r>
      <w:r w:rsidR="005052F1">
        <w:rPr>
          <w:rFonts w:cs="Arial"/>
          <w:color w:val="000000"/>
          <w:sz w:val="24"/>
          <w:szCs w:val="24"/>
        </w:rPr>
        <w:t>its PCI</w:t>
      </w:r>
      <w:r w:rsidR="002500FA">
        <w:rPr>
          <w:rFonts w:cs="Arial"/>
          <w:color w:val="000000"/>
          <w:sz w:val="24"/>
          <w:szCs w:val="24"/>
        </w:rPr>
        <w:t xml:space="preserve">, </w:t>
      </w:r>
      <w:r w:rsidR="004C07EF">
        <w:rPr>
          <w:rFonts w:cs="Arial"/>
          <w:color w:val="000000"/>
          <w:sz w:val="24"/>
          <w:szCs w:val="24"/>
        </w:rPr>
        <w:t>in</w:t>
      </w:r>
      <w:r w:rsidR="002500FA">
        <w:rPr>
          <w:rFonts w:cs="Arial"/>
          <w:color w:val="000000"/>
          <w:sz w:val="24"/>
          <w:szCs w:val="24"/>
        </w:rPr>
        <w:t xml:space="preserve">cluding where a </w:t>
      </w:r>
      <w:r w:rsidR="004254A8">
        <w:rPr>
          <w:rFonts w:cs="Arial"/>
          <w:color w:val="000000"/>
          <w:sz w:val="24"/>
          <w:szCs w:val="24"/>
        </w:rPr>
        <w:t xml:space="preserve">provider </w:t>
      </w:r>
      <w:r w:rsidR="00251A25">
        <w:rPr>
          <w:rFonts w:cs="Arial"/>
          <w:color w:val="000000"/>
          <w:sz w:val="24"/>
          <w:szCs w:val="24"/>
        </w:rPr>
        <w:t xml:space="preserve">is </w:t>
      </w:r>
      <w:r w:rsidR="00CE5F31" w:rsidRPr="00901EA0">
        <w:rPr>
          <w:rFonts w:cs="Arial"/>
          <w:color w:val="000000"/>
          <w:sz w:val="24"/>
          <w:szCs w:val="24"/>
        </w:rPr>
        <w:t>direct</w:t>
      </w:r>
      <w:r w:rsidR="00251A25">
        <w:rPr>
          <w:rFonts w:cs="Arial"/>
          <w:color w:val="000000"/>
          <w:sz w:val="24"/>
          <w:szCs w:val="24"/>
        </w:rPr>
        <w:t>ed</w:t>
      </w:r>
      <w:r w:rsidR="00CE5F31" w:rsidRPr="00901EA0">
        <w:rPr>
          <w:rFonts w:cs="Arial"/>
          <w:color w:val="000000"/>
          <w:sz w:val="24"/>
          <w:szCs w:val="24"/>
        </w:rPr>
        <w:t xml:space="preserve"> to revise</w:t>
      </w:r>
      <w:r w:rsidR="00205FD9" w:rsidRPr="00901EA0">
        <w:rPr>
          <w:rFonts w:cs="Arial"/>
          <w:color w:val="000000"/>
          <w:sz w:val="24"/>
          <w:szCs w:val="24"/>
        </w:rPr>
        <w:t xml:space="preserve"> its PCI</w:t>
      </w:r>
      <w:r w:rsidR="002D12B8" w:rsidRPr="00901EA0">
        <w:rPr>
          <w:rFonts w:cs="Arial"/>
          <w:color w:val="000000"/>
          <w:sz w:val="24"/>
          <w:szCs w:val="24"/>
        </w:rPr>
        <w:t xml:space="preserve">. </w:t>
      </w:r>
    </w:p>
    <w:p w14:paraId="3833DEB0" w14:textId="124940B1" w:rsidR="006B0386" w:rsidRPr="00901EA0" w:rsidRDefault="006B0386" w:rsidP="00B37229">
      <w:pPr>
        <w:spacing w:before="0" w:after="240"/>
        <w:rPr>
          <w:rFonts w:cs="Arial"/>
          <w:color w:val="000000"/>
          <w:sz w:val="24"/>
          <w:szCs w:val="24"/>
        </w:rPr>
      </w:pPr>
      <w:r w:rsidRPr="00901EA0">
        <w:rPr>
          <w:rFonts w:cs="Arial"/>
          <w:color w:val="000000"/>
          <w:sz w:val="24"/>
          <w:szCs w:val="24"/>
        </w:rPr>
        <w:t xml:space="preserve">This Regulatory Bulletin should be read in conjunction with </w:t>
      </w:r>
      <w:r w:rsidR="00B7403A">
        <w:rPr>
          <w:rFonts w:cs="Arial"/>
          <w:color w:val="000000"/>
          <w:sz w:val="24"/>
          <w:szCs w:val="24"/>
        </w:rPr>
        <w:t xml:space="preserve">the Commission’s </w:t>
      </w:r>
      <w:hyperlink r:id="rId9" w:history="1">
        <w:r w:rsidR="00B7403A" w:rsidRPr="00C31557">
          <w:rPr>
            <w:rStyle w:val="Hyperlink"/>
            <w:rFonts w:cs="Arial"/>
            <w:sz w:val="24"/>
            <w:szCs w:val="24"/>
          </w:rPr>
          <w:t>Compliance and Enforcement Policy</w:t>
        </w:r>
      </w:hyperlink>
      <w:r w:rsidR="000B541D">
        <w:rPr>
          <w:rStyle w:val="FootnoteReference"/>
          <w:rFonts w:cs="Arial"/>
          <w:color w:val="000000"/>
          <w:sz w:val="24"/>
          <w:szCs w:val="24"/>
        </w:rPr>
        <w:footnoteReference w:id="2"/>
      </w:r>
      <w:r w:rsidR="00B7403A">
        <w:rPr>
          <w:rFonts w:cs="Arial"/>
          <w:color w:val="000000"/>
          <w:sz w:val="24"/>
          <w:szCs w:val="24"/>
        </w:rPr>
        <w:t xml:space="preserve">, </w:t>
      </w:r>
      <w:hyperlink r:id="rId10" w:history="1">
        <w:r w:rsidR="00E95068">
          <w:rPr>
            <w:rStyle w:val="Hyperlink"/>
            <w:rFonts w:cs="Arial"/>
            <w:sz w:val="24"/>
            <w:szCs w:val="24"/>
          </w:rPr>
          <w:t>RB 2019–04 Regulatory Bulletin on Responding to non-compliance with the Aged Care Quality Standards</w:t>
        </w:r>
      </w:hyperlink>
      <w:r w:rsidR="008F3344" w:rsidRPr="00552243">
        <w:rPr>
          <w:rStyle w:val="FootnoteReference"/>
          <w:rFonts w:cs="Arial"/>
          <w:sz w:val="24"/>
          <w:szCs w:val="24"/>
        </w:rPr>
        <w:footnoteReference w:id="3"/>
      </w:r>
      <w:r w:rsidR="006728A5">
        <w:rPr>
          <w:rFonts w:cs="Arial"/>
          <w:color w:val="000000"/>
          <w:sz w:val="24"/>
          <w:szCs w:val="24"/>
        </w:rPr>
        <w:t xml:space="preserve"> and the Commission’s </w:t>
      </w:r>
      <w:hyperlink r:id="rId11" w:history="1">
        <w:r w:rsidR="006728A5" w:rsidRPr="008D28D1">
          <w:rPr>
            <w:rStyle w:val="Hyperlink"/>
            <w:rFonts w:cs="Arial"/>
            <w:sz w:val="24"/>
            <w:szCs w:val="24"/>
          </w:rPr>
          <w:t>Self-Assessment Tool</w:t>
        </w:r>
      </w:hyperlink>
      <w:r w:rsidR="00833E9F">
        <w:rPr>
          <w:rStyle w:val="FootnoteReference"/>
          <w:rFonts w:cs="Arial"/>
          <w:color w:val="000000"/>
          <w:sz w:val="24"/>
          <w:szCs w:val="24"/>
        </w:rPr>
        <w:footnoteReference w:id="4"/>
      </w:r>
      <w:r w:rsidR="006728A5">
        <w:rPr>
          <w:rFonts w:cs="Arial"/>
          <w:color w:val="000000"/>
          <w:sz w:val="24"/>
          <w:szCs w:val="24"/>
        </w:rPr>
        <w:t xml:space="preserve">. </w:t>
      </w:r>
    </w:p>
    <w:p w14:paraId="38F2E1A7" w14:textId="63C788AD" w:rsidR="00552243" w:rsidRPr="00552243" w:rsidRDefault="00552243" w:rsidP="00B37229">
      <w:pPr>
        <w:spacing w:before="0" w:after="240"/>
        <w:rPr>
          <w:rFonts w:eastAsia="Times New Roman"/>
          <w:sz w:val="24"/>
          <w:szCs w:val="24"/>
          <w:lang w:eastAsia="en-AU"/>
        </w:rPr>
      </w:pPr>
      <w:r w:rsidRPr="00552243">
        <w:rPr>
          <w:sz w:val="24"/>
        </w:rPr>
        <w:t xml:space="preserve">Refer to the </w:t>
      </w:r>
      <w:hyperlink r:id="rId12" w:history="1">
        <w:r w:rsidRPr="00552243">
          <w:rPr>
            <w:rStyle w:val="Hyperlink"/>
            <w:sz w:val="24"/>
          </w:rPr>
          <w:t>Commission’s glossary</w:t>
        </w:r>
      </w:hyperlink>
      <w:r w:rsidRPr="00552243">
        <w:rPr>
          <w:rStyle w:val="FootnoteReference"/>
          <w:sz w:val="24"/>
        </w:rPr>
        <w:footnoteReference w:id="5"/>
      </w:r>
      <w:r w:rsidRPr="00552243">
        <w:rPr>
          <w:sz w:val="24"/>
        </w:rPr>
        <w:t xml:space="preserve"> for definitions of key terms. </w:t>
      </w:r>
    </w:p>
    <w:p w14:paraId="368A9AE3" w14:textId="77777777" w:rsidR="00B37229" w:rsidRDefault="00B37229">
      <w:pPr>
        <w:spacing w:before="0" w:after="0" w:line="240" w:lineRule="auto"/>
        <w:rPr>
          <w:b/>
          <w:sz w:val="36"/>
        </w:rPr>
      </w:pPr>
      <w:r>
        <w:rPr>
          <w:sz w:val="36"/>
        </w:rPr>
        <w:br w:type="page"/>
      </w:r>
    </w:p>
    <w:p w14:paraId="516A7EC9" w14:textId="77777777" w:rsidR="00691BEB" w:rsidRPr="00691BEB" w:rsidRDefault="00691BEB" w:rsidP="00691BEB">
      <w:pPr>
        <w:pStyle w:val="Heading2"/>
        <w:spacing w:before="0" w:after="120"/>
        <w:rPr>
          <w:sz w:val="8"/>
        </w:rPr>
      </w:pPr>
    </w:p>
    <w:p w14:paraId="58C783BB" w14:textId="38A5F310" w:rsidR="00712F94" w:rsidRPr="00552243" w:rsidRDefault="00E14F9C" w:rsidP="00691BEB">
      <w:pPr>
        <w:pStyle w:val="Heading2"/>
        <w:spacing w:before="240" w:after="160"/>
        <w:rPr>
          <w:rFonts w:cs="Arial"/>
          <w:sz w:val="36"/>
          <w:lang w:val="en-US"/>
        </w:rPr>
      </w:pPr>
      <w:r w:rsidRPr="00552243">
        <w:rPr>
          <w:sz w:val="36"/>
        </w:rPr>
        <w:t>Key points</w:t>
      </w:r>
    </w:p>
    <w:p w14:paraId="79158262" w14:textId="7D4284B8" w:rsidR="0085177E" w:rsidRPr="0085177E" w:rsidRDefault="004E5BE5" w:rsidP="00B37229">
      <w:pPr>
        <w:pStyle w:val="ListBullet"/>
        <w:spacing w:after="120"/>
        <w:rPr>
          <w:sz w:val="24"/>
          <w:szCs w:val="24"/>
          <w:lang w:val="en-US"/>
        </w:rPr>
      </w:pPr>
      <w:r>
        <w:rPr>
          <w:sz w:val="24"/>
        </w:rPr>
        <w:t xml:space="preserve">As part of </w:t>
      </w:r>
      <w:r w:rsidR="00145172">
        <w:rPr>
          <w:sz w:val="24"/>
        </w:rPr>
        <w:t>continuous improvement systems and processes, pr</w:t>
      </w:r>
      <w:r w:rsidR="0085177E">
        <w:rPr>
          <w:sz w:val="24"/>
        </w:rPr>
        <w:t xml:space="preserve">oviders must have a </w:t>
      </w:r>
      <w:r w:rsidR="001569DA">
        <w:rPr>
          <w:sz w:val="24"/>
        </w:rPr>
        <w:t>PCI</w:t>
      </w:r>
      <w:r w:rsidR="0085177E">
        <w:rPr>
          <w:sz w:val="24"/>
        </w:rPr>
        <w:t xml:space="preserve"> and check their progress against this plan to improve the quality and safety of care services.</w:t>
      </w:r>
    </w:p>
    <w:p w14:paraId="4937E78E" w14:textId="77777777" w:rsidR="00084DE6" w:rsidRPr="00552243" w:rsidRDefault="00084DE6" w:rsidP="00B37229">
      <w:pPr>
        <w:pStyle w:val="ListBullet"/>
        <w:spacing w:after="120"/>
        <w:rPr>
          <w:sz w:val="24"/>
          <w:szCs w:val="24"/>
          <w:lang w:val="en-US"/>
        </w:rPr>
      </w:pPr>
      <w:r w:rsidRPr="00552243">
        <w:rPr>
          <w:sz w:val="24"/>
          <w:szCs w:val="24"/>
        </w:rPr>
        <w:t xml:space="preserve">The </w:t>
      </w:r>
      <w:r w:rsidR="007156AB" w:rsidRPr="00552243">
        <w:rPr>
          <w:sz w:val="24"/>
          <w:szCs w:val="24"/>
        </w:rPr>
        <w:t xml:space="preserve">Commission </w:t>
      </w:r>
      <w:r w:rsidR="005A12B2" w:rsidRPr="00552243">
        <w:rPr>
          <w:sz w:val="24"/>
          <w:szCs w:val="24"/>
        </w:rPr>
        <w:t xml:space="preserve">Rules include specific provisions relating to PCIs </w:t>
      </w:r>
      <w:r w:rsidR="009D7CF8" w:rsidRPr="00552243">
        <w:rPr>
          <w:sz w:val="24"/>
          <w:szCs w:val="24"/>
        </w:rPr>
        <w:t>– providers must have</w:t>
      </w:r>
      <w:r w:rsidR="009D7CF8" w:rsidRPr="00552243">
        <w:rPr>
          <w:sz w:val="24"/>
          <w:szCs w:val="24"/>
          <w:lang w:val="en-US"/>
        </w:rPr>
        <w:t xml:space="preserve"> a</w:t>
      </w:r>
      <w:r w:rsidR="00644976" w:rsidRPr="00552243">
        <w:rPr>
          <w:sz w:val="24"/>
          <w:szCs w:val="24"/>
          <w:lang w:val="en-US"/>
        </w:rPr>
        <w:t xml:space="preserve"> written</w:t>
      </w:r>
      <w:r w:rsidR="009D7CF8" w:rsidRPr="00552243">
        <w:rPr>
          <w:sz w:val="24"/>
          <w:szCs w:val="24"/>
          <w:lang w:val="en-US"/>
        </w:rPr>
        <w:t xml:space="preserve"> PCI</w:t>
      </w:r>
      <w:r w:rsidR="009C6402" w:rsidRPr="00552243">
        <w:rPr>
          <w:sz w:val="24"/>
          <w:szCs w:val="24"/>
          <w:lang w:val="en-US"/>
        </w:rPr>
        <w:t>,</w:t>
      </w:r>
      <w:r w:rsidR="009D7CF8" w:rsidRPr="00552243">
        <w:rPr>
          <w:sz w:val="24"/>
          <w:szCs w:val="24"/>
          <w:lang w:val="en-US"/>
        </w:rPr>
        <w:t xml:space="preserve"> </w:t>
      </w:r>
      <w:r w:rsidR="008174B8" w:rsidRPr="00552243">
        <w:rPr>
          <w:sz w:val="24"/>
          <w:szCs w:val="24"/>
          <w:lang w:val="en-US"/>
        </w:rPr>
        <w:t>must provide a copy of their PCI</w:t>
      </w:r>
      <w:r w:rsidR="0085177E">
        <w:rPr>
          <w:sz w:val="24"/>
          <w:szCs w:val="24"/>
          <w:lang w:val="en-US"/>
        </w:rPr>
        <w:t xml:space="preserve"> to the Commission</w:t>
      </w:r>
      <w:r w:rsidR="008174B8" w:rsidRPr="00552243">
        <w:rPr>
          <w:sz w:val="24"/>
          <w:szCs w:val="24"/>
          <w:lang w:val="en-US"/>
        </w:rPr>
        <w:t xml:space="preserve"> if requested and must revise their PCI if directed</w:t>
      </w:r>
      <w:r w:rsidR="00DB7159" w:rsidRPr="00552243">
        <w:rPr>
          <w:sz w:val="24"/>
          <w:szCs w:val="24"/>
          <w:lang w:val="en-US"/>
        </w:rPr>
        <w:t xml:space="preserve"> by the Commissioner</w:t>
      </w:r>
      <w:r w:rsidR="00644976" w:rsidRPr="00552243">
        <w:rPr>
          <w:sz w:val="24"/>
          <w:szCs w:val="24"/>
          <w:lang w:val="en-US"/>
        </w:rPr>
        <w:t>.</w:t>
      </w:r>
    </w:p>
    <w:p w14:paraId="00BB1977" w14:textId="1A9C7E50" w:rsidR="00F64832" w:rsidRDefault="007304EB" w:rsidP="00B37229">
      <w:pPr>
        <w:pStyle w:val="ListBullet"/>
        <w:spacing w:after="120"/>
        <w:rPr>
          <w:sz w:val="24"/>
          <w:szCs w:val="24"/>
          <w:lang w:val="en-US"/>
        </w:rPr>
      </w:pPr>
      <w:r>
        <w:rPr>
          <w:sz w:val="24"/>
          <w:szCs w:val="24"/>
          <w:lang w:val="en-US"/>
        </w:rPr>
        <w:t>I</w:t>
      </w:r>
      <w:r w:rsidR="00AA0256" w:rsidRPr="00552243">
        <w:rPr>
          <w:sz w:val="24"/>
          <w:szCs w:val="24"/>
          <w:lang w:val="en-US"/>
        </w:rPr>
        <w:t>f</w:t>
      </w:r>
      <w:r w:rsidR="00FE101D" w:rsidRPr="00552243">
        <w:rPr>
          <w:sz w:val="24"/>
          <w:szCs w:val="24"/>
          <w:lang w:val="en-US"/>
        </w:rPr>
        <w:t xml:space="preserve"> the Commissioner</w:t>
      </w:r>
      <w:r w:rsidR="00AA0256" w:rsidRPr="00552243">
        <w:rPr>
          <w:sz w:val="24"/>
          <w:szCs w:val="24"/>
          <w:lang w:val="en-US"/>
        </w:rPr>
        <w:t xml:space="preserve"> reasonably believe</w:t>
      </w:r>
      <w:r w:rsidR="00FE101D" w:rsidRPr="00552243">
        <w:rPr>
          <w:sz w:val="24"/>
          <w:szCs w:val="24"/>
          <w:lang w:val="en-US"/>
        </w:rPr>
        <w:t>s</w:t>
      </w:r>
      <w:r w:rsidR="00AA0256" w:rsidRPr="00552243">
        <w:rPr>
          <w:sz w:val="24"/>
          <w:szCs w:val="24"/>
          <w:lang w:val="en-US"/>
        </w:rPr>
        <w:t xml:space="preserve"> i</w:t>
      </w:r>
      <w:r w:rsidR="00F64832" w:rsidRPr="00552243">
        <w:rPr>
          <w:sz w:val="24"/>
          <w:szCs w:val="24"/>
          <w:lang w:val="en-US"/>
        </w:rPr>
        <w:t>t is necessary</w:t>
      </w:r>
      <w:r w:rsidR="00ED2BE3" w:rsidRPr="00552243">
        <w:rPr>
          <w:sz w:val="24"/>
          <w:szCs w:val="24"/>
          <w:lang w:val="en-US"/>
        </w:rPr>
        <w:t xml:space="preserve"> for the PCI</w:t>
      </w:r>
      <w:r w:rsidR="00C1235F" w:rsidRPr="00552243">
        <w:rPr>
          <w:sz w:val="24"/>
          <w:szCs w:val="24"/>
          <w:lang w:val="en-US"/>
        </w:rPr>
        <w:t xml:space="preserve"> of a service</w:t>
      </w:r>
      <w:r w:rsidR="00ED2BE3" w:rsidRPr="00552243">
        <w:rPr>
          <w:sz w:val="24"/>
          <w:szCs w:val="24"/>
          <w:lang w:val="en-US"/>
        </w:rPr>
        <w:t xml:space="preserve"> to be revised</w:t>
      </w:r>
      <w:r w:rsidR="00F64832" w:rsidRPr="00552243">
        <w:rPr>
          <w:sz w:val="24"/>
          <w:szCs w:val="24"/>
          <w:lang w:val="en-US"/>
        </w:rPr>
        <w:t xml:space="preserve"> to ensure compliance with the Quality Standards</w:t>
      </w:r>
      <w:r>
        <w:rPr>
          <w:sz w:val="24"/>
          <w:szCs w:val="24"/>
          <w:lang w:val="en-US"/>
        </w:rPr>
        <w:t>, the Commission may issue a Direction</w:t>
      </w:r>
      <w:r w:rsidR="00A43108">
        <w:rPr>
          <w:sz w:val="24"/>
          <w:szCs w:val="24"/>
          <w:lang w:val="en-US"/>
        </w:rPr>
        <w:t xml:space="preserve"> </w:t>
      </w:r>
      <w:r w:rsidR="00A43108" w:rsidRPr="006768A9">
        <w:rPr>
          <w:sz w:val="24"/>
          <w:szCs w:val="24"/>
          <w:lang w:val="en-US"/>
        </w:rPr>
        <w:t xml:space="preserve">to revise a PCI </w:t>
      </w:r>
      <w:r w:rsidR="00D53A17">
        <w:rPr>
          <w:sz w:val="24"/>
          <w:szCs w:val="24"/>
          <w:lang w:val="en-US"/>
        </w:rPr>
        <w:t>notice</w:t>
      </w:r>
      <w:r w:rsidR="00A43108">
        <w:rPr>
          <w:sz w:val="24"/>
          <w:szCs w:val="24"/>
          <w:lang w:val="en-US"/>
        </w:rPr>
        <w:t xml:space="preserve"> (Direction </w:t>
      </w:r>
      <w:r w:rsidR="00A54CD0">
        <w:rPr>
          <w:sz w:val="24"/>
          <w:szCs w:val="24"/>
          <w:lang w:val="en-US"/>
        </w:rPr>
        <w:t>N</w:t>
      </w:r>
      <w:r w:rsidR="00A43108">
        <w:rPr>
          <w:sz w:val="24"/>
          <w:szCs w:val="24"/>
          <w:lang w:val="en-US"/>
        </w:rPr>
        <w:t>otice)</w:t>
      </w:r>
      <w:r w:rsidR="00F64832" w:rsidRPr="00552243">
        <w:rPr>
          <w:sz w:val="24"/>
          <w:szCs w:val="24"/>
          <w:lang w:val="en-US"/>
        </w:rPr>
        <w:t xml:space="preserve">.  </w:t>
      </w:r>
    </w:p>
    <w:p w14:paraId="24CCACC5" w14:textId="00A671AC" w:rsidR="007304EB" w:rsidRPr="007304EB" w:rsidRDefault="007304EB" w:rsidP="00B37229">
      <w:pPr>
        <w:pStyle w:val="ListBullet"/>
        <w:spacing w:after="120"/>
        <w:rPr>
          <w:sz w:val="24"/>
          <w:szCs w:val="24"/>
          <w:lang w:val="en-US"/>
        </w:rPr>
      </w:pPr>
      <w:r w:rsidRPr="006768A9">
        <w:rPr>
          <w:sz w:val="24"/>
          <w:szCs w:val="24"/>
          <w:lang w:val="en-US"/>
        </w:rPr>
        <w:t xml:space="preserve">Issuing a Direction </w:t>
      </w:r>
      <w:r w:rsidR="00A54CD0">
        <w:rPr>
          <w:sz w:val="24"/>
          <w:szCs w:val="24"/>
          <w:lang w:val="en-US"/>
        </w:rPr>
        <w:t>N</w:t>
      </w:r>
      <w:r w:rsidR="00A43108">
        <w:rPr>
          <w:sz w:val="24"/>
          <w:szCs w:val="24"/>
          <w:lang w:val="en-US"/>
        </w:rPr>
        <w:t>otice</w:t>
      </w:r>
      <w:r w:rsidRPr="006768A9">
        <w:rPr>
          <w:sz w:val="24"/>
          <w:szCs w:val="24"/>
          <w:lang w:val="en-US"/>
        </w:rPr>
        <w:t xml:space="preserve"> for a service i</w:t>
      </w:r>
      <w:r>
        <w:rPr>
          <w:sz w:val="24"/>
          <w:szCs w:val="24"/>
          <w:lang w:val="en-US"/>
        </w:rPr>
        <w:t xml:space="preserve">s </w:t>
      </w:r>
      <w:r w:rsidR="0020425F">
        <w:rPr>
          <w:sz w:val="24"/>
          <w:szCs w:val="24"/>
          <w:lang w:val="en-US"/>
        </w:rPr>
        <w:t xml:space="preserve">a </w:t>
      </w:r>
      <w:r w:rsidR="00F37161">
        <w:rPr>
          <w:sz w:val="24"/>
          <w:szCs w:val="24"/>
          <w:lang w:val="en-US"/>
        </w:rPr>
        <w:t>regulatory</w:t>
      </w:r>
      <w:r w:rsidR="00F37161" w:rsidRPr="006768A9">
        <w:rPr>
          <w:sz w:val="24"/>
          <w:szCs w:val="24"/>
          <w:lang w:val="en-US"/>
        </w:rPr>
        <w:t xml:space="preserve"> </w:t>
      </w:r>
      <w:r w:rsidRPr="006768A9">
        <w:rPr>
          <w:sz w:val="24"/>
          <w:szCs w:val="24"/>
          <w:lang w:val="en-US"/>
        </w:rPr>
        <w:t xml:space="preserve">action in the Commission’s graduated and escalating set of responses to non-compliance. </w:t>
      </w:r>
    </w:p>
    <w:p w14:paraId="5B0CC06E" w14:textId="1B50076F" w:rsidR="00152F50" w:rsidRPr="00552243" w:rsidRDefault="00F64832" w:rsidP="00B37229">
      <w:pPr>
        <w:pStyle w:val="ListBullet"/>
        <w:spacing w:after="120"/>
        <w:rPr>
          <w:sz w:val="24"/>
          <w:szCs w:val="24"/>
          <w:lang w:val="en-US"/>
        </w:rPr>
      </w:pPr>
      <w:r w:rsidRPr="00552243">
        <w:rPr>
          <w:sz w:val="24"/>
          <w:szCs w:val="24"/>
          <w:lang w:val="en-US"/>
        </w:rPr>
        <w:t>If directed</w:t>
      </w:r>
      <w:r w:rsidR="00A431A0">
        <w:rPr>
          <w:sz w:val="24"/>
          <w:szCs w:val="24"/>
          <w:lang w:val="en-US"/>
        </w:rPr>
        <w:t xml:space="preserve"> by the Commission</w:t>
      </w:r>
      <w:r w:rsidRPr="00552243">
        <w:rPr>
          <w:sz w:val="24"/>
          <w:szCs w:val="24"/>
          <w:lang w:val="en-US"/>
        </w:rPr>
        <w:t xml:space="preserve">, </w:t>
      </w:r>
      <w:r w:rsidR="008F20F1" w:rsidRPr="00552243">
        <w:rPr>
          <w:sz w:val="24"/>
          <w:szCs w:val="24"/>
          <w:lang w:val="en-US"/>
        </w:rPr>
        <w:t>p</w:t>
      </w:r>
      <w:r w:rsidRPr="00552243">
        <w:rPr>
          <w:sz w:val="24"/>
          <w:szCs w:val="24"/>
          <w:lang w:val="en-US"/>
        </w:rPr>
        <w:t xml:space="preserve">roviders must submit a revised PCI </w:t>
      </w:r>
      <w:r w:rsidR="006A3BEF" w:rsidRPr="00552243">
        <w:rPr>
          <w:sz w:val="24"/>
          <w:szCs w:val="24"/>
          <w:lang w:val="en-US"/>
        </w:rPr>
        <w:t>demonstrat</w:t>
      </w:r>
      <w:r w:rsidRPr="00552243">
        <w:rPr>
          <w:sz w:val="24"/>
          <w:szCs w:val="24"/>
          <w:lang w:val="en-US"/>
        </w:rPr>
        <w:t>ing</w:t>
      </w:r>
      <w:r w:rsidR="006A3BEF" w:rsidRPr="00552243">
        <w:rPr>
          <w:sz w:val="24"/>
          <w:szCs w:val="24"/>
          <w:lang w:val="en-US"/>
        </w:rPr>
        <w:t xml:space="preserve"> how</w:t>
      </w:r>
      <w:r w:rsidR="000A1A43" w:rsidRPr="00552243">
        <w:rPr>
          <w:sz w:val="24"/>
          <w:szCs w:val="24"/>
          <w:lang w:val="en-US"/>
        </w:rPr>
        <w:t xml:space="preserve"> </w:t>
      </w:r>
      <w:r w:rsidR="00BC651E" w:rsidRPr="00552243">
        <w:rPr>
          <w:sz w:val="24"/>
          <w:szCs w:val="24"/>
          <w:lang w:val="en-US"/>
        </w:rPr>
        <w:t>improvement</w:t>
      </w:r>
      <w:r w:rsidR="00836F3E" w:rsidRPr="00552243">
        <w:rPr>
          <w:sz w:val="24"/>
          <w:szCs w:val="24"/>
          <w:lang w:val="en-US"/>
        </w:rPr>
        <w:t>s will be made to</w:t>
      </w:r>
      <w:r w:rsidR="00BC651E" w:rsidRPr="00552243">
        <w:rPr>
          <w:sz w:val="24"/>
          <w:szCs w:val="24"/>
          <w:lang w:val="en-US"/>
        </w:rPr>
        <w:t xml:space="preserve"> ensure that the Quality Standards are complied </w:t>
      </w:r>
      <w:r w:rsidR="009A46BD" w:rsidRPr="00552243">
        <w:rPr>
          <w:sz w:val="24"/>
          <w:szCs w:val="24"/>
          <w:lang w:val="en-US"/>
        </w:rPr>
        <w:t>with.</w:t>
      </w:r>
    </w:p>
    <w:p w14:paraId="133F3084" w14:textId="3B670A9E" w:rsidR="00C1235F" w:rsidRPr="00552243" w:rsidRDefault="00C1235F" w:rsidP="00B37229">
      <w:pPr>
        <w:pStyle w:val="ListBullet"/>
        <w:spacing w:after="120"/>
        <w:rPr>
          <w:sz w:val="24"/>
          <w:szCs w:val="24"/>
          <w:lang w:val="en-US"/>
        </w:rPr>
      </w:pPr>
      <w:r w:rsidRPr="00552243">
        <w:rPr>
          <w:sz w:val="24"/>
          <w:szCs w:val="24"/>
          <w:lang w:val="en-US"/>
        </w:rPr>
        <w:t xml:space="preserve">Providers are required to comply with a </w:t>
      </w:r>
      <w:r w:rsidR="00A54CD0">
        <w:rPr>
          <w:sz w:val="24"/>
          <w:szCs w:val="24"/>
          <w:lang w:val="en-US"/>
        </w:rPr>
        <w:t>Direction Notice</w:t>
      </w:r>
      <w:r w:rsidR="00A43108" w:rsidRPr="00552243">
        <w:rPr>
          <w:sz w:val="24"/>
          <w:szCs w:val="24"/>
          <w:lang w:val="en-US"/>
        </w:rPr>
        <w:t xml:space="preserve"> </w:t>
      </w:r>
      <w:r w:rsidRPr="00552243">
        <w:rPr>
          <w:sz w:val="24"/>
          <w:szCs w:val="24"/>
          <w:lang w:val="en-US"/>
        </w:rPr>
        <w:t>within 14 days.</w:t>
      </w:r>
    </w:p>
    <w:p w14:paraId="7A34ED00" w14:textId="45E8F156" w:rsidR="00C1235F" w:rsidRPr="00552243" w:rsidRDefault="00C1235F" w:rsidP="00B37229">
      <w:pPr>
        <w:pStyle w:val="ListBullet"/>
        <w:spacing w:after="120"/>
        <w:rPr>
          <w:sz w:val="24"/>
          <w:szCs w:val="24"/>
          <w:lang w:val="en-US"/>
        </w:rPr>
      </w:pPr>
      <w:r w:rsidRPr="00552243">
        <w:rPr>
          <w:sz w:val="24"/>
          <w:szCs w:val="24"/>
          <w:lang w:val="en-US"/>
        </w:rPr>
        <w:t xml:space="preserve">The Commission will use the revised PCI to develop a </w:t>
      </w:r>
      <w:r w:rsidR="00C41A28">
        <w:rPr>
          <w:sz w:val="24"/>
          <w:szCs w:val="24"/>
          <w:lang w:val="en-US"/>
        </w:rPr>
        <w:t>response</w:t>
      </w:r>
      <w:r w:rsidRPr="00552243">
        <w:rPr>
          <w:sz w:val="24"/>
          <w:szCs w:val="24"/>
          <w:lang w:val="en-US"/>
        </w:rPr>
        <w:t xml:space="preserve"> plan and determine the form and frequency of </w:t>
      </w:r>
      <w:r w:rsidR="0057614D" w:rsidRPr="00552243">
        <w:rPr>
          <w:sz w:val="24"/>
          <w:szCs w:val="24"/>
          <w:lang w:val="en-US"/>
        </w:rPr>
        <w:t>monitor</w:t>
      </w:r>
      <w:r w:rsidR="00B72E49" w:rsidRPr="00552243">
        <w:rPr>
          <w:sz w:val="24"/>
          <w:szCs w:val="24"/>
          <w:lang w:val="en-US"/>
        </w:rPr>
        <w:t>ing</w:t>
      </w:r>
      <w:r w:rsidRPr="00552243">
        <w:rPr>
          <w:sz w:val="24"/>
          <w:szCs w:val="24"/>
          <w:lang w:val="en-US"/>
        </w:rPr>
        <w:t>.</w:t>
      </w:r>
    </w:p>
    <w:p w14:paraId="0A1338E2" w14:textId="0F93FC00" w:rsidR="0056172A" w:rsidRPr="00B63F2E" w:rsidRDefault="009F4770" w:rsidP="00B37229">
      <w:pPr>
        <w:pStyle w:val="ListBullet"/>
        <w:spacing w:after="120"/>
        <w:rPr>
          <w:sz w:val="24"/>
          <w:szCs w:val="24"/>
          <w:lang w:val="en-US"/>
        </w:rPr>
      </w:pPr>
      <w:r w:rsidRPr="009F4770">
        <w:rPr>
          <w:sz w:val="24"/>
          <w:szCs w:val="24"/>
          <w:lang w:val="en-US"/>
        </w:rPr>
        <w:t xml:space="preserve">The non-compliance register published on the Commission’s website will indicate whether </w:t>
      </w:r>
      <w:r w:rsidR="0085177E" w:rsidRPr="009F4770">
        <w:rPr>
          <w:sz w:val="24"/>
          <w:szCs w:val="24"/>
          <w:lang w:val="en-US"/>
        </w:rPr>
        <w:t xml:space="preserve">a </w:t>
      </w:r>
      <w:r w:rsidR="00A54CD0">
        <w:rPr>
          <w:sz w:val="24"/>
          <w:szCs w:val="24"/>
          <w:lang w:val="en-US"/>
        </w:rPr>
        <w:t>Direction Notice</w:t>
      </w:r>
      <w:r w:rsidR="0085177E" w:rsidRPr="009F4770">
        <w:rPr>
          <w:sz w:val="24"/>
          <w:szCs w:val="24"/>
          <w:lang w:val="en-US"/>
        </w:rPr>
        <w:t xml:space="preserve"> has been issued to a provider in response to non</w:t>
      </w:r>
      <w:r w:rsidR="008D28D1">
        <w:rPr>
          <w:sz w:val="24"/>
          <w:szCs w:val="24"/>
          <w:lang w:val="en-US"/>
        </w:rPr>
        <w:noBreakHyphen/>
      </w:r>
      <w:r w:rsidR="0085177E" w:rsidRPr="009F4770">
        <w:rPr>
          <w:sz w:val="24"/>
          <w:szCs w:val="24"/>
          <w:lang w:val="en-US"/>
        </w:rPr>
        <w:t>compliance with the Quality Standards</w:t>
      </w:r>
      <w:r w:rsidR="00827947">
        <w:rPr>
          <w:sz w:val="24"/>
          <w:szCs w:val="24"/>
          <w:lang w:val="en-US"/>
        </w:rPr>
        <w:t>.</w:t>
      </w:r>
    </w:p>
    <w:p w14:paraId="1E79DA25" w14:textId="77777777" w:rsidR="003A2070" w:rsidRPr="00074B28" w:rsidRDefault="003A2070" w:rsidP="00691BEB">
      <w:pPr>
        <w:pStyle w:val="Heading1"/>
        <w:pBdr>
          <w:top w:val="single" w:sz="4" w:space="12" w:color="auto"/>
        </w:pBdr>
        <w:spacing w:before="360"/>
        <w:rPr>
          <w:sz w:val="36"/>
        </w:rPr>
      </w:pPr>
      <w:r>
        <w:rPr>
          <w:sz w:val="36"/>
        </w:rPr>
        <w:t>R</w:t>
      </w:r>
      <w:r w:rsidRPr="00074B28">
        <w:rPr>
          <w:sz w:val="36"/>
        </w:rPr>
        <w:t xml:space="preserve">equirements for continuous improvement </w:t>
      </w:r>
    </w:p>
    <w:p w14:paraId="43B27F14" w14:textId="77777777" w:rsidR="00341C51" w:rsidRPr="00E552DB" w:rsidRDefault="00341C51" w:rsidP="00E552DB">
      <w:pPr>
        <w:spacing w:after="120"/>
        <w:rPr>
          <w:b/>
          <w:color w:val="00577D"/>
          <w:sz w:val="26"/>
          <w:szCs w:val="26"/>
        </w:rPr>
      </w:pPr>
      <w:r w:rsidRPr="00E552DB">
        <w:rPr>
          <w:b/>
          <w:color w:val="00577D"/>
          <w:sz w:val="26"/>
          <w:szCs w:val="26"/>
        </w:rPr>
        <w:t>Aged Care Quality and Safety Commission Rules 2018</w:t>
      </w:r>
    </w:p>
    <w:p w14:paraId="31C2009A" w14:textId="77777777" w:rsidR="00822917" w:rsidRPr="00074B28" w:rsidRDefault="004E6153" w:rsidP="00B37229">
      <w:pPr>
        <w:spacing w:before="0" w:after="240"/>
        <w:rPr>
          <w:sz w:val="24"/>
          <w:lang w:val="en-US"/>
        </w:rPr>
      </w:pPr>
      <w:r w:rsidRPr="00074B28">
        <w:rPr>
          <w:sz w:val="24"/>
          <w:lang w:val="en-US"/>
        </w:rPr>
        <w:t xml:space="preserve">The </w:t>
      </w:r>
      <w:r w:rsidR="00674F12" w:rsidRPr="00074B28">
        <w:rPr>
          <w:sz w:val="24"/>
        </w:rPr>
        <w:t>Aged Care Quality and Safety Commission Rules 2018 (Commission Rules)</w:t>
      </w:r>
      <w:r w:rsidR="00674F12">
        <w:rPr>
          <w:sz w:val="24"/>
        </w:rPr>
        <w:t xml:space="preserve"> </w:t>
      </w:r>
      <w:r w:rsidR="00822917" w:rsidRPr="00074B28">
        <w:rPr>
          <w:sz w:val="24"/>
          <w:lang w:val="en-US"/>
        </w:rPr>
        <w:t xml:space="preserve">set out the legislative requirements </w:t>
      </w:r>
      <w:r w:rsidR="008F2DFE" w:rsidRPr="00074B28">
        <w:rPr>
          <w:sz w:val="24"/>
          <w:lang w:val="en-US"/>
        </w:rPr>
        <w:t xml:space="preserve">of providers and the Commission in relation to continuous improvement.  </w:t>
      </w:r>
    </w:p>
    <w:p w14:paraId="7A9DE1B8" w14:textId="77777777" w:rsidR="00175002" w:rsidRPr="00074B28" w:rsidRDefault="00175002" w:rsidP="00B37229">
      <w:pPr>
        <w:spacing w:before="0" w:after="240"/>
        <w:rPr>
          <w:sz w:val="24"/>
          <w:lang w:val="en-US"/>
        </w:rPr>
      </w:pPr>
      <w:r w:rsidRPr="00074B28">
        <w:rPr>
          <w:sz w:val="24"/>
          <w:lang w:val="en-US"/>
        </w:rPr>
        <w:t xml:space="preserve">When applying for accreditation or re-accreditation, providers are required under Section 28(1)(c) of the Rules to include an undertaking in their application that they will undertake continuous improvement in relation to the service as measured against the Quality Standards. </w:t>
      </w:r>
    </w:p>
    <w:p w14:paraId="3E227402" w14:textId="77777777" w:rsidR="000C4E2E" w:rsidRDefault="000C4E2E">
      <w:pPr>
        <w:spacing w:before="0" w:after="0" w:line="240" w:lineRule="auto"/>
        <w:rPr>
          <w:sz w:val="24"/>
          <w:lang w:val="en-US"/>
        </w:rPr>
      </w:pPr>
      <w:r>
        <w:rPr>
          <w:sz w:val="24"/>
          <w:lang w:val="en-US"/>
        </w:rPr>
        <w:br w:type="page"/>
      </w:r>
    </w:p>
    <w:p w14:paraId="15E93E84" w14:textId="7DA1AACD" w:rsidR="00500063" w:rsidRPr="00074B28" w:rsidRDefault="00C11586" w:rsidP="00B37229">
      <w:pPr>
        <w:spacing w:after="120"/>
        <w:rPr>
          <w:sz w:val="24"/>
          <w:lang w:val="en-US"/>
        </w:rPr>
      </w:pPr>
      <w:r w:rsidRPr="00074B28">
        <w:rPr>
          <w:sz w:val="24"/>
          <w:lang w:val="en-US"/>
        </w:rPr>
        <w:lastRenderedPageBreak/>
        <w:t xml:space="preserve">Section 62 of the Commission Rules </w:t>
      </w:r>
      <w:r w:rsidR="008158E1" w:rsidRPr="00074B28">
        <w:rPr>
          <w:sz w:val="24"/>
          <w:lang w:val="en-US"/>
        </w:rPr>
        <w:t>require</w:t>
      </w:r>
      <w:r w:rsidR="0035699E" w:rsidRPr="00074B28">
        <w:rPr>
          <w:sz w:val="24"/>
          <w:lang w:val="en-US"/>
        </w:rPr>
        <w:t>s</w:t>
      </w:r>
      <w:r w:rsidR="008158E1" w:rsidRPr="00074B28">
        <w:rPr>
          <w:sz w:val="24"/>
          <w:lang w:val="en-US"/>
        </w:rPr>
        <w:t xml:space="preserve"> </w:t>
      </w:r>
      <w:r w:rsidR="00901131" w:rsidRPr="00074B28">
        <w:rPr>
          <w:sz w:val="24"/>
          <w:lang w:val="en-US"/>
        </w:rPr>
        <w:t>a</w:t>
      </w:r>
      <w:r w:rsidR="000730D5" w:rsidRPr="00074B28">
        <w:rPr>
          <w:sz w:val="24"/>
          <w:lang w:val="en-US"/>
        </w:rPr>
        <w:t>ccredited services, residential services</w:t>
      </w:r>
      <w:r w:rsidR="0035699E" w:rsidRPr="00074B28">
        <w:rPr>
          <w:sz w:val="24"/>
          <w:lang w:val="en-US"/>
        </w:rPr>
        <w:t xml:space="preserve"> (including previously accredited services)</w:t>
      </w:r>
      <w:r w:rsidR="000730D5" w:rsidRPr="00074B28">
        <w:rPr>
          <w:sz w:val="24"/>
          <w:lang w:val="en-US"/>
        </w:rPr>
        <w:t xml:space="preserve"> and home services to have a </w:t>
      </w:r>
      <w:r w:rsidR="00984284" w:rsidRPr="00074B28">
        <w:rPr>
          <w:sz w:val="24"/>
          <w:lang w:val="en-US"/>
        </w:rPr>
        <w:t xml:space="preserve">written </w:t>
      </w:r>
      <w:r w:rsidR="00544379" w:rsidRPr="00074B28">
        <w:rPr>
          <w:sz w:val="24"/>
          <w:lang w:val="en-US"/>
        </w:rPr>
        <w:t>PCI</w:t>
      </w:r>
      <w:r w:rsidR="00984284" w:rsidRPr="00074B28">
        <w:rPr>
          <w:sz w:val="24"/>
          <w:lang w:val="en-US"/>
        </w:rPr>
        <w:t xml:space="preserve"> that sets out how the provider will: </w:t>
      </w:r>
      <w:r w:rsidR="000730D5" w:rsidRPr="00074B28">
        <w:rPr>
          <w:sz w:val="24"/>
          <w:lang w:val="en-US"/>
        </w:rPr>
        <w:t xml:space="preserve">  </w:t>
      </w:r>
    </w:p>
    <w:p w14:paraId="30100C5F" w14:textId="77777777" w:rsidR="00F52905" w:rsidRPr="00074B28" w:rsidRDefault="00AB548D" w:rsidP="0056172A">
      <w:pPr>
        <w:pStyle w:val="ListParagraph"/>
        <w:numPr>
          <w:ilvl w:val="0"/>
          <w:numId w:val="7"/>
        </w:numPr>
        <w:spacing w:after="0"/>
        <w:ind w:left="777" w:hanging="357"/>
        <w:contextualSpacing w:val="0"/>
        <w:rPr>
          <w:sz w:val="24"/>
        </w:rPr>
      </w:pPr>
      <w:r w:rsidRPr="00074B28">
        <w:rPr>
          <w:sz w:val="24"/>
        </w:rPr>
        <w:t>assess the quality of care and services p</w:t>
      </w:r>
      <w:r w:rsidR="001D7999" w:rsidRPr="00074B28">
        <w:rPr>
          <w:sz w:val="24"/>
        </w:rPr>
        <w:t>rovided against the Quality Standards</w:t>
      </w:r>
    </w:p>
    <w:p w14:paraId="72B757C0" w14:textId="77777777" w:rsidR="00A42E20" w:rsidRPr="00074B28" w:rsidRDefault="001D7999" w:rsidP="0056172A">
      <w:pPr>
        <w:pStyle w:val="ListParagraph"/>
        <w:numPr>
          <w:ilvl w:val="0"/>
          <w:numId w:val="7"/>
        </w:numPr>
        <w:spacing w:after="120"/>
        <w:ind w:left="777" w:hanging="357"/>
        <w:contextualSpacing w:val="0"/>
        <w:rPr>
          <w:sz w:val="24"/>
        </w:rPr>
      </w:pPr>
      <w:r w:rsidRPr="00074B28">
        <w:rPr>
          <w:sz w:val="24"/>
        </w:rPr>
        <w:t>mon</w:t>
      </w:r>
      <w:r w:rsidR="00F52905" w:rsidRPr="00074B28">
        <w:rPr>
          <w:sz w:val="24"/>
        </w:rPr>
        <w:t>itor and improve the quality of care and services as measured against th</w:t>
      </w:r>
      <w:r w:rsidR="00CF2594" w:rsidRPr="00074B28">
        <w:rPr>
          <w:sz w:val="24"/>
        </w:rPr>
        <w:t>ose Standards</w:t>
      </w:r>
    </w:p>
    <w:p w14:paraId="7EAE4646" w14:textId="77777777" w:rsidR="00CF2594" w:rsidRPr="00074B28" w:rsidRDefault="00074B28" w:rsidP="0056172A">
      <w:pPr>
        <w:pStyle w:val="ListParagraph"/>
        <w:numPr>
          <w:ilvl w:val="0"/>
          <w:numId w:val="7"/>
        </w:numPr>
        <w:rPr>
          <w:sz w:val="24"/>
        </w:rPr>
      </w:pPr>
      <w:r w:rsidRPr="00074B28">
        <w:rPr>
          <w:sz w:val="24"/>
        </w:rPr>
        <w:t>if there are any</w:t>
      </w:r>
      <w:r w:rsidR="00B45BB9" w:rsidRPr="00074B28">
        <w:rPr>
          <w:sz w:val="24"/>
        </w:rPr>
        <w:t xml:space="preserve"> areas </w:t>
      </w:r>
      <w:r w:rsidRPr="00074B28">
        <w:rPr>
          <w:sz w:val="24"/>
        </w:rPr>
        <w:t>in which</w:t>
      </w:r>
      <w:r w:rsidR="00B45BB9" w:rsidRPr="00074B28">
        <w:rPr>
          <w:sz w:val="24"/>
        </w:rPr>
        <w:t xml:space="preserve"> improvement</w:t>
      </w:r>
      <w:r w:rsidRPr="00074B28">
        <w:rPr>
          <w:sz w:val="24"/>
        </w:rPr>
        <w:t>s</w:t>
      </w:r>
      <w:r w:rsidR="00B45BB9" w:rsidRPr="00074B28">
        <w:rPr>
          <w:sz w:val="24"/>
        </w:rPr>
        <w:t xml:space="preserve"> in relation to the service </w:t>
      </w:r>
      <w:r w:rsidRPr="00074B28">
        <w:rPr>
          <w:sz w:val="24"/>
        </w:rPr>
        <w:t xml:space="preserve">are needed to </w:t>
      </w:r>
      <w:r w:rsidR="00124CC9" w:rsidRPr="00074B28">
        <w:rPr>
          <w:sz w:val="24"/>
        </w:rPr>
        <w:t xml:space="preserve">ensure that the Quality Standards are complied with, </w:t>
      </w:r>
      <w:r w:rsidR="00AF6D40" w:rsidRPr="00074B28">
        <w:rPr>
          <w:sz w:val="24"/>
        </w:rPr>
        <w:t>how those improvements will be made.</w:t>
      </w:r>
      <w:r w:rsidR="00AF6D40" w:rsidRPr="00074B28">
        <w:rPr>
          <w:strike/>
          <w:sz w:val="24"/>
        </w:rPr>
        <w:t xml:space="preserve"> </w:t>
      </w:r>
    </w:p>
    <w:p w14:paraId="7ECAF06D" w14:textId="77777777" w:rsidR="00596F8B" w:rsidRPr="00074B28" w:rsidRDefault="00AF6D40" w:rsidP="00B37229">
      <w:pPr>
        <w:spacing w:before="0" w:after="240"/>
        <w:rPr>
          <w:sz w:val="24"/>
        </w:rPr>
      </w:pPr>
      <w:r w:rsidRPr="00074B28">
        <w:rPr>
          <w:sz w:val="24"/>
        </w:rPr>
        <w:t>If the Commissioner asks</w:t>
      </w:r>
      <w:r w:rsidR="001810C7" w:rsidRPr="00074B28">
        <w:rPr>
          <w:sz w:val="24"/>
        </w:rPr>
        <w:t>, by written notice,</w:t>
      </w:r>
      <w:r w:rsidRPr="00074B28">
        <w:rPr>
          <w:sz w:val="24"/>
        </w:rPr>
        <w:t xml:space="preserve"> for a copy </w:t>
      </w:r>
      <w:r w:rsidR="000121CC" w:rsidRPr="00074B28">
        <w:rPr>
          <w:sz w:val="24"/>
        </w:rPr>
        <w:t>of the PCI for the service, the provider must comply with the request</w:t>
      </w:r>
      <w:r w:rsidR="00596F8B" w:rsidRPr="00074B28">
        <w:rPr>
          <w:sz w:val="24"/>
        </w:rPr>
        <w:t xml:space="preserve"> within 14 days</w:t>
      </w:r>
      <w:r w:rsidR="00D53A17">
        <w:rPr>
          <w:sz w:val="24"/>
        </w:rPr>
        <w:t>.</w:t>
      </w:r>
    </w:p>
    <w:p w14:paraId="4A766F52" w14:textId="6FB6812B" w:rsidR="00674F12" w:rsidRPr="00E552DB" w:rsidRDefault="00674F12" w:rsidP="00B37229">
      <w:pPr>
        <w:spacing w:before="0" w:after="120"/>
        <w:rPr>
          <w:b/>
          <w:color w:val="00577D"/>
          <w:sz w:val="26"/>
          <w:szCs w:val="26"/>
        </w:rPr>
      </w:pPr>
      <w:r w:rsidRPr="00E552DB">
        <w:rPr>
          <w:b/>
          <w:color w:val="00577D"/>
          <w:sz w:val="26"/>
          <w:szCs w:val="26"/>
        </w:rPr>
        <w:t>Aged Care Quality Standards</w:t>
      </w:r>
    </w:p>
    <w:p w14:paraId="3C998205" w14:textId="77777777" w:rsidR="00674F12" w:rsidRPr="00074B28" w:rsidRDefault="00674F12" w:rsidP="00B37229">
      <w:pPr>
        <w:spacing w:before="0" w:after="240"/>
        <w:rPr>
          <w:sz w:val="24"/>
        </w:rPr>
      </w:pPr>
      <w:r w:rsidRPr="00074B28">
        <w:rPr>
          <w:sz w:val="24"/>
        </w:rPr>
        <w:t xml:space="preserve">The Commission expects </w:t>
      </w:r>
      <w:r>
        <w:rPr>
          <w:sz w:val="24"/>
        </w:rPr>
        <w:t>providers of</w:t>
      </w:r>
      <w:r w:rsidRPr="00074B28">
        <w:rPr>
          <w:sz w:val="24"/>
        </w:rPr>
        <w:t xml:space="preserve"> aged care services to comply with the Quality Standards.</w:t>
      </w:r>
    </w:p>
    <w:p w14:paraId="681DBC80" w14:textId="77777777" w:rsidR="00674F12" w:rsidRPr="00074B28" w:rsidRDefault="00674F12" w:rsidP="00B37229">
      <w:pPr>
        <w:spacing w:before="0" w:after="240"/>
        <w:rPr>
          <w:sz w:val="24"/>
        </w:rPr>
      </w:pPr>
      <w:r>
        <w:rPr>
          <w:sz w:val="24"/>
        </w:rPr>
        <w:t>Standard 8 requires an organisations’ governing body to be accountable for the delivery of safe and quality care and services. This includes having e</w:t>
      </w:r>
      <w:r w:rsidRPr="00074B28">
        <w:rPr>
          <w:sz w:val="24"/>
        </w:rPr>
        <w:t xml:space="preserve">ffective organisation wide governance systems relating to </w:t>
      </w:r>
      <w:r w:rsidRPr="00C07726">
        <w:rPr>
          <w:sz w:val="24"/>
        </w:rPr>
        <w:t>continuous improvement. Under Standard 8 requirement 3(c) o</w:t>
      </w:r>
      <w:r w:rsidRPr="00074B28">
        <w:rPr>
          <w:sz w:val="24"/>
        </w:rPr>
        <w:t>rganisations must have a plan for continuous improvement and check their progress against this plan to improve the quality and safety of care services.</w:t>
      </w:r>
    </w:p>
    <w:p w14:paraId="57D56DAA" w14:textId="77777777" w:rsidR="005E3A85" w:rsidRPr="00E552DB" w:rsidRDefault="005E3A85" w:rsidP="00E552DB">
      <w:pPr>
        <w:pStyle w:val="Heading1"/>
        <w:spacing w:before="360"/>
        <w:rPr>
          <w:sz w:val="36"/>
        </w:rPr>
      </w:pPr>
      <w:r w:rsidRPr="00E552DB">
        <w:rPr>
          <w:sz w:val="36"/>
        </w:rPr>
        <w:t xml:space="preserve">Direction to revise a plan for continuous improvement </w:t>
      </w:r>
    </w:p>
    <w:p w14:paraId="31DCF391" w14:textId="41C9197C" w:rsidR="0056172A" w:rsidRDefault="0056172A" w:rsidP="00B37229">
      <w:pPr>
        <w:spacing w:before="0" w:after="240"/>
        <w:rPr>
          <w:rFonts w:eastAsia="Times New Roman" w:cs="Arial"/>
          <w:sz w:val="24"/>
          <w:szCs w:val="24"/>
        </w:rPr>
      </w:pPr>
      <w:r>
        <w:rPr>
          <w:rFonts w:eastAsia="Times New Roman" w:cs="Arial"/>
          <w:sz w:val="24"/>
          <w:szCs w:val="24"/>
        </w:rPr>
        <w:t xml:space="preserve">The Commission </w:t>
      </w:r>
      <w:r w:rsidR="002F7ECA">
        <w:rPr>
          <w:rFonts w:eastAsia="Times New Roman" w:cs="Arial"/>
          <w:sz w:val="24"/>
          <w:szCs w:val="24"/>
        </w:rPr>
        <w:t xml:space="preserve">has </w:t>
      </w:r>
      <w:r>
        <w:rPr>
          <w:rFonts w:eastAsia="Times New Roman" w:cs="Arial"/>
          <w:sz w:val="24"/>
          <w:szCs w:val="24"/>
        </w:rPr>
        <w:t>a risk-based and proportionate approach to determine its regulatory response</w:t>
      </w:r>
      <w:r w:rsidRPr="004E2C64">
        <w:rPr>
          <w:rFonts w:eastAsia="Times New Roman" w:cs="Arial"/>
          <w:sz w:val="24"/>
          <w:szCs w:val="24"/>
        </w:rPr>
        <w:t xml:space="preserve"> </w:t>
      </w:r>
      <w:r>
        <w:rPr>
          <w:rFonts w:eastAsia="Times New Roman" w:cs="Arial"/>
          <w:sz w:val="24"/>
          <w:szCs w:val="24"/>
        </w:rPr>
        <w:t xml:space="preserve">to </w:t>
      </w:r>
      <w:r w:rsidR="00B759D6">
        <w:rPr>
          <w:rFonts w:eastAsia="Times New Roman" w:cs="Arial"/>
          <w:sz w:val="24"/>
          <w:szCs w:val="24"/>
        </w:rPr>
        <w:t xml:space="preserve">a provider’s </w:t>
      </w:r>
      <w:r>
        <w:rPr>
          <w:rFonts w:eastAsia="Times New Roman" w:cs="Arial"/>
          <w:sz w:val="24"/>
          <w:szCs w:val="24"/>
        </w:rPr>
        <w:t xml:space="preserve">non-compliance with </w:t>
      </w:r>
      <w:r w:rsidR="00B759D6">
        <w:rPr>
          <w:rFonts w:eastAsia="Times New Roman" w:cs="Arial"/>
          <w:sz w:val="24"/>
          <w:szCs w:val="24"/>
        </w:rPr>
        <w:t xml:space="preserve">its </w:t>
      </w:r>
      <w:r w:rsidR="0057433F">
        <w:rPr>
          <w:rFonts w:eastAsia="Times New Roman" w:cs="Arial"/>
          <w:sz w:val="24"/>
          <w:szCs w:val="24"/>
        </w:rPr>
        <w:t xml:space="preserve">aged care responsibilities, including compliance with </w:t>
      </w:r>
      <w:r>
        <w:rPr>
          <w:rFonts w:eastAsia="Times New Roman" w:cs="Arial"/>
          <w:sz w:val="24"/>
          <w:szCs w:val="24"/>
        </w:rPr>
        <w:t xml:space="preserve">the Quality Standards. </w:t>
      </w:r>
    </w:p>
    <w:p w14:paraId="0478CF3B" w14:textId="3B0AA1FC" w:rsidR="005D1A69" w:rsidRDefault="005D1A69" w:rsidP="00B37229">
      <w:pPr>
        <w:spacing w:before="0" w:after="240"/>
        <w:rPr>
          <w:rFonts w:eastAsia="Times New Roman" w:cs="Arial"/>
          <w:sz w:val="24"/>
          <w:szCs w:val="24"/>
        </w:rPr>
      </w:pPr>
      <w:r>
        <w:rPr>
          <w:rFonts w:eastAsia="Times New Roman" w:cs="Arial"/>
          <w:sz w:val="24"/>
          <w:szCs w:val="24"/>
        </w:rPr>
        <w:t xml:space="preserve">Where the Commission reasonably believes that it is necessary for the PCI </w:t>
      </w:r>
      <w:r w:rsidR="00366384">
        <w:rPr>
          <w:rFonts w:eastAsia="Times New Roman" w:cs="Arial"/>
          <w:sz w:val="24"/>
          <w:szCs w:val="24"/>
        </w:rPr>
        <w:t>of</w:t>
      </w:r>
      <w:r>
        <w:rPr>
          <w:rFonts w:eastAsia="Times New Roman" w:cs="Arial"/>
          <w:sz w:val="24"/>
          <w:szCs w:val="24"/>
        </w:rPr>
        <w:t xml:space="preserve"> an accredited service, residential service or home service to be revised to ensure that the Quality Standards are complied with, the Commissioner or delegate may direct the provider to revise the plan and provide a copy</w:t>
      </w:r>
      <w:r w:rsidR="00FA0442" w:rsidRPr="00FA0442">
        <w:rPr>
          <w:rFonts w:eastAsia="Times New Roman" w:cs="Arial"/>
          <w:sz w:val="24"/>
          <w:szCs w:val="24"/>
        </w:rPr>
        <w:t xml:space="preserve"> </w:t>
      </w:r>
      <w:r w:rsidR="00252F26">
        <w:rPr>
          <w:rFonts w:eastAsia="Times New Roman" w:cs="Arial"/>
          <w:sz w:val="24"/>
          <w:szCs w:val="24"/>
        </w:rPr>
        <w:t xml:space="preserve">of the revised plan </w:t>
      </w:r>
      <w:r w:rsidR="00FA0442">
        <w:rPr>
          <w:rFonts w:eastAsia="Times New Roman" w:cs="Arial"/>
          <w:sz w:val="24"/>
          <w:szCs w:val="24"/>
        </w:rPr>
        <w:t>within 14 days, under section 63A</w:t>
      </w:r>
      <w:r w:rsidR="002E57AE">
        <w:rPr>
          <w:rFonts w:eastAsia="Times New Roman" w:cs="Arial"/>
          <w:sz w:val="24"/>
          <w:szCs w:val="24"/>
        </w:rPr>
        <w:t>(2)</w:t>
      </w:r>
      <w:r w:rsidR="00FA0442">
        <w:rPr>
          <w:rFonts w:eastAsia="Times New Roman" w:cs="Arial"/>
          <w:sz w:val="24"/>
          <w:szCs w:val="24"/>
        </w:rPr>
        <w:t xml:space="preserve"> of the Commission Rules.</w:t>
      </w:r>
    </w:p>
    <w:p w14:paraId="29B2BDD6" w14:textId="3C7E6AD6" w:rsidR="00BD23AD" w:rsidRDefault="005D1A69" w:rsidP="00B37229">
      <w:pPr>
        <w:spacing w:before="0" w:after="240"/>
        <w:rPr>
          <w:rFonts w:eastAsia="Times New Roman" w:cs="Arial"/>
          <w:sz w:val="24"/>
          <w:szCs w:val="24"/>
        </w:rPr>
      </w:pPr>
      <w:r>
        <w:rPr>
          <w:rFonts w:eastAsia="Times New Roman" w:cs="Arial"/>
          <w:sz w:val="24"/>
          <w:szCs w:val="24"/>
        </w:rPr>
        <w:t xml:space="preserve">‘Reasonable belief’ that it is necessary for a PCI to be revised is usually determined following a performance assessment where there has been a finding of non-compliance with the Quality Standards as identified in a performance </w:t>
      </w:r>
      <w:r w:rsidR="000C384E">
        <w:rPr>
          <w:rFonts w:eastAsia="Times New Roman" w:cs="Arial"/>
          <w:sz w:val="24"/>
          <w:szCs w:val="24"/>
        </w:rPr>
        <w:t>report but</w:t>
      </w:r>
      <w:r w:rsidR="00D34DDB">
        <w:rPr>
          <w:rFonts w:eastAsia="Times New Roman" w:cs="Arial"/>
          <w:sz w:val="24"/>
          <w:szCs w:val="24"/>
        </w:rPr>
        <w:t xml:space="preserve"> may also be based on other intelligence</w:t>
      </w:r>
      <w:r w:rsidR="00860ED3">
        <w:rPr>
          <w:rFonts w:eastAsia="Times New Roman" w:cs="Arial"/>
          <w:sz w:val="24"/>
          <w:szCs w:val="24"/>
        </w:rPr>
        <w:t xml:space="preserve"> </w:t>
      </w:r>
      <w:r w:rsidR="007C745C">
        <w:rPr>
          <w:rFonts w:eastAsia="Times New Roman" w:cs="Arial"/>
          <w:sz w:val="24"/>
          <w:szCs w:val="24"/>
        </w:rPr>
        <w:t xml:space="preserve">such as </w:t>
      </w:r>
      <w:r w:rsidR="002C2471">
        <w:rPr>
          <w:rFonts w:eastAsia="Times New Roman" w:cs="Arial"/>
          <w:sz w:val="24"/>
          <w:szCs w:val="24"/>
        </w:rPr>
        <w:t xml:space="preserve">information obtained through </w:t>
      </w:r>
      <w:r w:rsidR="007C745C">
        <w:rPr>
          <w:rFonts w:eastAsia="Times New Roman" w:cs="Arial"/>
          <w:sz w:val="24"/>
          <w:szCs w:val="24"/>
        </w:rPr>
        <w:t xml:space="preserve">complaints or </w:t>
      </w:r>
      <w:r w:rsidR="00297891">
        <w:rPr>
          <w:rFonts w:eastAsia="Times New Roman" w:cs="Arial"/>
          <w:sz w:val="24"/>
          <w:szCs w:val="24"/>
        </w:rPr>
        <w:t>reportable incidents under the Serious Incident Response Scheme</w:t>
      </w:r>
      <w:r w:rsidR="00B37229">
        <w:rPr>
          <w:rFonts w:eastAsia="Times New Roman" w:cs="Arial"/>
          <w:sz w:val="24"/>
          <w:szCs w:val="24"/>
        </w:rPr>
        <w:t xml:space="preserve">. </w:t>
      </w:r>
    </w:p>
    <w:p w14:paraId="56A3D180" w14:textId="77777777" w:rsidR="000C4E2E" w:rsidRDefault="000C4E2E" w:rsidP="00B63C19">
      <w:pPr>
        <w:spacing w:after="120"/>
        <w:rPr>
          <w:b/>
          <w:color w:val="00577D"/>
          <w:sz w:val="26"/>
          <w:szCs w:val="26"/>
        </w:rPr>
      </w:pPr>
    </w:p>
    <w:p w14:paraId="13428939" w14:textId="6C4CBAB6" w:rsidR="00345E71" w:rsidRPr="00B63C19" w:rsidRDefault="00B63C19" w:rsidP="00B63C19">
      <w:pPr>
        <w:spacing w:after="120"/>
        <w:rPr>
          <w:b/>
          <w:color w:val="00577D"/>
          <w:sz w:val="26"/>
          <w:szCs w:val="26"/>
        </w:rPr>
      </w:pPr>
      <w:r>
        <w:rPr>
          <w:b/>
          <w:color w:val="00577D"/>
          <w:sz w:val="26"/>
          <w:szCs w:val="26"/>
        </w:rPr>
        <w:lastRenderedPageBreak/>
        <w:t>Issuing a</w:t>
      </w:r>
      <w:r w:rsidR="00345E71" w:rsidRPr="00B63C19">
        <w:rPr>
          <w:b/>
          <w:color w:val="00577D"/>
          <w:sz w:val="26"/>
          <w:szCs w:val="26"/>
        </w:rPr>
        <w:t xml:space="preserve"> </w:t>
      </w:r>
      <w:r w:rsidR="00C404E7">
        <w:rPr>
          <w:b/>
          <w:color w:val="00577D"/>
          <w:sz w:val="26"/>
          <w:szCs w:val="26"/>
        </w:rPr>
        <w:t>d</w:t>
      </w:r>
      <w:r w:rsidR="00C404E7" w:rsidRPr="00B63C19">
        <w:rPr>
          <w:b/>
          <w:color w:val="00577D"/>
          <w:sz w:val="26"/>
          <w:szCs w:val="26"/>
        </w:rPr>
        <w:t xml:space="preserve">irection </w:t>
      </w:r>
      <w:r w:rsidR="00345E71" w:rsidRPr="00B63C19">
        <w:rPr>
          <w:b/>
          <w:color w:val="00577D"/>
          <w:sz w:val="26"/>
          <w:szCs w:val="26"/>
        </w:rPr>
        <w:t>to revise a PCI</w:t>
      </w:r>
    </w:p>
    <w:p w14:paraId="7A971623" w14:textId="0F7D7B4C" w:rsidR="00345E71" w:rsidRPr="004E2C64" w:rsidRDefault="00C034E9" w:rsidP="00363E02">
      <w:pPr>
        <w:spacing w:before="0" w:after="240"/>
        <w:rPr>
          <w:rFonts w:cstheme="minorHAnsi"/>
          <w:sz w:val="24"/>
        </w:rPr>
      </w:pPr>
      <w:r>
        <w:rPr>
          <w:rFonts w:eastAsia="Times New Roman" w:cs="Arial"/>
          <w:sz w:val="24"/>
          <w:szCs w:val="24"/>
        </w:rPr>
        <w:t xml:space="preserve">This regulatory action may apply where </w:t>
      </w:r>
      <w:r w:rsidR="004C7F32" w:rsidRPr="00224AC7">
        <w:rPr>
          <w:rFonts w:cstheme="minorHAnsi"/>
          <w:sz w:val="24"/>
        </w:rPr>
        <w:t xml:space="preserve">a provider of a service demonstrates they are willing and able to comply </w:t>
      </w:r>
      <w:r w:rsidR="005B735B">
        <w:rPr>
          <w:rFonts w:cstheme="minorHAnsi"/>
          <w:sz w:val="24"/>
        </w:rPr>
        <w:t xml:space="preserve">with the Quality Standards </w:t>
      </w:r>
      <w:r w:rsidR="004C7F32" w:rsidRPr="00224AC7">
        <w:rPr>
          <w:rFonts w:cstheme="minorHAnsi"/>
          <w:sz w:val="24"/>
        </w:rPr>
        <w:t>and take all reasonable steps to do so</w:t>
      </w:r>
      <w:r w:rsidR="00BA5B04">
        <w:rPr>
          <w:rFonts w:cstheme="minorHAnsi"/>
          <w:sz w:val="24"/>
        </w:rPr>
        <w:t>.</w:t>
      </w:r>
      <w:r w:rsidR="004C7F32" w:rsidDel="002D2313">
        <w:rPr>
          <w:rFonts w:eastAsia="Times New Roman" w:cs="Arial"/>
          <w:sz w:val="24"/>
          <w:szCs w:val="24"/>
        </w:rPr>
        <w:t xml:space="preserve"> </w:t>
      </w:r>
      <w:r w:rsidR="003F3C34">
        <w:rPr>
          <w:rFonts w:cstheme="minorHAnsi"/>
          <w:sz w:val="24"/>
        </w:rPr>
        <w:t xml:space="preserve">This </w:t>
      </w:r>
      <w:r w:rsidR="003F3C34" w:rsidRPr="004E2C64">
        <w:rPr>
          <w:rFonts w:cstheme="minorHAnsi"/>
          <w:sz w:val="24"/>
        </w:rPr>
        <w:t xml:space="preserve">approach </w:t>
      </w:r>
      <w:r w:rsidR="00AE5643">
        <w:rPr>
          <w:rFonts w:cstheme="minorHAnsi"/>
          <w:sz w:val="24"/>
        </w:rPr>
        <w:t xml:space="preserve">allows </w:t>
      </w:r>
      <w:r w:rsidR="009E442C">
        <w:rPr>
          <w:rFonts w:cstheme="minorHAnsi"/>
          <w:sz w:val="24"/>
        </w:rPr>
        <w:t>the</w:t>
      </w:r>
      <w:r w:rsidR="00345E71" w:rsidRPr="004E2C64">
        <w:rPr>
          <w:rFonts w:cstheme="minorHAnsi"/>
          <w:sz w:val="24"/>
        </w:rPr>
        <w:t xml:space="preserve"> provider </w:t>
      </w:r>
      <w:r w:rsidR="003F3C34">
        <w:rPr>
          <w:rFonts w:cstheme="minorHAnsi"/>
          <w:sz w:val="24"/>
        </w:rPr>
        <w:t xml:space="preserve">to </w:t>
      </w:r>
      <w:r w:rsidR="00512D05">
        <w:rPr>
          <w:rFonts w:cstheme="minorHAnsi"/>
          <w:sz w:val="24"/>
        </w:rPr>
        <w:t>rectify the non-compliance by</w:t>
      </w:r>
      <w:r w:rsidR="00345E71" w:rsidRPr="004E2C64">
        <w:rPr>
          <w:rFonts w:cstheme="minorHAnsi"/>
          <w:sz w:val="24"/>
        </w:rPr>
        <w:t xml:space="preserve"> set</w:t>
      </w:r>
      <w:r w:rsidR="003F3C34">
        <w:rPr>
          <w:rFonts w:cstheme="minorHAnsi"/>
          <w:sz w:val="24"/>
        </w:rPr>
        <w:t>ting</w:t>
      </w:r>
      <w:r w:rsidR="00345E71" w:rsidRPr="004E2C64">
        <w:rPr>
          <w:rFonts w:cstheme="minorHAnsi"/>
          <w:sz w:val="24"/>
        </w:rPr>
        <w:t xml:space="preserve"> out how they will make improvements to ensure that the Quality Standards are met</w:t>
      </w:r>
      <w:r w:rsidR="00AE5643">
        <w:rPr>
          <w:rFonts w:cstheme="minorHAnsi"/>
          <w:sz w:val="24"/>
        </w:rPr>
        <w:t>.</w:t>
      </w:r>
    </w:p>
    <w:p w14:paraId="11393308" w14:textId="514BBFD6" w:rsidR="00345E71" w:rsidRPr="00700609" w:rsidRDefault="00345E71" w:rsidP="00363E02">
      <w:pPr>
        <w:spacing w:before="0" w:after="120"/>
        <w:rPr>
          <w:rFonts w:eastAsia="Times New Roman" w:cs="Arial"/>
          <w:sz w:val="24"/>
          <w:szCs w:val="24"/>
        </w:rPr>
      </w:pPr>
      <w:r w:rsidRPr="00700609">
        <w:rPr>
          <w:rFonts w:eastAsia="Times New Roman" w:cs="Arial"/>
          <w:sz w:val="24"/>
          <w:szCs w:val="24"/>
        </w:rPr>
        <w:t xml:space="preserve">The </w:t>
      </w:r>
      <w:r w:rsidR="00A54CD0">
        <w:rPr>
          <w:rFonts w:eastAsia="Times New Roman" w:cs="Arial"/>
          <w:sz w:val="24"/>
          <w:szCs w:val="24"/>
        </w:rPr>
        <w:t>Direction Notice</w:t>
      </w:r>
      <w:r>
        <w:rPr>
          <w:rFonts w:eastAsia="Times New Roman" w:cs="Arial"/>
          <w:sz w:val="24"/>
          <w:szCs w:val="24"/>
        </w:rPr>
        <w:t xml:space="preserve"> </w:t>
      </w:r>
      <w:r w:rsidRPr="00700609">
        <w:rPr>
          <w:rFonts w:eastAsia="Times New Roman" w:cs="Arial"/>
          <w:sz w:val="24"/>
          <w:szCs w:val="24"/>
        </w:rPr>
        <w:t>will set out:</w:t>
      </w:r>
    </w:p>
    <w:p w14:paraId="5A676630" w14:textId="77777777" w:rsidR="00345E71" w:rsidRPr="00700609" w:rsidRDefault="00345E71" w:rsidP="00345E71">
      <w:pPr>
        <w:pStyle w:val="ListParagraph"/>
        <w:numPr>
          <w:ilvl w:val="0"/>
          <w:numId w:val="17"/>
        </w:numPr>
        <w:spacing w:after="120"/>
        <w:ind w:left="777" w:right="-142" w:hanging="357"/>
        <w:contextualSpacing w:val="0"/>
        <w:rPr>
          <w:sz w:val="24"/>
          <w:szCs w:val="24"/>
        </w:rPr>
      </w:pPr>
      <w:r w:rsidRPr="00700609">
        <w:rPr>
          <w:sz w:val="24"/>
          <w:szCs w:val="24"/>
        </w:rPr>
        <w:t xml:space="preserve">the reasons why the Commissioner believes it is necessary for the PCI to be revised </w:t>
      </w:r>
    </w:p>
    <w:p w14:paraId="4BC826B0" w14:textId="0E9D6185" w:rsidR="00345E71" w:rsidRPr="00700609" w:rsidRDefault="00345E71" w:rsidP="00345E71">
      <w:pPr>
        <w:pStyle w:val="ListParagraph"/>
        <w:numPr>
          <w:ilvl w:val="0"/>
          <w:numId w:val="17"/>
        </w:numPr>
        <w:spacing w:after="240"/>
        <w:ind w:right="-144"/>
        <w:rPr>
          <w:sz w:val="24"/>
          <w:szCs w:val="24"/>
        </w:rPr>
      </w:pPr>
      <w:r w:rsidRPr="00700609">
        <w:rPr>
          <w:sz w:val="24"/>
          <w:szCs w:val="24"/>
        </w:rPr>
        <w:t xml:space="preserve">the date by which the provider must comply with the </w:t>
      </w:r>
      <w:r w:rsidR="00A54CD0">
        <w:rPr>
          <w:sz w:val="24"/>
          <w:szCs w:val="24"/>
        </w:rPr>
        <w:t>Direction Notice</w:t>
      </w:r>
      <w:r w:rsidR="00B37229" w:rsidRPr="00700609">
        <w:rPr>
          <w:sz w:val="24"/>
          <w:szCs w:val="24"/>
        </w:rPr>
        <w:t xml:space="preserve">. </w:t>
      </w:r>
    </w:p>
    <w:p w14:paraId="58811350" w14:textId="39D1855C" w:rsidR="00345E71" w:rsidRPr="00700609" w:rsidRDefault="00345E71" w:rsidP="00363E02">
      <w:pPr>
        <w:spacing w:before="0" w:after="240"/>
        <w:rPr>
          <w:rFonts w:eastAsia="Times New Roman" w:cs="Arial"/>
          <w:sz w:val="24"/>
          <w:szCs w:val="24"/>
        </w:rPr>
      </w:pPr>
      <w:r w:rsidRPr="00700609">
        <w:rPr>
          <w:rFonts w:eastAsia="Times New Roman" w:cs="Arial"/>
          <w:sz w:val="24"/>
          <w:szCs w:val="24"/>
        </w:rPr>
        <w:t>The revised plan must be given to the Commission within 14 days of the Direction</w:t>
      </w:r>
      <w:r w:rsidR="00C404E7">
        <w:rPr>
          <w:rFonts w:eastAsia="Times New Roman" w:cs="Arial"/>
          <w:sz w:val="24"/>
          <w:szCs w:val="24"/>
        </w:rPr>
        <w:t xml:space="preserve"> Notice</w:t>
      </w:r>
      <w:r w:rsidRPr="00700609">
        <w:rPr>
          <w:rFonts w:eastAsia="Times New Roman" w:cs="Arial"/>
          <w:sz w:val="24"/>
          <w:szCs w:val="24"/>
        </w:rPr>
        <w:t xml:space="preserve"> being issued. </w:t>
      </w:r>
    </w:p>
    <w:p w14:paraId="6ACEDB0C" w14:textId="7664D7C2" w:rsidR="00345E71" w:rsidRPr="00700609" w:rsidRDefault="00345E71" w:rsidP="00363E02">
      <w:pPr>
        <w:spacing w:before="0" w:after="240"/>
        <w:rPr>
          <w:rFonts w:eastAsia="Times New Roman" w:cs="Arial"/>
          <w:sz w:val="24"/>
          <w:szCs w:val="24"/>
        </w:rPr>
      </w:pPr>
      <w:r w:rsidRPr="00700609">
        <w:rPr>
          <w:rFonts w:eastAsia="Times New Roman" w:cs="Arial"/>
          <w:sz w:val="24"/>
          <w:szCs w:val="24"/>
        </w:rPr>
        <w:t xml:space="preserve">A </w:t>
      </w:r>
      <w:r w:rsidR="00A54CD0">
        <w:rPr>
          <w:rFonts w:eastAsia="Times New Roman" w:cs="Arial"/>
          <w:sz w:val="24"/>
          <w:szCs w:val="24"/>
        </w:rPr>
        <w:t>Direction Notice</w:t>
      </w:r>
      <w:r>
        <w:rPr>
          <w:rFonts w:eastAsia="Times New Roman" w:cs="Arial"/>
          <w:sz w:val="24"/>
          <w:szCs w:val="24"/>
        </w:rPr>
        <w:t xml:space="preserve"> </w:t>
      </w:r>
      <w:r w:rsidRPr="00700609">
        <w:rPr>
          <w:rFonts w:eastAsia="Times New Roman" w:cs="Arial"/>
          <w:sz w:val="24"/>
          <w:szCs w:val="24"/>
        </w:rPr>
        <w:t xml:space="preserve">will not be issued where enforceable regulatory actions are more appropriate. </w:t>
      </w:r>
    </w:p>
    <w:p w14:paraId="65C7F582" w14:textId="22AC8D92" w:rsidR="00734A1D" w:rsidRPr="00734A1D" w:rsidRDefault="00734A1D" w:rsidP="00734A1D">
      <w:pPr>
        <w:spacing w:after="120"/>
        <w:rPr>
          <w:b/>
          <w:color w:val="00577D"/>
          <w:sz w:val="26"/>
          <w:szCs w:val="26"/>
        </w:rPr>
      </w:pPr>
      <w:r w:rsidRPr="00734A1D">
        <w:rPr>
          <w:b/>
          <w:color w:val="00577D"/>
          <w:sz w:val="26"/>
          <w:szCs w:val="26"/>
        </w:rPr>
        <w:t>Failure to comply with the Direction</w:t>
      </w:r>
      <w:r w:rsidR="00D445DB">
        <w:rPr>
          <w:b/>
          <w:color w:val="00577D"/>
          <w:sz w:val="26"/>
          <w:szCs w:val="26"/>
        </w:rPr>
        <w:t xml:space="preserve"> Notice</w:t>
      </w:r>
    </w:p>
    <w:p w14:paraId="1C781AFE" w14:textId="6B5A7D92" w:rsidR="00EB2501" w:rsidRPr="00995C96" w:rsidRDefault="00EB2501" w:rsidP="00363E02">
      <w:pPr>
        <w:spacing w:before="0" w:after="240"/>
        <w:rPr>
          <w:sz w:val="24"/>
          <w:szCs w:val="24"/>
        </w:rPr>
      </w:pPr>
      <w:r w:rsidRPr="00995C96">
        <w:rPr>
          <w:sz w:val="24"/>
        </w:rPr>
        <w:t>If a revised PCI</w:t>
      </w:r>
      <w:r w:rsidR="00F72DE8">
        <w:rPr>
          <w:sz w:val="24"/>
        </w:rPr>
        <w:t>,</w:t>
      </w:r>
      <w:r w:rsidRPr="00995C96">
        <w:rPr>
          <w:sz w:val="24"/>
        </w:rPr>
        <w:t xml:space="preserve"> </w:t>
      </w:r>
      <w:r w:rsidR="00B86D3C">
        <w:rPr>
          <w:sz w:val="24"/>
        </w:rPr>
        <w:t>submitted in response to a Direction Notice,</w:t>
      </w:r>
      <w:r w:rsidRPr="00995C96">
        <w:rPr>
          <w:sz w:val="24"/>
        </w:rPr>
        <w:t xml:space="preserve"> does not adequately demonstrate how the provider will address the identified areas for improvement, the Commission may</w:t>
      </w:r>
      <w:r w:rsidR="003D42CB">
        <w:rPr>
          <w:sz w:val="24"/>
        </w:rPr>
        <w:t>,</w:t>
      </w:r>
      <w:r w:rsidRPr="00995C96">
        <w:rPr>
          <w:sz w:val="24"/>
        </w:rPr>
        <w:t xml:space="preserve"> </w:t>
      </w:r>
      <w:r w:rsidR="003D42CB" w:rsidRPr="00995C96">
        <w:rPr>
          <w:sz w:val="24"/>
        </w:rPr>
        <w:t>depend</w:t>
      </w:r>
      <w:r w:rsidR="003D42CB">
        <w:rPr>
          <w:sz w:val="24"/>
        </w:rPr>
        <w:t>ing</w:t>
      </w:r>
      <w:r w:rsidR="003D42CB" w:rsidRPr="00995C96">
        <w:rPr>
          <w:sz w:val="24"/>
        </w:rPr>
        <w:t xml:space="preserve"> on the severity of the issues</w:t>
      </w:r>
      <w:r w:rsidR="003D42CB">
        <w:rPr>
          <w:sz w:val="24"/>
        </w:rPr>
        <w:t>,</w:t>
      </w:r>
      <w:r w:rsidR="003D42CB" w:rsidRPr="00995C96">
        <w:rPr>
          <w:sz w:val="24"/>
        </w:rPr>
        <w:t xml:space="preserve"> </w:t>
      </w:r>
      <w:r w:rsidRPr="00995C96">
        <w:rPr>
          <w:sz w:val="24"/>
        </w:rPr>
        <w:t xml:space="preserve">contact the provider to reiterate the requirements of the Direction </w:t>
      </w:r>
      <w:r w:rsidR="00D445DB">
        <w:rPr>
          <w:sz w:val="24"/>
        </w:rPr>
        <w:t xml:space="preserve">Notice </w:t>
      </w:r>
      <w:r w:rsidRPr="00995C96">
        <w:rPr>
          <w:sz w:val="24"/>
        </w:rPr>
        <w:t xml:space="preserve">and </w:t>
      </w:r>
      <w:r>
        <w:rPr>
          <w:sz w:val="24"/>
        </w:rPr>
        <w:t>provide an</w:t>
      </w:r>
      <w:r w:rsidRPr="00995C96">
        <w:rPr>
          <w:sz w:val="24"/>
        </w:rPr>
        <w:t xml:space="preserve"> opportunity to re</w:t>
      </w:r>
      <w:r w:rsidRPr="00995C96">
        <w:rPr>
          <w:sz w:val="24"/>
        </w:rPr>
        <w:noBreakHyphen/>
        <w:t>submit a revised PCI</w:t>
      </w:r>
      <w:r w:rsidR="00B37229" w:rsidRPr="00995C96">
        <w:rPr>
          <w:sz w:val="24"/>
        </w:rPr>
        <w:t xml:space="preserve">. </w:t>
      </w:r>
    </w:p>
    <w:p w14:paraId="7446B32C" w14:textId="33A72ED1" w:rsidR="00EB2501" w:rsidRDefault="00EB2501" w:rsidP="00363E02">
      <w:pPr>
        <w:spacing w:before="0" w:after="240"/>
        <w:rPr>
          <w:sz w:val="24"/>
        </w:rPr>
      </w:pPr>
      <w:r w:rsidRPr="00995C96">
        <w:rPr>
          <w:sz w:val="24"/>
        </w:rPr>
        <w:t xml:space="preserve">If the Commission is not satisfied that the re-submitted PCI sets out appropriate actions to address the identified </w:t>
      </w:r>
      <w:r w:rsidR="007117EF">
        <w:rPr>
          <w:sz w:val="24"/>
        </w:rPr>
        <w:t>non</w:t>
      </w:r>
      <w:r w:rsidR="00B464DC">
        <w:rPr>
          <w:sz w:val="24"/>
        </w:rPr>
        <w:t>-</w:t>
      </w:r>
      <w:r w:rsidR="007117EF">
        <w:rPr>
          <w:sz w:val="24"/>
        </w:rPr>
        <w:t>compliance</w:t>
      </w:r>
      <w:r w:rsidRPr="00995C96">
        <w:rPr>
          <w:sz w:val="24"/>
        </w:rPr>
        <w:t xml:space="preserve"> or there are any concerns identified during review of the revised PCI, then the Commission will consider th</w:t>
      </w:r>
      <w:r w:rsidR="00765F46">
        <w:rPr>
          <w:sz w:val="24"/>
        </w:rPr>
        <w:t>is</w:t>
      </w:r>
      <w:r w:rsidRPr="00995C96">
        <w:rPr>
          <w:sz w:val="24"/>
        </w:rPr>
        <w:t xml:space="preserve"> information to determine </w:t>
      </w:r>
      <w:r w:rsidR="00DA4E13">
        <w:rPr>
          <w:sz w:val="24"/>
        </w:rPr>
        <w:t>further</w:t>
      </w:r>
      <w:r>
        <w:rPr>
          <w:sz w:val="24"/>
        </w:rPr>
        <w:t xml:space="preserve"> </w:t>
      </w:r>
      <w:r w:rsidRPr="00995C96">
        <w:rPr>
          <w:sz w:val="24"/>
        </w:rPr>
        <w:t xml:space="preserve">regulatory action. </w:t>
      </w:r>
    </w:p>
    <w:p w14:paraId="43225A30" w14:textId="7EB909F6" w:rsidR="00734A1D" w:rsidRPr="00995C96" w:rsidRDefault="20838971" w:rsidP="00363E02">
      <w:pPr>
        <w:spacing w:before="0" w:after="240"/>
        <w:rPr>
          <w:sz w:val="24"/>
          <w:szCs w:val="24"/>
        </w:rPr>
      </w:pPr>
      <w:r w:rsidRPr="202124AF">
        <w:rPr>
          <w:sz w:val="24"/>
          <w:szCs w:val="24"/>
        </w:rPr>
        <w:t xml:space="preserve">Failure to submit a revised PCI as directed decreases the level of </w:t>
      </w:r>
      <w:r w:rsidR="001A2781">
        <w:rPr>
          <w:sz w:val="24"/>
          <w:szCs w:val="24"/>
        </w:rPr>
        <w:t>confidence</w:t>
      </w:r>
      <w:r w:rsidR="001A2781" w:rsidRPr="202124AF">
        <w:rPr>
          <w:sz w:val="24"/>
          <w:szCs w:val="24"/>
        </w:rPr>
        <w:t xml:space="preserve"> </w:t>
      </w:r>
      <w:r w:rsidRPr="202124AF">
        <w:rPr>
          <w:sz w:val="24"/>
          <w:szCs w:val="24"/>
        </w:rPr>
        <w:t xml:space="preserve">the Commission has that the provider </w:t>
      </w:r>
      <w:r w:rsidR="006603D2">
        <w:rPr>
          <w:sz w:val="24"/>
          <w:szCs w:val="24"/>
        </w:rPr>
        <w:t xml:space="preserve">understands and </w:t>
      </w:r>
      <w:r w:rsidRPr="202124AF">
        <w:rPr>
          <w:sz w:val="24"/>
          <w:szCs w:val="24"/>
        </w:rPr>
        <w:t xml:space="preserve">will </w:t>
      </w:r>
      <w:r w:rsidR="2FE41A7A" w:rsidRPr="202124AF">
        <w:rPr>
          <w:sz w:val="24"/>
          <w:szCs w:val="24"/>
        </w:rPr>
        <w:t xml:space="preserve">ensure </w:t>
      </w:r>
      <w:r w:rsidRPr="202124AF">
        <w:rPr>
          <w:sz w:val="24"/>
          <w:szCs w:val="24"/>
        </w:rPr>
        <w:t>compliance</w:t>
      </w:r>
      <w:r w:rsidR="0EDC9EC5" w:rsidRPr="202124AF">
        <w:rPr>
          <w:sz w:val="24"/>
          <w:szCs w:val="24"/>
        </w:rPr>
        <w:t xml:space="preserve"> with its responsibilities, including compliance with the Quality Standards</w:t>
      </w:r>
      <w:r w:rsidR="00B37229" w:rsidRPr="202124AF">
        <w:rPr>
          <w:sz w:val="24"/>
          <w:szCs w:val="24"/>
        </w:rPr>
        <w:t xml:space="preserve">. </w:t>
      </w:r>
    </w:p>
    <w:p w14:paraId="54658866" w14:textId="633D8E20" w:rsidR="00734A1D" w:rsidRPr="00995C96" w:rsidRDefault="00734A1D" w:rsidP="00363E02">
      <w:pPr>
        <w:spacing w:before="0" w:after="240"/>
        <w:rPr>
          <w:sz w:val="24"/>
        </w:rPr>
      </w:pPr>
      <w:r w:rsidRPr="00995C96">
        <w:rPr>
          <w:sz w:val="24"/>
        </w:rPr>
        <w:t>If, after being given reasonable opportunity to submit a revised PCI, a provider does not respond or fails to submit a revised PCI that includes the required information, the Commission</w:t>
      </w:r>
      <w:r>
        <w:rPr>
          <w:sz w:val="24"/>
        </w:rPr>
        <w:t xml:space="preserve"> may </w:t>
      </w:r>
      <w:r w:rsidR="007820F0">
        <w:rPr>
          <w:sz w:val="24"/>
        </w:rPr>
        <w:t xml:space="preserve">take </w:t>
      </w:r>
      <w:r>
        <w:rPr>
          <w:sz w:val="24"/>
        </w:rPr>
        <w:t xml:space="preserve">further </w:t>
      </w:r>
      <w:r w:rsidR="007820F0">
        <w:rPr>
          <w:sz w:val="24"/>
        </w:rPr>
        <w:t>enforceable</w:t>
      </w:r>
      <w:r>
        <w:rPr>
          <w:sz w:val="24"/>
        </w:rPr>
        <w:t xml:space="preserve"> regulatory action</w:t>
      </w:r>
      <w:r w:rsidR="00417398">
        <w:rPr>
          <w:sz w:val="24"/>
        </w:rPr>
        <w:t>.</w:t>
      </w:r>
    </w:p>
    <w:p w14:paraId="551D72BF" w14:textId="0AB42A70" w:rsidR="00734A1D" w:rsidRPr="00137117" w:rsidRDefault="0018404A" w:rsidP="0056172A">
      <w:pPr>
        <w:rPr>
          <w:b/>
          <w:color w:val="00577D"/>
          <w:sz w:val="26"/>
          <w:szCs w:val="26"/>
        </w:rPr>
      </w:pPr>
      <w:r w:rsidRPr="00137117">
        <w:rPr>
          <w:b/>
          <w:color w:val="00577D"/>
          <w:sz w:val="26"/>
          <w:szCs w:val="26"/>
        </w:rPr>
        <w:t>Monitoring</w:t>
      </w:r>
    </w:p>
    <w:p w14:paraId="428B41CB" w14:textId="5A57F2E6" w:rsidR="0013720C" w:rsidRDefault="007C6050" w:rsidP="00D3451D">
      <w:pPr>
        <w:spacing w:after="240"/>
        <w:rPr>
          <w:sz w:val="24"/>
        </w:rPr>
      </w:pPr>
      <w:r w:rsidRPr="00D3451D">
        <w:rPr>
          <w:sz w:val="24"/>
        </w:rPr>
        <w:t xml:space="preserve">The Commission monitors how a provider responds to </w:t>
      </w:r>
      <w:r>
        <w:rPr>
          <w:sz w:val="24"/>
        </w:rPr>
        <w:t>a Direction</w:t>
      </w:r>
      <w:r w:rsidR="00BC419A">
        <w:rPr>
          <w:sz w:val="24"/>
        </w:rPr>
        <w:t xml:space="preserve"> Notice</w:t>
      </w:r>
      <w:r w:rsidR="009953C2">
        <w:rPr>
          <w:sz w:val="24"/>
        </w:rPr>
        <w:t>,</w:t>
      </w:r>
      <w:r w:rsidR="0013720C">
        <w:rPr>
          <w:sz w:val="24"/>
        </w:rPr>
        <w:t xml:space="preserve"> how</w:t>
      </w:r>
      <w:r w:rsidR="00055377" w:rsidRPr="00D3451D">
        <w:rPr>
          <w:sz w:val="24"/>
        </w:rPr>
        <w:t xml:space="preserve"> planned actions are implemented by the completion dates specified in the revised PCI, and </w:t>
      </w:r>
      <w:r w:rsidR="0013720C">
        <w:rPr>
          <w:sz w:val="24"/>
        </w:rPr>
        <w:t>how those</w:t>
      </w:r>
      <w:r w:rsidR="00055377" w:rsidRPr="00D3451D">
        <w:rPr>
          <w:sz w:val="24"/>
        </w:rPr>
        <w:t xml:space="preserve"> improvements are sustained</w:t>
      </w:r>
      <w:r w:rsidRPr="00D3451D">
        <w:rPr>
          <w:sz w:val="24"/>
        </w:rPr>
        <w:t>.</w:t>
      </w:r>
      <w:r>
        <w:rPr>
          <w:sz w:val="24"/>
        </w:rPr>
        <w:t xml:space="preserve"> </w:t>
      </w:r>
      <w:r w:rsidR="007253C7" w:rsidRPr="00D3451D">
        <w:rPr>
          <w:sz w:val="24"/>
        </w:rPr>
        <w:t xml:space="preserve">The form and frequency of monitoring will depend on the nature of the non-compliance, the level of risk to consumers and the willingness and assessed capacity of the provider to implement </w:t>
      </w:r>
      <w:r w:rsidR="002B5CED">
        <w:rPr>
          <w:sz w:val="24"/>
        </w:rPr>
        <w:t>its PCI</w:t>
      </w:r>
      <w:r w:rsidR="00B15864">
        <w:rPr>
          <w:sz w:val="24"/>
        </w:rPr>
        <w:t xml:space="preserve"> </w:t>
      </w:r>
      <w:r w:rsidR="000C384E">
        <w:rPr>
          <w:sz w:val="24"/>
        </w:rPr>
        <w:t xml:space="preserve">and </w:t>
      </w:r>
      <w:r w:rsidR="000C384E" w:rsidRPr="00D3451D">
        <w:rPr>
          <w:sz w:val="24"/>
        </w:rPr>
        <w:t>ensure</w:t>
      </w:r>
      <w:r w:rsidR="007253C7" w:rsidRPr="00D3451D">
        <w:rPr>
          <w:sz w:val="24"/>
        </w:rPr>
        <w:t xml:space="preserve"> compliance with its responsibilities.</w:t>
      </w:r>
    </w:p>
    <w:p w14:paraId="6ABAB6B7" w14:textId="50345910" w:rsidR="00363E02" w:rsidRDefault="00B15864" w:rsidP="000C4E2E">
      <w:pPr>
        <w:spacing w:after="240"/>
        <w:rPr>
          <w:sz w:val="24"/>
        </w:rPr>
      </w:pPr>
      <w:r>
        <w:rPr>
          <w:sz w:val="24"/>
        </w:rPr>
        <w:lastRenderedPageBreak/>
        <w:t>Where t</w:t>
      </w:r>
      <w:r w:rsidRPr="00DA4E13">
        <w:rPr>
          <w:sz w:val="24"/>
        </w:rPr>
        <w:t>he Commission</w:t>
      </w:r>
      <w:r>
        <w:rPr>
          <w:sz w:val="24"/>
        </w:rPr>
        <w:t xml:space="preserve"> has</w:t>
      </w:r>
      <w:r w:rsidRPr="00DA4E13">
        <w:rPr>
          <w:sz w:val="24"/>
        </w:rPr>
        <w:t xml:space="preserve"> reduced confidence in the provider’s motivation or capacity to</w:t>
      </w:r>
      <w:r>
        <w:rPr>
          <w:sz w:val="24"/>
        </w:rPr>
        <w:t xml:space="preserve"> rectify</w:t>
      </w:r>
      <w:r w:rsidRPr="00DA4E13">
        <w:rPr>
          <w:sz w:val="24"/>
        </w:rPr>
        <w:t xml:space="preserve"> the non-compliance</w:t>
      </w:r>
      <w:r>
        <w:rPr>
          <w:sz w:val="24"/>
        </w:rPr>
        <w:t>, for example w</w:t>
      </w:r>
      <w:r w:rsidRPr="00DA4E13">
        <w:rPr>
          <w:sz w:val="24"/>
        </w:rPr>
        <w:t xml:space="preserve">here a provider has failed to </w:t>
      </w:r>
      <w:r>
        <w:rPr>
          <w:sz w:val="24"/>
        </w:rPr>
        <w:t xml:space="preserve">adequately progress </w:t>
      </w:r>
      <w:r w:rsidR="004367BE">
        <w:rPr>
          <w:sz w:val="24"/>
        </w:rPr>
        <w:t>or implement their revised PCI</w:t>
      </w:r>
      <w:r w:rsidRPr="00DA4E13">
        <w:rPr>
          <w:sz w:val="24"/>
        </w:rPr>
        <w:t>, the Commission may</w:t>
      </w:r>
      <w:r>
        <w:rPr>
          <w:sz w:val="24"/>
        </w:rPr>
        <w:t xml:space="preserve"> take further</w:t>
      </w:r>
      <w:r w:rsidR="004367BE">
        <w:rPr>
          <w:sz w:val="24"/>
        </w:rPr>
        <w:t xml:space="preserve"> </w:t>
      </w:r>
      <w:r w:rsidRPr="00DA4E13">
        <w:rPr>
          <w:sz w:val="24"/>
        </w:rPr>
        <w:t xml:space="preserve">enforceable regulatory </w:t>
      </w:r>
      <w:r w:rsidR="004367BE" w:rsidRPr="00DA4E13">
        <w:rPr>
          <w:sz w:val="24"/>
        </w:rPr>
        <w:t>action.</w:t>
      </w:r>
    </w:p>
    <w:p w14:paraId="3CCCD29F" w14:textId="3E4494EF" w:rsidR="0018404A" w:rsidRPr="00137117" w:rsidRDefault="00707AC2" w:rsidP="0056172A">
      <w:pPr>
        <w:rPr>
          <w:b/>
          <w:color w:val="00577D"/>
          <w:sz w:val="26"/>
          <w:szCs w:val="26"/>
        </w:rPr>
      </w:pPr>
      <w:r w:rsidRPr="00137117">
        <w:rPr>
          <w:b/>
          <w:color w:val="00577D"/>
          <w:sz w:val="26"/>
          <w:szCs w:val="26"/>
        </w:rPr>
        <w:t>Provider action</w:t>
      </w:r>
    </w:p>
    <w:p w14:paraId="7FBAAF7A" w14:textId="0B7B4121" w:rsidR="00D55C19" w:rsidRPr="00D3451D" w:rsidRDefault="00D55C19" w:rsidP="00363E02">
      <w:pPr>
        <w:spacing w:after="120"/>
        <w:rPr>
          <w:sz w:val="24"/>
        </w:rPr>
      </w:pPr>
      <w:r w:rsidRPr="00D3451D">
        <w:rPr>
          <w:sz w:val="24"/>
        </w:rPr>
        <w:t xml:space="preserve">The Commission expects providers to focus on addressing areas of non-compliance to ensure that required standards of care and </w:t>
      </w:r>
      <w:r w:rsidR="000A6B80">
        <w:rPr>
          <w:sz w:val="24"/>
        </w:rPr>
        <w:t xml:space="preserve">their </w:t>
      </w:r>
      <w:r w:rsidRPr="00D3451D">
        <w:rPr>
          <w:sz w:val="24"/>
        </w:rPr>
        <w:t xml:space="preserve">responsibilities as a provider are met. This includes providers: </w:t>
      </w:r>
    </w:p>
    <w:p w14:paraId="7AA8C969" w14:textId="77777777" w:rsidR="00D55C19" w:rsidRPr="00B63F2E" w:rsidRDefault="00D55C19" w:rsidP="00B63F2E">
      <w:pPr>
        <w:pStyle w:val="ListParagraph"/>
        <w:numPr>
          <w:ilvl w:val="0"/>
          <w:numId w:val="17"/>
        </w:numPr>
        <w:spacing w:after="120"/>
        <w:ind w:left="777" w:right="-142" w:hanging="357"/>
        <w:contextualSpacing w:val="0"/>
        <w:rPr>
          <w:sz w:val="24"/>
        </w:rPr>
      </w:pPr>
      <w:r w:rsidRPr="00D3451D">
        <w:rPr>
          <w:sz w:val="24"/>
        </w:rPr>
        <w:t>taking prompt action to manage risks to consumers and address non-compliance</w:t>
      </w:r>
    </w:p>
    <w:p w14:paraId="14737B76" w14:textId="77777777" w:rsidR="00D55C19" w:rsidRPr="00B63F2E" w:rsidRDefault="00D55C19" w:rsidP="00B63F2E">
      <w:pPr>
        <w:pStyle w:val="ListParagraph"/>
        <w:numPr>
          <w:ilvl w:val="0"/>
          <w:numId w:val="17"/>
        </w:numPr>
        <w:spacing w:after="120"/>
        <w:ind w:left="777" w:right="-142" w:hanging="357"/>
        <w:contextualSpacing w:val="0"/>
        <w:rPr>
          <w:sz w:val="24"/>
        </w:rPr>
      </w:pPr>
      <w:r w:rsidRPr="00D3451D">
        <w:rPr>
          <w:sz w:val="24"/>
        </w:rPr>
        <w:t xml:space="preserve">communicating findings with consumers </w:t>
      </w:r>
    </w:p>
    <w:p w14:paraId="175B686A" w14:textId="72B00987" w:rsidR="00D55C19" w:rsidRPr="00B63F2E" w:rsidRDefault="00D55C19" w:rsidP="00B63F2E">
      <w:pPr>
        <w:pStyle w:val="ListParagraph"/>
        <w:numPr>
          <w:ilvl w:val="0"/>
          <w:numId w:val="17"/>
        </w:numPr>
        <w:spacing w:after="120"/>
        <w:ind w:left="777" w:right="-142" w:hanging="357"/>
        <w:contextualSpacing w:val="0"/>
        <w:rPr>
          <w:sz w:val="24"/>
        </w:rPr>
      </w:pPr>
      <w:r w:rsidRPr="00D3451D">
        <w:rPr>
          <w:sz w:val="24"/>
        </w:rPr>
        <w:t xml:space="preserve">actioning and implementing </w:t>
      </w:r>
      <w:r w:rsidR="00137117" w:rsidRPr="00D3451D">
        <w:rPr>
          <w:sz w:val="24"/>
        </w:rPr>
        <w:t>the</w:t>
      </w:r>
      <w:r w:rsidRPr="00D3451D">
        <w:rPr>
          <w:sz w:val="24"/>
        </w:rPr>
        <w:t xml:space="preserve"> revised plan for continuous improvement </w:t>
      </w:r>
      <w:r w:rsidR="00137117" w:rsidRPr="00D3451D">
        <w:rPr>
          <w:sz w:val="24"/>
        </w:rPr>
        <w:t>and demonstrating a commitment to sustained compliance</w:t>
      </w:r>
    </w:p>
    <w:p w14:paraId="4C0DDE0D" w14:textId="24882E0D" w:rsidR="00D55C19" w:rsidRPr="00B63F2E" w:rsidRDefault="00D55C19" w:rsidP="00B63F2E">
      <w:pPr>
        <w:pStyle w:val="ListParagraph"/>
        <w:numPr>
          <w:ilvl w:val="0"/>
          <w:numId w:val="17"/>
        </w:numPr>
        <w:spacing w:after="120"/>
        <w:ind w:left="777" w:right="-142" w:hanging="357"/>
        <w:contextualSpacing w:val="0"/>
        <w:rPr>
          <w:sz w:val="24"/>
        </w:rPr>
      </w:pPr>
      <w:r w:rsidRPr="00D3451D">
        <w:rPr>
          <w:sz w:val="24"/>
        </w:rPr>
        <w:t>monitoring and evaluating outcomes for consumers.</w:t>
      </w:r>
    </w:p>
    <w:p w14:paraId="49298572" w14:textId="77777777" w:rsidR="000D4AF3" w:rsidRPr="00674F12" w:rsidRDefault="005F1E01" w:rsidP="004E2C64">
      <w:pPr>
        <w:pStyle w:val="Heading1"/>
        <w:spacing w:before="360"/>
        <w:rPr>
          <w:sz w:val="36"/>
        </w:rPr>
      </w:pPr>
      <w:r w:rsidRPr="00674F12">
        <w:rPr>
          <w:sz w:val="36"/>
        </w:rPr>
        <w:t>Frequently asked questions</w:t>
      </w:r>
    </w:p>
    <w:p w14:paraId="58F143EC" w14:textId="77777777" w:rsidR="00A61948" w:rsidRDefault="00333623" w:rsidP="00891A5C">
      <w:pPr>
        <w:pStyle w:val="Heading2"/>
        <w:numPr>
          <w:ilvl w:val="0"/>
          <w:numId w:val="3"/>
        </w:numPr>
        <w:ind w:left="567" w:hanging="567"/>
      </w:pPr>
      <w:r>
        <w:t xml:space="preserve">What is continuous improvement? </w:t>
      </w:r>
    </w:p>
    <w:p w14:paraId="3AC7A8F3" w14:textId="77777777" w:rsidR="000D4103" w:rsidRPr="00674F12" w:rsidRDefault="000D4103" w:rsidP="00363E02">
      <w:pPr>
        <w:spacing w:after="120"/>
        <w:ind w:left="60"/>
        <w:rPr>
          <w:sz w:val="24"/>
        </w:rPr>
      </w:pPr>
      <w:r w:rsidRPr="00674F12">
        <w:rPr>
          <w:sz w:val="24"/>
        </w:rPr>
        <w:t xml:space="preserve">Continuous improvement is an ongoing effort to improve the quality of care and services provided by a service. It is a process which:  </w:t>
      </w:r>
    </w:p>
    <w:p w14:paraId="18A9418E" w14:textId="77777777" w:rsidR="000D4103" w:rsidRPr="00674F12" w:rsidRDefault="000D4103" w:rsidP="001552D7">
      <w:pPr>
        <w:pStyle w:val="ListParagraph"/>
        <w:numPr>
          <w:ilvl w:val="0"/>
          <w:numId w:val="17"/>
        </w:numPr>
        <w:spacing w:after="120"/>
        <w:ind w:left="777" w:right="-142" w:hanging="357"/>
        <w:contextualSpacing w:val="0"/>
        <w:rPr>
          <w:sz w:val="24"/>
        </w:rPr>
      </w:pPr>
      <w:r w:rsidRPr="00674F12">
        <w:rPr>
          <w:sz w:val="24"/>
        </w:rPr>
        <w:t>considers the needs of consumers and may involve them in improvement activities</w:t>
      </w:r>
    </w:p>
    <w:p w14:paraId="30449ECE" w14:textId="77777777" w:rsidR="000D4103" w:rsidRPr="00674F12" w:rsidRDefault="000D4103" w:rsidP="001552D7">
      <w:pPr>
        <w:pStyle w:val="ListParagraph"/>
        <w:numPr>
          <w:ilvl w:val="0"/>
          <w:numId w:val="17"/>
        </w:numPr>
        <w:spacing w:after="120"/>
        <w:ind w:left="777" w:right="-142" w:hanging="357"/>
        <w:contextualSpacing w:val="0"/>
        <w:rPr>
          <w:sz w:val="24"/>
        </w:rPr>
      </w:pPr>
      <w:r w:rsidRPr="00674F12">
        <w:rPr>
          <w:sz w:val="24"/>
        </w:rPr>
        <w:t>is part of an overall quality system that assesses how well a provider's systems are working and the standard of care and services achieved</w:t>
      </w:r>
    </w:p>
    <w:p w14:paraId="538D23D8" w14:textId="77777777" w:rsidR="000D4103" w:rsidRPr="00674F12" w:rsidRDefault="000D4103" w:rsidP="00633FDB">
      <w:pPr>
        <w:pStyle w:val="ListParagraph"/>
        <w:numPr>
          <w:ilvl w:val="0"/>
          <w:numId w:val="17"/>
        </w:numPr>
        <w:spacing w:after="240"/>
        <w:ind w:left="777" w:right="-142" w:hanging="357"/>
        <w:contextualSpacing w:val="0"/>
        <w:rPr>
          <w:sz w:val="24"/>
        </w:rPr>
      </w:pPr>
      <w:r w:rsidRPr="00674F12">
        <w:rPr>
          <w:sz w:val="24"/>
        </w:rPr>
        <w:t xml:space="preserve">is a results-focused activity that identifies opportunities for improvements and systematically implements change to improve quality over time.  </w:t>
      </w:r>
    </w:p>
    <w:p w14:paraId="68A4FB98" w14:textId="77777777" w:rsidR="000D4103" w:rsidRPr="00674F12" w:rsidRDefault="000D4103" w:rsidP="00363E02">
      <w:pPr>
        <w:spacing w:after="240"/>
        <w:ind w:left="60"/>
        <w:rPr>
          <w:sz w:val="24"/>
        </w:rPr>
      </w:pPr>
      <w:r w:rsidRPr="00674F12">
        <w:rPr>
          <w:sz w:val="24"/>
        </w:rPr>
        <w:t xml:space="preserve">Continuous improvement initiatives may range in scale from minor incremental improvements to systems and processes, to significant strategic initiatives and should aim to lift the quality of services provided to deliver improved outcomes for consumers. </w:t>
      </w:r>
    </w:p>
    <w:p w14:paraId="58E0CD53" w14:textId="77777777" w:rsidR="000C4E2E" w:rsidRDefault="000D4103" w:rsidP="00363E02">
      <w:pPr>
        <w:spacing w:after="240"/>
        <w:ind w:left="60"/>
        <w:rPr>
          <w:sz w:val="24"/>
        </w:rPr>
      </w:pPr>
      <w:r w:rsidRPr="00674F12">
        <w:rPr>
          <w:sz w:val="24"/>
        </w:rPr>
        <w:t>To be effective, continuous improvement must be central to a provider's focus, understood at all levels and accepted and put into practice by all management and staff.</w:t>
      </w:r>
    </w:p>
    <w:p w14:paraId="000E9AF9" w14:textId="3B30C420" w:rsidR="00A17314" w:rsidRPr="00674F12" w:rsidRDefault="00A17314" w:rsidP="000C4E2E">
      <w:pPr>
        <w:spacing w:after="0"/>
        <w:ind w:left="60"/>
        <w:rPr>
          <w:sz w:val="24"/>
        </w:rPr>
      </w:pPr>
      <w:r w:rsidRPr="00674F12">
        <w:rPr>
          <w:sz w:val="24"/>
        </w:rPr>
        <w:t xml:space="preserve">Further information </w:t>
      </w:r>
      <w:r w:rsidR="00AD19DC" w:rsidRPr="00674F12">
        <w:rPr>
          <w:sz w:val="24"/>
        </w:rPr>
        <w:t xml:space="preserve">about continuous improvement is </w:t>
      </w:r>
      <w:r w:rsidR="009127A6" w:rsidRPr="00674F12">
        <w:rPr>
          <w:sz w:val="24"/>
        </w:rPr>
        <w:t xml:space="preserve">available on the </w:t>
      </w:r>
      <w:hyperlink r:id="rId13" w:history="1">
        <w:r w:rsidR="009127A6" w:rsidRPr="00674F12">
          <w:rPr>
            <w:rStyle w:val="Hyperlink"/>
            <w:sz w:val="24"/>
          </w:rPr>
          <w:t>Commission’s website</w:t>
        </w:r>
      </w:hyperlink>
      <w:r w:rsidR="00547D9D" w:rsidRPr="00674F12">
        <w:rPr>
          <w:rStyle w:val="FootnoteReference"/>
          <w:sz w:val="24"/>
        </w:rPr>
        <w:footnoteReference w:id="6"/>
      </w:r>
      <w:r w:rsidR="00547D9D" w:rsidRPr="00674F12">
        <w:rPr>
          <w:sz w:val="24"/>
        </w:rPr>
        <w:t>.</w:t>
      </w:r>
      <w:r w:rsidR="009127A6" w:rsidRPr="00674F12">
        <w:rPr>
          <w:sz w:val="24"/>
        </w:rPr>
        <w:t xml:space="preserve"> </w:t>
      </w:r>
    </w:p>
    <w:p w14:paraId="4B5C0165" w14:textId="77777777" w:rsidR="00CE6FF5" w:rsidRDefault="00674F12" w:rsidP="00891A5C">
      <w:pPr>
        <w:pStyle w:val="Heading2"/>
        <w:numPr>
          <w:ilvl w:val="0"/>
          <w:numId w:val="3"/>
        </w:numPr>
        <w:ind w:left="567" w:hanging="567"/>
      </w:pPr>
      <w:r>
        <w:lastRenderedPageBreak/>
        <w:t>How can a provider’s self-assessment be used to develop the PCI for a service</w:t>
      </w:r>
      <w:r w:rsidR="005D2053">
        <w:t xml:space="preserve">? </w:t>
      </w:r>
    </w:p>
    <w:p w14:paraId="23AE6FB6" w14:textId="101EA27D" w:rsidR="00780A78" w:rsidRDefault="00780A78" w:rsidP="00363E02">
      <w:pPr>
        <w:spacing w:after="240"/>
        <w:ind w:left="60"/>
        <w:rPr>
          <w:sz w:val="24"/>
        </w:rPr>
      </w:pPr>
      <w:r w:rsidRPr="00674F12">
        <w:rPr>
          <w:sz w:val="24"/>
        </w:rPr>
        <w:t xml:space="preserve">Self-assessment is a core component of the continuous improvement process. </w:t>
      </w:r>
      <w:r w:rsidR="00674F12">
        <w:rPr>
          <w:sz w:val="24"/>
        </w:rPr>
        <w:t>S</w:t>
      </w:r>
      <w:r w:rsidRPr="00674F12">
        <w:rPr>
          <w:sz w:val="24"/>
        </w:rPr>
        <w:t>elf-assessment gives providers the opportunity to increase their understanding of how they deliver care and services and what improvements need to be made to enhance outcomes for consumers. This systematic reflection and analysis of performance of their service</w:t>
      </w:r>
      <w:r w:rsidR="00396B64" w:rsidRPr="00674F12">
        <w:rPr>
          <w:sz w:val="24"/>
        </w:rPr>
        <w:t>, as measured against the Quality Standards,</w:t>
      </w:r>
      <w:r w:rsidRPr="00674F12">
        <w:rPr>
          <w:sz w:val="24"/>
        </w:rPr>
        <w:t xml:space="preserve"> should in turn lead to a focus on ongoing continuous improvement</w:t>
      </w:r>
      <w:r w:rsidR="00BC1CFA">
        <w:rPr>
          <w:sz w:val="24"/>
        </w:rPr>
        <w:t xml:space="preserve"> </w:t>
      </w:r>
      <w:r w:rsidR="00BC1CFA" w:rsidRPr="00D3451D">
        <w:rPr>
          <w:sz w:val="24"/>
        </w:rPr>
        <w:t>and a commitment to sustained compliance</w:t>
      </w:r>
      <w:r w:rsidRPr="00674F12">
        <w:rPr>
          <w:sz w:val="24"/>
        </w:rPr>
        <w:t>.</w:t>
      </w:r>
    </w:p>
    <w:p w14:paraId="2A814972" w14:textId="5F4F7A8D" w:rsidR="006A0E3F" w:rsidRPr="00674F12" w:rsidRDefault="00780A78" w:rsidP="00363E02">
      <w:pPr>
        <w:spacing w:after="240"/>
        <w:ind w:left="60"/>
        <w:rPr>
          <w:sz w:val="24"/>
        </w:rPr>
      </w:pPr>
      <w:r w:rsidRPr="00674F12">
        <w:rPr>
          <w:sz w:val="24"/>
        </w:rPr>
        <w:t xml:space="preserve">Providers are expected to use the information collected during </w:t>
      </w:r>
      <w:r w:rsidR="00081639">
        <w:rPr>
          <w:sz w:val="24"/>
        </w:rPr>
        <w:t xml:space="preserve">ongoing </w:t>
      </w:r>
      <w:r w:rsidRPr="00674F12">
        <w:rPr>
          <w:sz w:val="24"/>
        </w:rPr>
        <w:t>self-assessment process</w:t>
      </w:r>
      <w:r w:rsidR="00273AAD">
        <w:rPr>
          <w:sz w:val="24"/>
        </w:rPr>
        <w:t>es</w:t>
      </w:r>
      <w:r w:rsidR="00581C16">
        <w:rPr>
          <w:sz w:val="24"/>
        </w:rPr>
        <w:t xml:space="preserve"> including </w:t>
      </w:r>
      <w:r w:rsidRPr="00674F12">
        <w:rPr>
          <w:sz w:val="24"/>
        </w:rPr>
        <w:t>identified issues, areas for improvement and planned actions</w:t>
      </w:r>
      <w:r w:rsidR="00E34CFF">
        <w:rPr>
          <w:sz w:val="24"/>
        </w:rPr>
        <w:t>,</w:t>
      </w:r>
      <w:r w:rsidRPr="00674F12">
        <w:rPr>
          <w:sz w:val="24"/>
        </w:rPr>
        <w:t xml:space="preserve"> to develop and update their PCI</w:t>
      </w:r>
      <w:r w:rsidR="00B37229" w:rsidRPr="00674F12">
        <w:rPr>
          <w:sz w:val="24"/>
        </w:rPr>
        <w:t xml:space="preserve">. </w:t>
      </w:r>
      <w:r w:rsidR="00BA4D57" w:rsidRPr="00674F12">
        <w:rPr>
          <w:sz w:val="24"/>
        </w:rPr>
        <w:t>Providers are encouraged to maintain their self-assessment and PCI as an active document that is regularly reviewed and updated as part of their ongoing continuous improvement efforts</w:t>
      </w:r>
      <w:r w:rsidR="004A6971">
        <w:rPr>
          <w:sz w:val="24"/>
        </w:rPr>
        <w:t>.</w:t>
      </w:r>
    </w:p>
    <w:p w14:paraId="244F985A" w14:textId="570159F2" w:rsidR="009561D5" w:rsidRPr="00674F12" w:rsidRDefault="009561D5" w:rsidP="00363E02">
      <w:pPr>
        <w:spacing w:after="240"/>
        <w:ind w:left="60"/>
        <w:rPr>
          <w:sz w:val="24"/>
        </w:rPr>
      </w:pPr>
      <w:r>
        <w:rPr>
          <w:sz w:val="24"/>
        </w:rPr>
        <w:t>Provider’s governing body should support a culture of evaluation and continuous improvement; this includes oversight of how the organisation reviews and monitors their own</w:t>
      </w:r>
      <w:r w:rsidRPr="00264D02">
        <w:rPr>
          <w:sz w:val="24"/>
        </w:rPr>
        <w:t xml:space="preserve"> progress against </w:t>
      </w:r>
      <w:r>
        <w:rPr>
          <w:sz w:val="24"/>
        </w:rPr>
        <w:t xml:space="preserve">their </w:t>
      </w:r>
      <w:r w:rsidR="000C384E">
        <w:rPr>
          <w:sz w:val="24"/>
        </w:rPr>
        <w:t>PCI and</w:t>
      </w:r>
      <w:r w:rsidR="00700C1B">
        <w:rPr>
          <w:sz w:val="24"/>
        </w:rPr>
        <w:t xml:space="preserve"> achieves</w:t>
      </w:r>
      <w:r w:rsidRPr="00264D02">
        <w:rPr>
          <w:sz w:val="24"/>
        </w:rPr>
        <w:t xml:space="preserve"> improve</w:t>
      </w:r>
      <w:r w:rsidR="00700C1B">
        <w:rPr>
          <w:sz w:val="24"/>
        </w:rPr>
        <w:t xml:space="preserve">ments in the provision of </w:t>
      </w:r>
      <w:r w:rsidRPr="00264D02">
        <w:rPr>
          <w:sz w:val="24"/>
        </w:rPr>
        <w:t>quality and safe</w:t>
      </w:r>
      <w:r w:rsidR="00700C1B">
        <w:rPr>
          <w:sz w:val="24"/>
        </w:rPr>
        <w:t xml:space="preserve"> </w:t>
      </w:r>
      <w:r w:rsidRPr="00264D02">
        <w:rPr>
          <w:sz w:val="24"/>
        </w:rPr>
        <w:t>care services.</w:t>
      </w:r>
    </w:p>
    <w:p w14:paraId="09BFD8C2" w14:textId="2D0E20D9" w:rsidR="00E073D7" w:rsidRPr="00674F12" w:rsidRDefault="006E1D61" w:rsidP="00363E02">
      <w:pPr>
        <w:spacing w:after="240"/>
        <w:ind w:left="60"/>
        <w:rPr>
          <w:sz w:val="24"/>
        </w:rPr>
      </w:pPr>
      <w:r w:rsidRPr="00674F12">
        <w:rPr>
          <w:sz w:val="24"/>
        </w:rPr>
        <w:t>T</w:t>
      </w:r>
      <w:r w:rsidR="004B6A44" w:rsidRPr="00674F12">
        <w:rPr>
          <w:sz w:val="24"/>
        </w:rPr>
        <w:t>o assist providers with this process</w:t>
      </w:r>
      <w:r w:rsidR="00523C37" w:rsidRPr="00674F12">
        <w:rPr>
          <w:sz w:val="24"/>
        </w:rPr>
        <w:t>,</w:t>
      </w:r>
      <w:r w:rsidRPr="00674F12">
        <w:rPr>
          <w:sz w:val="24"/>
        </w:rPr>
        <w:t xml:space="preserve"> a </w:t>
      </w:r>
      <w:r w:rsidR="00525678" w:rsidRPr="00674F12">
        <w:rPr>
          <w:sz w:val="24"/>
        </w:rPr>
        <w:t>Self-Assessment Tool w</w:t>
      </w:r>
      <w:r w:rsidR="004B6A44" w:rsidRPr="00674F12">
        <w:rPr>
          <w:sz w:val="24"/>
        </w:rPr>
        <w:t xml:space="preserve">ith </w:t>
      </w:r>
      <w:r w:rsidR="00525678" w:rsidRPr="00674F12">
        <w:rPr>
          <w:sz w:val="24"/>
        </w:rPr>
        <w:t>detailed</w:t>
      </w:r>
      <w:r w:rsidRPr="00674F12">
        <w:rPr>
          <w:sz w:val="24"/>
        </w:rPr>
        <w:t xml:space="preserve"> guidance and a </w:t>
      </w:r>
      <w:r w:rsidR="00A25F82" w:rsidRPr="00674F12">
        <w:rPr>
          <w:sz w:val="24"/>
        </w:rPr>
        <w:t>combined self-assessment and PCI template</w:t>
      </w:r>
      <w:r w:rsidR="00523C37" w:rsidRPr="00674F12">
        <w:rPr>
          <w:sz w:val="24"/>
        </w:rPr>
        <w:t xml:space="preserve"> </w:t>
      </w:r>
      <w:r w:rsidR="00720041" w:rsidRPr="00674F12">
        <w:rPr>
          <w:sz w:val="24"/>
        </w:rPr>
        <w:t xml:space="preserve">is available on the </w:t>
      </w:r>
      <w:hyperlink r:id="rId14" w:history="1">
        <w:r w:rsidR="00720041" w:rsidRPr="00674F12">
          <w:rPr>
            <w:rStyle w:val="Hyperlink"/>
            <w:sz w:val="24"/>
          </w:rPr>
          <w:t>Commission’s website</w:t>
        </w:r>
      </w:hyperlink>
      <w:r w:rsidR="00645425" w:rsidRPr="00674F12">
        <w:rPr>
          <w:rStyle w:val="FootnoteReference"/>
          <w:sz w:val="24"/>
        </w:rPr>
        <w:footnoteReference w:id="7"/>
      </w:r>
      <w:r w:rsidR="00720041" w:rsidRPr="00674F12">
        <w:rPr>
          <w:sz w:val="24"/>
        </w:rPr>
        <w:t>.</w:t>
      </w:r>
    </w:p>
    <w:p w14:paraId="1FEB3F74" w14:textId="77777777" w:rsidR="00891A5C" w:rsidRPr="005D1BDE" w:rsidRDefault="00CC3B6F" w:rsidP="00891A5C">
      <w:pPr>
        <w:pStyle w:val="Heading2"/>
        <w:numPr>
          <w:ilvl w:val="0"/>
          <w:numId w:val="3"/>
        </w:numPr>
        <w:ind w:left="567" w:hanging="567"/>
      </w:pPr>
      <w:r>
        <w:t>When can the Commission r</w:t>
      </w:r>
      <w:r w:rsidR="00891A5C">
        <w:t>equest to see or obtain a copy of a provider’s PCI</w:t>
      </w:r>
      <w:r>
        <w:t>?</w:t>
      </w:r>
    </w:p>
    <w:p w14:paraId="1EEE08BA" w14:textId="77777777" w:rsidR="00CC3B6F" w:rsidRDefault="00891A5C" w:rsidP="00363E02">
      <w:pPr>
        <w:spacing w:after="240"/>
        <w:rPr>
          <w:sz w:val="24"/>
          <w:szCs w:val="24"/>
        </w:rPr>
      </w:pPr>
      <w:r w:rsidRPr="00674F12">
        <w:rPr>
          <w:sz w:val="24"/>
          <w:szCs w:val="24"/>
        </w:rPr>
        <w:t>The Commission may request</w:t>
      </w:r>
      <w:r w:rsidR="00D42AED" w:rsidRPr="00674F12">
        <w:rPr>
          <w:sz w:val="24"/>
          <w:szCs w:val="24"/>
        </w:rPr>
        <w:t xml:space="preserve"> to see</w:t>
      </w:r>
      <w:r w:rsidR="00CC3B6F" w:rsidRPr="00CC3B6F">
        <w:rPr>
          <w:sz w:val="24"/>
          <w:szCs w:val="24"/>
        </w:rPr>
        <w:t xml:space="preserve"> </w:t>
      </w:r>
      <w:r w:rsidR="00CC3B6F" w:rsidRPr="00674F12">
        <w:rPr>
          <w:sz w:val="24"/>
          <w:szCs w:val="24"/>
        </w:rPr>
        <w:t>a provider’s PCI</w:t>
      </w:r>
      <w:r w:rsidR="00D42AED" w:rsidRPr="00674F12">
        <w:rPr>
          <w:sz w:val="24"/>
          <w:szCs w:val="24"/>
        </w:rPr>
        <w:t xml:space="preserve">, or </w:t>
      </w:r>
      <w:r w:rsidR="00CC3B6F">
        <w:rPr>
          <w:sz w:val="24"/>
          <w:szCs w:val="24"/>
        </w:rPr>
        <w:t>to be given</w:t>
      </w:r>
      <w:r w:rsidRPr="00674F12">
        <w:rPr>
          <w:sz w:val="24"/>
          <w:szCs w:val="24"/>
        </w:rPr>
        <w:t xml:space="preserve"> a copy of</w:t>
      </w:r>
      <w:r w:rsidR="00CC3B6F">
        <w:rPr>
          <w:sz w:val="24"/>
          <w:szCs w:val="24"/>
        </w:rPr>
        <w:t xml:space="preserve"> the PCI during a visit to a service; as part of an assessment contact not involving a visit; or at any other time.</w:t>
      </w:r>
    </w:p>
    <w:p w14:paraId="7E6670C4" w14:textId="77777777" w:rsidR="00B92605" w:rsidRDefault="00B92605" w:rsidP="00363E02">
      <w:pPr>
        <w:spacing w:after="240"/>
        <w:rPr>
          <w:sz w:val="24"/>
        </w:rPr>
      </w:pPr>
      <w:r>
        <w:rPr>
          <w:sz w:val="24"/>
        </w:rPr>
        <w:t xml:space="preserve">Refer to </w:t>
      </w:r>
      <w:hyperlink r:id="rId15" w:history="1">
        <w:r w:rsidRPr="00CC3B6F">
          <w:rPr>
            <w:rStyle w:val="Hyperlink"/>
            <w:sz w:val="24"/>
          </w:rPr>
          <w:t>RB 2020-09 Assessment contacts in residential and home services for further information</w:t>
        </w:r>
      </w:hyperlink>
      <w:r>
        <w:rPr>
          <w:sz w:val="24"/>
        </w:rPr>
        <w:t>.</w:t>
      </w:r>
    </w:p>
    <w:p w14:paraId="2CD19B44" w14:textId="3CC74ECF" w:rsidR="00D06B9D" w:rsidRPr="00E552DB" w:rsidRDefault="00CC3B6F" w:rsidP="006C6E13">
      <w:pPr>
        <w:spacing w:before="0" w:after="0" w:line="240" w:lineRule="auto"/>
        <w:rPr>
          <w:b/>
          <w:color w:val="00577D"/>
          <w:sz w:val="26"/>
          <w:szCs w:val="26"/>
        </w:rPr>
      </w:pPr>
      <w:r w:rsidRPr="00E552DB">
        <w:rPr>
          <w:b/>
          <w:color w:val="00577D"/>
          <w:sz w:val="26"/>
          <w:szCs w:val="26"/>
        </w:rPr>
        <w:t>D</w:t>
      </w:r>
      <w:r w:rsidR="00D06B9D" w:rsidRPr="00E552DB">
        <w:rPr>
          <w:b/>
          <w:color w:val="00577D"/>
          <w:sz w:val="26"/>
          <w:szCs w:val="26"/>
        </w:rPr>
        <w:t>uring a visit to the premises of a service</w:t>
      </w:r>
    </w:p>
    <w:p w14:paraId="003E556D" w14:textId="6E3C38DD" w:rsidR="00363E02" w:rsidRDefault="00CC3B6F" w:rsidP="00363E02">
      <w:pPr>
        <w:spacing w:after="240"/>
        <w:rPr>
          <w:sz w:val="24"/>
        </w:rPr>
      </w:pPr>
      <w:r w:rsidRPr="00CC3B6F">
        <w:rPr>
          <w:sz w:val="24"/>
        </w:rPr>
        <w:t>Where the assessment contact involves a visit to the premises of a service, the </w:t>
      </w:r>
      <w:r w:rsidRPr="000507C4">
        <w:rPr>
          <w:i/>
          <w:sz w:val="24"/>
        </w:rPr>
        <w:t>Aged Care Quality and Safety Commission Act 2018</w:t>
      </w:r>
      <w:r w:rsidRPr="00CC3B6F">
        <w:rPr>
          <w:sz w:val="24"/>
        </w:rPr>
        <w:t xml:space="preserve"> </w:t>
      </w:r>
      <w:r>
        <w:rPr>
          <w:sz w:val="24"/>
        </w:rPr>
        <w:t xml:space="preserve">(Commission Act) </w:t>
      </w:r>
      <w:r w:rsidRPr="00CC3B6F">
        <w:rPr>
          <w:sz w:val="24"/>
        </w:rPr>
        <w:t xml:space="preserve">empowers </w:t>
      </w:r>
      <w:r>
        <w:rPr>
          <w:sz w:val="24"/>
        </w:rPr>
        <w:t>a regulatory official</w:t>
      </w:r>
      <w:r w:rsidRPr="00CC3B6F">
        <w:rPr>
          <w:sz w:val="24"/>
        </w:rPr>
        <w:t xml:space="preserve"> to request a person at the premises to answer any questions and produce requested documents</w:t>
      </w:r>
      <w:r>
        <w:rPr>
          <w:sz w:val="24"/>
        </w:rPr>
        <w:t>; this includes the PCI for the service</w:t>
      </w:r>
      <w:r w:rsidRPr="00CC3B6F">
        <w:rPr>
          <w:sz w:val="24"/>
        </w:rPr>
        <w:t xml:space="preserve">. </w:t>
      </w:r>
    </w:p>
    <w:p w14:paraId="175E694E" w14:textId="77777777" w:rsidR="00363E02" w:rsidRDefault="00363E02">
      <w:pPr>
        <w:spacing w:before="0" w:after="0" w:line="240" w:lineRule="auto"/>
        <w:rPr>
          <w:sz w:val="24"/>
        </w:rPr>
      </w:pPr>
      <w:r>
        <w:rPr>
          <w:sz w:val="24"/>
        </w:rPr>
        <w:br w:type="page"/>
      </w:r>
    </w:p>
    <w:p w14:paraId="725FE247" w14:textId="77777777" w:rsidR="00D06B9D" w:rsidRPr="00E552DB" w:rsidRDefault="00CC3B6F" w:rsidP="00E552DB">
      <w:pPr>
        <w:spacing w:after="120"/>
        <w:rPr>
          <w:b/>
          <w:color w:val="00577D"/>
          <w:sz w:val="26"/>
          <w:szCs w:val="26"/>
        </w:rPr>
      </w:pPr>
      <w:r w:rsidRPr="00E552DB">
        <w:rPr>
          <w:b/>
          <w:color w:val="00577D"/>
          <w:sz w:val="26"/>
          <w:szCs w:val="26"/>
        </w:rPr>
        <w:lastRenderedPageBreak/>
        <w:t>A</w:t>
      </w:r>
      <w:r w:rsidR="00D06B9D" w:rsidRPr="00E552DB">
        <w:rPr>
          <w:b/>
          <w:color w:val="00577D"/>
          <w:sz w:val="26"/>
          <w:szCs w:val="26"/>
        </w:rPr>
        <w:t xml:space="preserve">s part of an assessment contact not involving a visit </w:t>
      </w:r>
    </w:p>
    <w:p w14:paraId="6378BA06" w14:textId="7FE11278" w:rsidR="00C707B6" w:rsidRDefault="00CC3B6F" w:rsidP="00363E02">
      <w:pPr>
        <w:spacing w:after="240"/>
        <w:rPr>
          <w:sz w:val="24"/>
        </w:rPr>
      </w:pPr>
      <w:r w:rsidRPr="00CC3B6F">
        <w:rPr>
          <w:sz w:val="24"/>
        </w:rPr>
        <w:t>Under the Commission Rules, the Commission may request from a provider information or documents relating to an assessment contact</w:t>
      </w:r>
      <w:r w:rsidR="00760CCE">
        <w:rPr>
          <w:sz w:val="24"/>
        </w:rPr>
        <w:t xml:space="preserve">, including the PCI for the service, </w:t>
      </w:r>
      <w:r w:rsidRPr="00CC3B6F">
        <w:rPr>
          <w:sz w:val="24"/>
        </w:rPr>
        <w:t>where the contact does not include a visit to the premises of the service.</w:t>
      </w:r>
    </w:p>
    <w:p w14:paraId="2985668D" w14:textId="77777777" w:rsidR="00CC3B6F" w:rsidRPr="00E552DB" w:rsidRDefault="00CC3B6F" w:rsidP="00E552DB">
      <w:pPr>
        <w:spacing w:after="120"/>
        <w:rPr>
          <w:b/>
          <w:color w:val="00577D"/>
          <w:sz w:val="26"/>
          <w:szCs w:val="26"/>
        </w:rPr>
      </w:pPr>
      <w:r w:rsidRPr="00E552DB">
        <w:rPr>
          <w:b/>
          <w:color w:val="00577D"/>
          <w:sz w:val="26"/>
          <w:szCs w:val="26"/>
        </w:rPr>
        <w:t>At any other time</w:t>
      </w:r>
    </w:p>
    <w:p w14:paraId="21E7F07B" w14:textId="77777777" w:rsidR="00166F90" w:rsidRDefault="00CC3B6F" w:rsidP="00363E02">
      <w:pPr>
        <w:spacing w:after="240"/>
        <w:rPr>
          <w:sz w:val="24"/>
          <w:szCs w:val="24"/>
        </w:rPr>
      </w:pPr>
      <w:r>
        <w:rPr>
          <w:sz w:val="24"/>
          <w:szCs w:val="24"/>
        </w:rPr>
        <w:t>T</w:t>
      </w:r>
      <w:r w:rsidR="000A6F8D" w:rsidRPr="00674F12">
        <w:rPr>
          <w:sz w:val="24"/>
          <w:szCs w:val="24"/>
        </w:rPr>
        <w:t>he Commission may request a copy of</w:t>
      </w:r>
      <w:r w:rsidR="00D9196E" w:rsidRPr="00674F12">
        <w:rPr>
          <w:sz w:val="24"/>
          <w:szCs w:val="24"/>
        </w:rPr>
        <w:t xml:space="preserve"> a provider’s PCI </w:t>
      </w:r>
      <w:r w:rsidR="00700609">
        <w:rPr>
          <w:sz w:val="24"/>
          <w:szCs w:val="24"/>
        </w:rPr>
        <w:t xml:space="preserve">for a service </w:t>
      </w:r>
      <w:r>
        <w:rPr>
          <w:sz w:val="24"/>
          <w:szCs w:val="24"/>
        </w:rPr>
        <w:t>a</w:t>
      </w:r>
      <w:r w:rsidRPr="00674F12">
        <w:rPr>
          <w:sz w:val="24"/>
          <w:szCs w:val="24"/>
        </w:rPr>
        <w:t xml:space="preserve">t any other time, </w:t>
      </w:r>
      <w:r w:rsidR="00D9196E" w:rsidRPr="00674F12">
        <w:rPr>
          <w:sz w:val="24"/>
          <w:szCs w:val="24"/>
        </w:rPr>
        <w:t>under section 63 of the Commission Rules.</w:t>
      </w:r>
      <w:r w:rsidR="00663EA9" w:rsidRPr="00674F12">
        <w:rPr>
          <w:sz w:val="24"/>
          <w:szCs w:val="24"/>
        </w:rPr>
        <w:t xml:space="preserve"> The request must be in writing and the provider </w:t>
      </w:r>
      <w:r w:rsidR="00ED77A7" w:rsidRPr="00674F12">
        <w:rPr>
          <w:sz w:val="24"/>
          <w:szCs w:val="24"/>
        </w:rPr>
        <w:t xml:space="preserve">must </w:t>
      </w:r>
      <w:r w:rsidR="00700609">
        <w:rPr>
          <w:sz w:val="24"/>
          <w:szCs w:val="24"/>
        </w:rPr>
        <w:t>give</w:t>
      </w:r>
      <w:r w:rsidR="00ED77A7" w:rsidRPr="00674F12">
        <w:rPr>
          <w:sz w:val="24"/>
          <w:szCs w:val="24"/>
        </w:rPr>
        <w:t xml:space="preserve"> a copy of the PCI </w:t>
      </w:r>
      <w:r w:rsidR="00700609">
        <w:rPr>
          <w:sz w:val="24"/>
          <w:szCs w:val="24"/>
        </w:rPr>
        <w:t>to the Commission</w:t>
      </w:r>
      <w:r w:rsidR="00ED77A7" w:rsidRPr="00674F12">
        <w:rPr>
          <w:sz w:val="24"/>
          <w:szCs w:val="24"/>
        </w:rPr>
        <w:t xml:space="preserve"> within 14 days after the notice is given. </w:t>
      </w:r>
    </w:p>
    <w:p w14:paraId="0182CC02" w14:textId="5439D2FD" w:rsidR="00166F90" w:rsidRDefault="00166F90" w:rsidP="00363E02">
      <w:pPr>
        <w:spacing w:after="240"/>
        <w:rPr>
          <w:sz w:val="24"/>
          <w:szCs w:val="24"/>
        </w:rPr>
      </w:pPr>
      <w:r>
        <w:rPr>
          <w:sz w:val="24"/>
          <w:szCs w:val="24"/>
        </w:rPr>
        <w:t>A request for a copy of a provider’s PCI may also be made as part of other information requests made by the Commission</w:t>
      </w:r>
      <w:r w:rsidR="00EE6D43">
        <w:rPr>
          <w:sz w:val="24"/>
          <w:szCs w:val="24"/>
        </w:rPr>
        <w:t xml:space="preserve">, for example </w:t>
      </w:r>
      <w:r w:rsidR="00743DC3" w:rsidRPr="00743DC3">
        <w:rPr>
          <w:sz w:val="24"/>
          <w:szCs w:val="24"/>
        </w:rPr>
        <w:t>a written notice requiring the provider to give the Commission specified information or documents</w:t>
      </w:r>
      <w:r w:rsidR="00743DC3">
        <w:t xml:space="preserve"> </w:t>
      </w:r>
      <w:r w:rsidR="00EE6D43">
        <w:rPr>
          <w:sz w:val="24"/>
          <w:szCs w:val="24"/>
        </w:rPr>
        <w:t xml:space="preserve">made under section 74GA of the Commission Act. </w:t>
      </w:r>
    </w:p>
    <w:p w14:paraId="7DBBF80D" w14:textId="08F3BCD2" w:rsidR="00ED77A7" w:rsidRPr="00674F12" w:rsidRDefault="00ED77A7" w:rsidP="00363E02">
      <w:pPr>
        <w:spacing w:after="240"/>
        <w:rPr>
          <w:sz w:val="24"/>
          <w:szCs w:val="24"/>
        </w:rPr>
      </w:pPr>
      <w:r w:rsidRPr="00674F12">
        <w:rPr>
          <w:sz w:val="24"/>
          <w:szCs w:val="24"/>
        </w:rPr>
        <w:t xml:space="preserve">If a provider fails to supply their PCI within the </w:t>
      </w:r>
      <w:r w:rsidR="00700609" w:rsidRPr="00674F12">
        <w:rPr>
          <w:sz w:val="24"/>
          <w:szCs w:val="24"/>
        </w:rPr>
        <w:t xml:space="preserve">stipulated </w:t>
      </w:r>
      <w:r w:rsidRPr="00674F12">
        <w:rPr>
          <w:sz w:val="24"/>
          <w:szCs w:val="24"/>
        </w:rPr>
        <w:t xml:space="preserve">timeframe, a follow up request may be made by telephone and/or by email. </w:t>
      </w:r>
      <w:r w:rsidR="007C56C4" w:rsidRPr="00DA7000">
        <w:rPr>
          <w:sz w:val="24"/>
          <w:szCs w:val="24"/>
        </w:rPr>
        <w:t xml:space="preserve">If the provider fails to comply with </w:t>
      </w:r>
      <w:r w:rsidR="00DA7000" w:rsidRPr="00DA7000">
        <w:rPr>
          <w:sz w:val="24"/>
          <w:szCs w:val="24"/>
        </w:rPr>
        <w:t>a written</w:t>
      </w:r>
      <w:r w:rsidR="007C56C4" w:rsidRPr="00DA7000">
        <w:rPr>
          <w:sz w:val="24"/>
          <w:szCs w:val="24"/>
        </w:rPr>
        <w:t xml:space="preserve"> notice</w:t>
      </w:r>
      <w:r w:rsidR="00DA7000" w:rsidRPr="00DA7000">
        <w:rPr>
          <w:sz w:val="24"/>
          <w:szCs w:val="24"/>
        </w:rPr>
        <w:t xml:space="preserve"> </w:t>
      </w:r>
      <w:r w:rsidR="00DA7000">
        <w:rPr>
          <w:sz w:val="24"/>
          <w:szCs w:val="24"/>
        </w:rPr>
        <w:t>under section 74GA</w:t>
      </w:r>
      <w:r w:rsidR="007C56C4" w:rsidRPr="00DA7000">
        <w:rPr>
          <w:sz w:val="24"/>
          <w:szCs w:val="24"/>
        </w:rPr>
        <w:t>, the provider may be subject to an offence of strict liability punishable through the imposition of penalty units</w:t>
      </w:r>
      <w:r w:rsidR="004A6971">
        <w:rPr>
          <w:sz w:val="24"/>
          <w:szCs w:val="24"/>
        </w:rPr>
        <w:t xml:space="preserve"> resulting in a fine</w:t>
      </w:r>
      <w:r w:rsidR="007C56C4" w:rsidRPr="00DA7000">
        <w:rPr>
          <w:sz w:val="24"/>
          <w:szCs w:val="24"/>
        </w:rPr>
        <w:t>.</w:t>
      </w:r>
    </w:p>
    <w:p w14:paraId="2F27F9D8" w14:textId="788E754F" w:rsidR="00ED77A7" w:rsidRPr="00674F12" w:rsidRDefault="00ED77A7" w:rsidP="00363E02">
      <w:pPr>
        <w:spacing w:after="240"/>
        <w:rPr>
          <w:sz w:val="24"/>
          <w:szCs w:val="24"/>
        </w:rPr>
      </w:pPr>
      <w:r w:rsidRPr="00674F12">
        <w:rPr>
          <w:sz w:val="24"/>
          <w:szCs w:val="24"/>
        </w:rPr>
        <w:t>If</w:t>
      </w:r>
      <w:r w:rsidR="00C40E34">
        <w:rPr>
          <w:sz w:val="24"/>
          <w:szCs w:val="24"/>
        </w:rPr>
        <w:t xml:space="preserve"> </w:t>
      </w:r>
      <w:r w:rsidRPr="00674F12">
        <w:rPr>
          <w:sz w:val="24"/>
          <w:szCs w:val="24"/>
        </w:rPr>
        <w:t xml:space="preserve">the provider fails to supply their PCI, </w:t>
      </w:r>
      <w:r w:rsidR="00DE7059">
        <w:rPr>
          <w:sz w:val="24"/>
          <w:szCs w:val="24"/>
        </w:rPr>
        <w:t xml:space="preserve">the Commission </w:t>
      </w:r>
      <w:r w:rsidR="007B1D02">
        <w:rPr>
          <w:sz w:val="24"/>
          <w:szCs w:val="24"/>
        </w:rPr>
        <w:t xml:space="preserve">may consider further </w:t>
      </w:r>
      <w:r w:rsidR="009258B5">
        <w:rPr>
          <w:sz w:val="24"/>
          <w:szCs w:val="24"/>
        </w:rPr>
        <w:t xml:space="preserve">regulatory </w:t>
      </w:r>
      <w:r w:rsidR="002A03F1">
        <w:rPr>
          <w:sz w:val="24"/>
          <w:szCs w:val="24"/>
        </w:rPr>
        <w:t xml:space="preserve">or enforceable regulatory </w:t>
      </w:r>
      <w:r w:rsidR="007B1D02">
        <w:rPr>
          <w:sz w:val="24"/>
          <w:szCs w:val="24"/>
        </w:rPr>
        <w:t xml:space="preserve">action </w:t>
      </w:r>
      <w:r w:rsidR="00D366BC">
        <w:rPr>
          <w:sz w:val="24"/>
          <w:szCs w:val="24"/>
        </w:rPr>
        <w:t>in response to non-compliance</w:t>
      </w:r>
      <w:r w:rsidR="00FB5CAB">
        <w:rPr>
          <w:sz w:val="24"/>
          <w:szCs w:val="24"/>
        </w:rPr>
        <w:t xml:space="preserve"> with provider responsibilities</w:t>
      </w:r>
      <w:r w:rsidRPr="00674F12">
        <w:rPr>
          <w:sz w:val="24"/>
          <w:szCs w:val="24"/>
        </w:rPr>
        <w:t>.</w:t>
      </w:r>
      <w:r w:rsidR="00143B06">
        <w:rPr>
          <w:sz w:val="24"/>
          <w:szCs w:val="24"/>
        </w:rPr>
        <w:t xml:space="preserve"> </w:t>
      </w:r>
    </w:p>
    <w:p w14:paraId="7DCA7602" w14:textId="77777777" w:rsidR="006440D3" w:rsidRPr="0045171C" w:rsidRDefault="0077039E" w:rsidP="005D1BDE">
      <w:pPr>
        <w:pStyle w:val="Heading2"/>
        <w:numPr>
          <w:ilvl w:val="0"/>
          <w:numId w:val="3"/>
        </w:numPr>
        <w:ind w:left="567" w:hanging="567"/>
        <w:rPr>
          <w:shd w:val="clear" w:color="auto" w:fill="FFFFFF"/>
        </w:rPr>
      </w:pPr>
      <w:r>
        <w:t>What information should</w:t>
      </w:r>
      <w:r w:rsidR="001C2907">
        <w:t xml:space="preserve"> be included in</w:t>
      </w:r>
      <w:r>
        <w:t xml:space="preserve"> a revised PCI</w:t>
      </w:r>
      <w:r w:rsidR="00861BBE">
        <w:rPr>
          <w:shd w:val="clear" w:color="auto" w:fill="FFFFFF"/>
        </w:rPr>
        <w:t>?</w:t>
      </w:r>
    </w:p>
    <w:p w14:paraId="5B1E2E73" w14:textId="5484908C" w:rsidR="00E00E46" w:rsidRPr="004E2C64" w:rsidRDefault="00454A14" w:rsidP="00363E02">
      <w:pPr>
        <w:pStyle w:val="ListBullet"/>
        <w:numPr>
          <w:ilvl w:val="0"/>
          <w:numId w:val="0"/>
        </w:numPr>
        <w:spacing w:after="240"/>
        <w:rPr>
          <w:sz w:val="24"/>
        </w:rPr>
      </w:pPr>
      <w:r w:rsidRPr="004E2C64">
        <w:rPr>
          <w:sz w:val="24"/>
        </w:rPr>
        <w:t xml:space="preserve">If directed to revise </w:t>
      </w:r>
      <w:r w:rsidR="00D56219" w:rsidRPr="004E2C64">
        <w:rPr>
          <w:sz w:val="24"/>
        </w:rPr>
        <w:t xml:space="preserve">a PCI, providers must </w:t>
      </w:r>
      <w:r w:rsidR="00FA52B4" w:rsidRPr="004E2C64">
        <w:rPr>
          <w:sz w:val="24"/>
        </w:rPr>
        <w:t>update t</w:t>
      </w:r>
      <w:r w:rsidR="00D56219" w:rsidRPr="004E2C64">
        <w:rPr>
          <w:sz w:val="24"/>
        </w:rPr>
        <w:t>heir</w:t>
      </w:r>
      <w:r w:rsidR="00E40B6C" w:rsidRPr="004E2C64">
        <w:rPr>
          <w:sz w:val="24"/>
        </w:rPr>
        <w:t xml:space="preserve"> plan</w:t>
      </w:r>
      <w:r w:rsidR="00D56219" w:rsidRPr="004E2C64">
        <w:rPr>
          <w:sz w:val="24"/>
        </w:rPr>
        <w:t xml:space="preserve"> </w:t>
      </w:r>
      <w:r w:rsidR="00FA52B4" w:rsidRPr="004E2C64">
        <w:rPr>
          <w:sz w:val="24"/>
        </w:rPr>
        <w:t xml:space="preserve">to </w:t>
      </w:r>
      <w:r w:rsidR="004A1B7E" w:rsidRPr="004E2C64">
        <w:rPr>
          <w:sz w:val="24"/>
        </w:rPr>
        <w:t>set out</w:t>
      </w:r>
      <w:r w:rsidR="00974DBF" w:rsidRPr="004E2C64">
        <w:rPr>
          <w:sz w:val="24"/>
        </w:rPr>
        <w:t xml:space="preserve"> </w:t>
      </w:r>
      <w:r w:rsidR="00EE339A" w:rsidRPr="004E2C64">
        <w:rPr>
          <w:sz w:val="24"/>
        </w:rPr>
        <w:t>the specific</w:t>
      </w:r>
      <w:r w:rsidR="00393C28" w:rsidRPr="004E2C64">
        <w:rPr>
          <w:sz w:val="24"/>
        </w:rPr>
        <w:t xml:space="preserve"> actions </w:t>
      </w:r>
      <w:r w:rsidR="00EE339A" w:rsidRPr="004E2C64">
        <w:rPr>
          <w:sz w:val="24"/>
        </w:rPr>
        <w:t xml:space="preserve">that </w:t>
      </w:r>
      <w:r w:rsidR="00393C28" w:rsidRPr="004E2C64">
        <w:rPr>
          <w:sz w:val="24"/>
        </w:rPr>
        <w:t>will be undertaken to</w:t>
      </w:r>
      <w:r w:rsidR="00FA52B4" w:rsidRPr="004E2C64">
        <w:rPr>
          <w:sz w:val="24"/>
        </w:rPr>
        <w:t xml:space="preserve"> </w:t>
      </w:r>
      <w:r w:rsidR="00ED0F0C">
        <w:rPr>
          <w:sz w:val="24"/>
        </w:rPr>
        <w:t>make improvements</w:t>
      </w:r>
      <w:r w:rsidR="00030A47" w:rsidRPr="004E2C64">
        <w:rPr>
          <w:sz w:val="24"/>
        </w:rPr>
        <w:t xml:space="preserve"> </w:t>
      </w:r>
      <w:r w:rsidR="00D44829" w:rsidRPr="004E2C64">
        <w:rPr>
          <w:sz w:val="24"/>
        </w:rPr>
        <w:t>to</w:t>
      </w:r>
      <w:r w:rsidR="00CF0A0C" w:rsidRPr="004E2C64">
        <w:rPr>
          <w:sz w:val="24"/>
        </w:rPr>
        <w:t xml:space="preserve"> ensure that the Quality </w:t>
      </w:r>
      <w:r w:rsidR="00CF0A0C" w:rsidRPr="00E33BC6">
        <w:rPr>
          <w:sz w:val="24"/>
        </w:rPr>
        <w:t>Standards are complied with</w:t>
      </w:r>
      <w:r w:rsidR="00C91E41" w:rsidRPr="00E33BC6">
        <w:rPr>
          <w:sz w:val="24"/>
        </w:rPr>
        <w:t xml:space="preserve">. </w:t>
      </w:r>
      <w:r w:rsidR="00E55519" w:rsidRPr="00E33BC6">
        <w:rPr>
          <w:sz w:val="24"/>
        </w:rPr>
        <w:t xml:space="preserve">The </w:t>
      </w:r>
      <w:r w:rsidR="00A54CD0" w:rsidRPr="00E33BC6">
        <w:rPr>
          <w:sz w:val="24"/>
        </w:rPr>
        <w:t>Direction Notice</w:t>
      </w:r>
      <w:r w:rsidR="00D01C12" w:rsidRPr="00E33BC6">
        <w:rPr>
          <w:sz w:val="24"/>
        </w:rPr>
        <w:t xml:space="preserve"> </w:t>
      </w:r>
      <w:r w:rsidR="00E55519" w:rsidRPr="00E33BC6">
        <w:rPr>
          <w:sz w:val="24"/>
        </w:rPr>
        <w:t xml:space="preserve">will </w:t>
      </w:r>
      <w:r w:rsidR="00E55519" w:rsidRPr="004E2C64">
        <w:rPr>
          <w:sz w:val="24"/>
        </w:rPr>
        <w:t xml:space="preserve">outline the </w:t>
      </w:r>
      <w:r w:rsidR="00FA6E4A" w:rsidRPr="004E2C64">
        <w:rPr>
          <w:sz w:val="24"/>
        </w:rPr>
        <w:t xml:space="preserve">non-compliance </w:t>
      </w:r>
      <w:r w:rsidR="004329EA" w:rsidRPr="004E2C64">
        <w:rPr>
          <w:sz w:val="24"/>
        </w:rPr>
        <w:t xml:space="preserve">with the Quality Standards </w:t>
      </w:r>
      <w:r w:rsidR="00FA6E4A" w:rsidRPr="004E2C64">
        <w:rPr>
          <w:sz w:val="24"/>
        </w:rPr>
        <w:t xml:space="preserve">and </w:t>
      </w:r>
      <w:r w:rsidR="00BA63C1">
        <w:rPr>
          <w:sz w:val="24"/>
        </w:rPr>
        <w:t xml:space="preserve">related </w:t>
      </w:r>
      <w:r w:rsidR="00072682" w:rsidRPr="004E2C64">
        <w:rPr>
          <w:sz w:val="24"/>
        </w:rPr>
        <w:t>areas for improvement</w:t>
      </w:r>
      <w:r w:rsidR="00FA6E4A" w:rsidRPr="004E2C64">
        <w:rPr>
          <w:sz w:val="24"/>
        </w:rPr>
        <w:t>.</w:t>
      </w:r>
    </w:p>
    <w:p w14:paraId="2FE8D835" w14:textId="7CAA399A" w:rsidR="00C91E41" w:rsidRPr="004E2C64" w:rsidRDefault="00FB1DB3" w:rsidP="00363E02">
      <w:pPr>
        <w:pStyle w:val="ListBullet"/>
        <w:numPr>
          <w:ilvl w:val="0"/>
          <w:numId w:val="0"/>
        </w:numPr>
        <w:spacing w:after="120"/>
        <w:rPr>
          <w:sz w:val="24"/>
        </w:rPr>
      </w:pPr>
      <w:r w:rsidRPr="004E2C64">
        <w:rPr>
          <w:sz w:val="24"/>
        </w:rPr>
        <w:t xml:space="preserve">The following information, at a minimum, </w:t>
      </w:r>
      <w:r w:rsidR="00BA62DE">
        <w:rPr>
          <w:sz w:val="24"/>
        </w:rPr>
        <w:t>must</w:t>
      </w:r>
      <w:r w:rsidR="00BA62DE" w:rsidRPr="004E2C64">
        <w:rPr>
          <w:sz w:val="24"/>
        </w:rPr>
        <w:t xml:space="preserve"> </w:t>
      </w:r>
      <w:r w:rsidRPr="004E2C64">
        <w:rPr>
          <w:sz w:val="24"/>
        </w:rPr>
        <w:t>be included in the revised PCI:</w:t>
      </w:r>
    </w:p>
    <w:p w14:paraId="12BB2859" w14:textId="3B716BAD" w:rsidR="00814FD4" w:rsidRPr="004E2C64" w:rsidRDefault="00A11957" w:rsidP="00C64F3D">
      <w:pPr>
        <w:pStyle w:val="ListParagraph"/>
        <w:numPr>
          <w:ilvl w:val="0"/>
          <w:numId w:val="17"/>
        </w:numPr>
        <w:spacing w:after="120"/>
        <w:ind w:left="777" w:right="-142" w:hanging="357"/>
        <w:contextualSpacing w:val="0"/>
        <w:rPr>
          <w:sz w:val="24"/>
        </w:rPr>
      </w:pPr>
      <w:r>
        <w:rPr>
          <w:sz w:val="24"/>
        </w:rPr>
        <w:t xml:space="preserve">the </w:t>
      </w:r>
      <w:r w:rsidR="00A97DAA" w:rsidRPr="004E2C64">
        <w:rPr>
          <w:sz w:val="24"/>
        </w:rPr>
        <w:t>d</w:t>
      </w:r>
      <w:r w:rsidR="00814FD4" w:rsidRPr="004E2C64">
        <w:rPr>
          <w:sz w:val="24"/>
        </w:rPr>
        <w:t xml:space="preserve">ate </w:t>
      </w:r>
      <w:r w:rsidR="00706456">
        <w:rPr>
          <w:sz w:val="24"/>
        </w:rPr>
        <w:t xml:space="preserve">each </w:t>
      </w:r>
      <w:r w:rsidR="00814FD4" w:rsidRPr="004E2C64">
        <w:rPr>
          <w:sz w:val="24"/>
        </w:rPr>
        <w:t>issue</w:t>
      </w:r>
      <w:r w:rsidR="000456D1">
        <w:rPr>
          <w:sz w:val="24"/>
        </w:rPr>
        <w:t xml:space="preserve"> </w:t>
      </w:r>
      <w:r w:rsidR="00814FD4" w:rsidRPr="004E2C64">
        <w:rPr>
          <w:sz w:val="24"/>
        </w:rPr>
        <w:t>was identified</w:t>
      </w:r>
    </w:p>
    <w:p w14:paraId="31078F90" w14:textId="529A3B28" w:rsidR="00814FD4" w:rsidRPr="004E2C64" w:rsidRDefault="00A97DAA" w:rsidP="00C64F3D">
      <w:pPr>
        <w:pStyle w:val="ListParagraph"/>
        <w:numPr>
          <w:ilvl w:val="0"/>
          <w:numId w:val="17"/>
        </w:numPr>
        <w:spacing w:after="120"/>
        <w:ind w:left="777" w:right="-142" w:hanging="357"/>
        <w:contextualSpacing w:val="0"/>
        <w:rPr>
          <w:sz w:val="24"/>
        </w:rPr>
      </w:pPr>
      <w:r w:rsidRPr="004E2C64">
        <w:rPr>
          <w:sz w:val="24"/>
        </w:rPr>
        <w:t>a</w:t>
      </w:r>
      <w:r w:rsidR="00814FD4" w:rsidRPr="004E2C64">
        <w:rPr>
          <w:sz w:val="24"/>
        </w:rPr>
        <w:t xml:space="preserve"> description of </w:t>
      </w:r>
      <w:r w:rsidR="005E70DA">
        <w:rPr>
          <w:sz w:val="24"/>
        </w:rPr>
        <w:t>each</w:t>
      </w:r>
      <w:r w:rsidR="00814FD4" w:rsidRPr="004E2C64">
        <w:rPr>
          <w:sz w:val="24"/>
        </w:rPr>
        <w:t xml:space="preserve"> issue and how it was identified</w:t>
      </w:r>
    </w:p>
    <w:p w14:paraId="0A1B47C1" w14:textId="01DC583C" w:rsidR="00814FD4" w:rsidRPr="004E2C64" w:rsidRDefault="00A97DAA" w:rsidP="00C64F3D">
      <w:pPr>
        <w:pStyle w:val="ListParagraph"/>
        <w:numPr>
          <w:ilvl w:val="0"/>
          <w:numId w:val="17"/>
        </w:numPr>
        <w:spacing w:after="120"/>
        <w:ind w:left="777" w:right="-142" w:hanging="357"/>
        <w:contextualSpacing w:val="0"/>
        <w:rPr>
          <w:sz w:val="24"/>
        </w:rPr>
      </w:pPr>
      <w:r w:rsidRPr="004E2C64">
        <w:rPr>
          <w:sz w:val="24"/>
        </w:rPr>
        <w:t>t</w:t>
      </w:r>
      <w:r w:rsidR="00814FD4" w:rsidRPr="004E2C64">
        <w:rPr>
          <w:sz w:val="24"/>
        </w:rPr>
        <w:t xml:space="preserve">he Quality Standard/s to which </w:t>
      </w:r>
      <w:r w:rsidR="00A11957">
        <w:rPr>
          <w:sz w:val="24"/>
        </w:rPr>
        <w:t>each</w:t>
      </w:r>
      <w:r w:rsidR="00814FD4" w:rsidRPr="004E2C64">
        <w:rPr>
          <w:sz w:val="24"/>
        </w:rPr>
        <w:t xml:space="preserve"> issue relates</w:t>
      </w:r>
    </w:p>
    <w:p w14:paraId="71197DAB" w14:textId="1DF72E78" w:rsidR="00183B5C" w:rsidRDefault="00183B5C" w:rsidP="00183B5C">
      <w:pPr>
        <w:pStyle w:val="ListParagraph"/>
        <w:numPr>
          <w:ilvl w:val="0"/>
          <w:numId w:val="17"/>
        </w:numPr>
        <w:spacing w:after="120"/>
        <w:ind w:left="777" w:right="-142" w:hanging="357"/>
        <w:contextualSpacing w:val="0"/>
        <w:rPr>
          <w:sz w:val="24"/>
        </w:rPr>
      </w:pPr>
      <w:r>
        <w:rPr>
          <w:sz w:val="24"/>
        </w:rPr>
        <w:t xml:space="preserve">details of </w:t>
      </w:r>
      <w:r w:rsidRPr="007A7B4C">
        <w:rPr>
          <w:sz w:val="24"/>
        </w:rPr>
        <w:t xml:space="preserve">planned actions to address the specific issues identified </w:t>
      </w:r>
      <w:r w:rsidR="00A11957">
        <w:rPr>
          <w:sz w:val="24"/>
        </w:rPr>
        <w:t>by</w:t>
      </w:r>
      <w:r>
        <w:rPr>
          <w:sz w:val="24"/>
        </w:rPr>
        <w:t xml:space="preserve"> the Commission and/or </w:t>
      </w:r>
      <w:r w:rsidR="005B18DB">
        <w:rPr>
          <w:sz w:val="24"/>
        </w:rPr>
        <w:t xml:space="preserve">the </w:t>
      </w:r>
      <w:r>
        <w:rPr>
          <w:sz w:val="24"/>
        </w:rPr>
        <w:t>provider’s self-assessment</w:t>
      </w:r>
    </w:p>
    <w:p w14:paraId="539C72AE" w14:textId="2EBE6585" w:rsidR="00F51A89" w:rsidRDefault="005B18DB" w:rsidP="00C64F3D">
      <w:pPr>
        <w:pStyle w:val="ListParagraph"/>
        <w:numPr>
          <w:ilvl w:val="0"/>
          <w:numId w:val="17"/>
        </w:numPr>
        <w:spacing w:after="120"/>
        <w:ind w:left="777" w:right="-142" w:hanging="357"/>
        <w:contextualSpacing w:val="0"/>
        <w:rPr>
          <w:sz w:val="24"/>
        </w:rPr>
      </w:pPr>
      <w:r>
        <w:rPr>
          <w:sz w:val="24"/>
        </w:rPr>
        <w:t xml:space="preserve">the </w:t>
      </w:r>
      <w:r w:rsidR="00A97DAA" w:rsidRPr="004E2C64">
        <w:rPr>
          <w:sz w:val="24"/>
        </w:rPr>
        <w:t>p</w:t>
      </w:r>
      <w:r w:rsidR="00814FD4" w:rsidRPr="004E2C64">
        <w:rPr>
          <w:sz w:val="24"/>
        </w:rPr>
        <w:t>erson/s responsible for ensuring implementation of improvement action</w:t>
      </w:r>
    </w:p>
    <w:p w14:paraId="28816A46" w14:textId="77777777" w:rsidR="00F51A89" w:rsidRDefault="00F51A89">
      <w:pPr>
        <w:spacing w:before="0" w:after="0" w:line="240" w:lineRule="auto"/>
        <w:rPr>
          <w:sz w:val="24"/>
        </w:rPr>
      </w:pPr>
      <w:r>
        <w:rPr>
          <w:sz w:val="24"/>
        </w:rPr>
        <w:br w:type="page"/>
      </w:r>
    </w:p>
    <w:p w14:paraId="33E86690" w14:textId="1B3B24CB" w:rsidR="00814FD4" w:rsidRPr="004E2C64" w:rsidRDefault="005B18DB" w:rsidP="00C64F3D">
      <w:pPr>
        <w:pStyle w:val="ListParagraph"/>
        <w:numPr>
          <w:ilvl w:val="0"/>
          <w:numId w:val="17"/>
        </w:numPr>
        <w:spacing w:after="120"/>
        <w:ind w:left="777" w:right="-142" w:hanging="357"/>
        <w:contextualSpacing w:val="0"/>
        <w:rPr>
          <w:sz w:val="24"/>
        </w:rPr>
      </w:pPr>
      <w:r>
        <w:rPr>
          <w:sz w:val="24"/>
        </w:rPr>
        <w:lastRenderedPageBreak/>
        <w:t xml:space="preserve">the </w:t>
      </w:r>
      <w:r w:rsidR="00A97DAA" w:rsidRPr="004E2C64">
        <w:rPr>
          <w:sz w:val="24"/>
        </w:rPr>
        <w:t>p</w:t>
      </w:r>
      <w:r w:rsidR="00814FD4" w:rsidRPr="004E2C64">
        <w:rPr>
          <w:sz w:val="24"/>
        </w:rPr>
        <w:t xml:space="preserve">lanned completion date for </w:t>
      </w:r>
      <w:r>
        <w:rPr>
          <w:sz w:val="24"/>
        </w:rPr>
        <w:t xml:space="preserve">each </w:t>
      </w:r>
      <w:r w:rsidR="00814FD4" w:rsidRPr="004E2C64">
        <w:rPr>
          <w:sz w:val="24"/>
        </w:rPr>
        <w:t>improvement</w:t>
      </w:r>
      <w:r w:rsidR="00D44829" w:rsidRPr="004E2C64">
        <w:rPr>
          <w:sz w:val="24"/>
        </w:rPr>
        <w:t xml:space="preserve"> actions</w:t>
      </w:r>
    </w:p>
    <w:p w14:paraId="7E281E72" w14:textId="73DEA5F6" w:rsidR="00814FD4" w:rsidRPr="009154C2" w:rsidRDefault="0005395E" w:rsidP="004A266D">
      <w:pPr>
        <w:pStyle w:val="ListParagraph"/>
        <w:numPr>
          <w:ilvl w:val="0"/>
          <w:numId w:val="17"/>
        </w:numPr>
        <w:spacing w:after="240"/>
        <w:ind w:left="777" w:right="-142" w:hanging="357"/>
        <w:contextualSpacing w:val="0"/>
        <w:rPr>
          <w:sz w:val="24"/>
        </w:rPr>
      </w:pPr>
      <w:r>
        <w:rPr>
          <w:sz w:val="24"/>
        </w:rPr>
        <w:t xml:space="preserve">the </w:t>
      </w:r>
      <w:r w:rsidR="00A97DAA" w:rsidRPr="004E2C64">
        <w:rPr>
          <w:sz w:val="24"/>
        </w:rPr>
        <w:t>r</w:t>
      </w:r>
      <w:r w:rsidR="00814FD4" w:rsidRPr="004E2C64">
        <w:rPr>
          <w:sz w:val="24"/>
        </w:rPr>
        <w:t xml:space="preserve">eview date to evaluate the success and sustainability of </w:t>
      </w:r>
      <w:r w:rsidR="00301E6E">
        <w:rPr>
          <w:sz w:val="24"/>
        </w:rPr>
        <w:t xml:space="preserve">each improvement </w:t>
      </w:r>
      <w:r w:rsidR="00814FD4" w:rsidRPr="004E2C64">
        <w:rPr>
          <w:sz w:val="24"/>
        </w:rPr>
        <w:t>action</w:t>
      </w:r>
      <w:r w:rsidR="00A43DED" w:rsidRPr="009154C2">
        <w:rPr>
          <w:sz w:val="24"/>
        </w:rPr>
        <w:t>.</w:t>
      </w:r>
    </w:p>
    <w:p w14:paraId="1A9B014E" w14:textId="0FC2D274" w:rsidR="00C707B6" w:rsidRDefault="00650137" w:rsidP="00363E02">
      <w:pPr>
        <w:spacing w:after="240"/>
        <w:rPr>
          <w:sz w:val="24"/>
        </w:rPr>
      </w:pPr>
      <w:r w:rsidRPr="004E2C64">
        <w:rPr>
          <w:sz w:val="24"/>
        </w:rPr>
        <w:t xml:space="preserve">A sample </w:t>
      </w:r>
      <w:r w:rsidR="009171AF" w:rsidRPr="004E2C64">
        <w:rPr>
          <w:sz w:val="24"/>
        </w:rPr>
        <w:t xml:space="preserve">PCI </w:t>
      </w:r>
      <w:r w:rsidRPr="004E2C64">
        <w:rPr>
          <w:sz w:val="24"/>
        </w:rPr>
        <w:t xml:space="preserve">template is available on the </w:t>
      </w:r>
      <w:hyperlink r:id="rId16" w:history="1">
        <w:r w:rsidR="00BA62DE" w:rsidRPr="00674F12">
          <w:rPr>
            <w:rStyle w:val="Hyperlink"/>
            <w:sz w:val="24"/>
          </w:rPr>
          <w:t>Commission’s website</w:t>
        </w:r>
      </w:hyperlink>
      <w:r w:rsidR="00BA62DE">
        <w:rPr>
          <w:rStyle w:val="FootnoteReference"/>
          <w:color w:val="0000FF" w:themeColor="hyperlink"/>
          <w:sz w:val="24"/>
          <w:u w:val="single"/>
        </w:rPr>
        <w:footnoteReference w:id="8"/>
      </w:r>
      <w:r w:rsidR="009E7635" w:rsidRPr="004E2C64">
        <w:rPr>
          <w:sz w:val="24"/>
        </w:rPr>
        <w:t>. Providers are not required to use th</w:t>
      </w:r>
      <w:r w:rsidR="008D3A95" w:rsidRPr="004E2C64">
        <w:rPr>
          <w:sz w:val="24"/>
        </w:rPr>
        <w:t xml:space="preserve">is template, </w:t>
      </w:r>
      <w:r w:rsidR="000C384E" w:rsidRPr="004E2C64">
        <w:rPr>
          <w:sz w:val="24"/>
        </w:rPr>
        <w:t>however,</w:t>
      </w:r>
      <w:r w:rsidR="008D3A95" w:rsidRPr="004E2C64">
        <w:rPr>
          <w:sz w:val="24"/>
        </w:rPr>
        <w:t xml:space="preserve"> must ensure that the </w:t>
      </w:r>
      <w:r w:rsidR="00103E69" w:rsidRPr="004E2C64">
        <w:rPr>
          <w:sz w:val="24"/>
        </w:rPr>
        <w:t xml:space="preserve">template </w:t>
      </w:r>
      <w:r w:rsidR="00B84173" w:rsidRPr="004E2C64">
        <w:rPr>
          <w:sz w:val="24"/>
        </w:rPr>
        <w:t xml:space="preserve">they </w:t>
      </w:r>
      <w:r w:rsidR="00103E69" w:rsidRPr="004E2C64">
        <w:rPr>
          <w:sz w:val="24"/>
        </w:rPr>
        <w:t>use covers the</w:t>
      </w:r>
      <w:r w:rsidR="00422467" w:rsidRPr="004E2C64">
        <w:rPr>
          <w:sz w:val="24"/>
        </w:rPr>
        <w:t xml:space="preserve"> information listed above</w:t>
      </w:r>
      <w:r w:rsidR="00463401" w:rsidRPr="004E2C64">
        <w:rPr>
          <w:sz w:val="24"/>
        </w:rPr>
        <w:t>.</w:t>
      </w:r>
      <w:r w:rsidR="00103E69" w:rsidRPr="004E2C64">
        <w:rPr>
          <w:sz w:val="24"/>
        </w:rPr>
        <w:t xml:space="preserve"> </w:t>
      </w:r>
    </w:p>
    <w:p w14:paraId="7837C0C4" w14:textId="77777777" w:rsidR="00E61634" w:rsidRPr="005D1BDE" w:rsidRDefault="00D30EB7" w:rsidP="005D1BDE">
      <w:pPr>
        <w:pStyle w:val="Heading2"/>
        <w:numPr>
          <w:ilvl w:val="0"/>
          <w:numId w:val="3"/>
        </w:numPr>
        <w:ind w:left="567" w:hanging="567"/>
      </w:pPr>
      <w:r>
        <w:t xml:space="preserve">What happens after a provider submits </w:t>
      </w:r>
      <w:r w:rsidR="00083541">
        <w:t>a</w:t>
      </w:r>
      <w:r>
        <w:t xml:space="preserve"> revised PCI</w:t>
      </w:r>
      <w:r w:rsidR="002F3C67">
        <w:t>?</w:t>
      </w:r>
    </w:p>
    <w:p w14:paraId="0DEB118C" w14:textId="77777777" w:rsidR="00484437" w:rsidRPr="00F06536" w:rsidRDefault="009E655D" w:rsidP="00363E02">
      <w:pPr>
        <w:spacing w:after="120"/>
        <w:rPr>
          <w:rFonts w:cs="Arial"/>
          <w:sz w:val="24"/>
          <w:shd w:val="clear" w:color="auto" w:fill="FFFFFF"/>
        </w:rPr>
      </w:pPr>
      <w:r w:rsidRPr="00F06536">
        <w:rPr>
          <w:rFonts w:cs="Arial"/>
          <w:sz w:val="24"/>
          <w:shd w:val="clear" w:color="auto" w:fill="FFFFFF"/>
        </w:rPr>
        <w:t xml:space="preserve">Upon receipt of a provider’s revised PCI, a delegate of the Commissioner will review </w:t>
      </w:r>
      <w:r w:rsidR="007A7B4C" w:rsidRPr="00F06536">
        <w:rPr>
          <w:rFonts w:cs="Arial"/>
          <w:sz w:val="24"/>
          <w:shd w:val="clear" w:color="auto" w:fill="FFFFFF"/>
        </w:rPr>
        <w:t>the plan</w:t>
      </w:r>
      <w:r w:rsidR="00BE5E26" w:rsidRPr="00F06536">
        <w:rPr>
          <w:rFonts w:cs="Arial"/>
          <w:sz w:val="24"/>
          <w:shd w:val="clear" w:color="auto" w:fill="FFFFFF"/>
        </w:rPr>
        <w:t xml:space="preserve"> to </w:t>
      </w:r>
      <w:r w:rsidR="007A7B4C" w:rsidRPr="00F06536">
        <w:rPr>
          <w:rFonts w:cs="Arial"/>
          <w:sz w:val="24"/>
          <w:shd w:val="clear" w:color="auto" w:fill="FFFFFF"/>
        </w:rPr>
        <w:t>ensure</w:t>
      </w:r>
      <w:r w:rsidR="00BE5E26" w:rsidRPr="00F06536">
        <w:rPr>
          <w:rFonts w:cs="Arial"/>
          <w:sz w:val="24"/>
          <w:shd w:val="clear" w:color="auto" w:fill="FFFFFF"/>
        </w:rPr>
        <w:t xml:space="preserve"> that it:</w:t>
      </w:r>
    </w:p>
    <w:p w14:paraId="0E0CE288" w14:textId="330525B8" w:rsidR="00BE5E26" w:rsidRPr="007A7B4C" w:rsidRDefault="008E09A6" w:rsidP="0040582E">
      <w:pPr>
        <w:pStyle w:val="ListParagraph"/>
        <w:numPr>
          <w:ilvl w:val="0"/>
          <w:numId w:val="17"/>
        </w:numPr>
        <w:spacing w:after="120"/>
        <w:ind w:left="777" w:right="-142" w:hanging="357"/>
        <w:contextualSpacing w:val="0"/>
        <w:rPr>
          <w:sz w:val="24"/>
        </w:rPr>
      </w:pPr>
      <w:r w:rsidRPr="007A7B4C">
        <w:rPr>
          <w:sz w:val="24"/>
        </w:rPr>
        <w:t>i</w:t>
      </w:r>
      <w:r w:rsidR="00BE5E26" w:rsidRPr="007A7B4C">
        <w:rPr>
          <w:sz w:val="24"/>
        </w:rPr>
        <w:t>ncludes planned actions to address the specific issues</w:t>
      </w:r>
      <w:r w:rsidR="00CB1A2D" w:rsidRPr="007A7B4C">
        <w:rPr>
          <w:sz w:val="24"/>
        </w:rPr>
        <w:t xml:space="preserve"> identified </w:t>
      </w:r>
      <w:r w:rsidR="00A06C87">
        <w:rPr>
          <w:sz w:val="24"/>
        </w:rPr>
        <w:t xml:space="preserve">by </w:t>
      </w:r>
      <w:r w:rsidR="002A6331">
        <w:rPr>
          <w:sz w:val="24"/>
        </w:rPr>
        <w:t>the</w:t>
      </w:r>
      <w:r w:rsidR="00EA6C42">
        <w:rPr>
          <w:sz w:val="24"/>
        </w:rPr>
        <w:t xml:space="preserve"> Commission</w:t>
      </w:r>
      <w:r w:rsidR="00F508BA">
        <w:rPr>
          <w:sz w:val="24"/>
        </w:rPr>
        <w:t xml:space="preserve"> and</w:t>
      </w:r>
      <w:r w:rsidR="0026765F">
        <w:rPr>
          <w:sz w:val="24"/>
        </w:rPr>
        <w:t>/or</w:t>
      </w:r>
      <w:r w:rsidR="00F508BA">
        <w:rPr>
          <w:sz w:val="24"/>
        </w:rPr>
        <w:t xml:space="preserve"> provider</w:t>
      </w:r>
      <w:r w:rsidR="0031692F">
        <w:rPr>
          <w:sz w:val="24"/>
        </w:rPr>
        <w:t>’s self-assessment</w:t>
      </w:r>
      <w:r w:rsidR="00CB1A2D" w:rsidRPr="007A7B4C">
        <w:rPr>
          <w:sz w:val="24"/>
        </w:rPr>
        <w:t xml:space="preserve"> </w:t>
      </w:r>
    </w:p>
    <w:p w14:paraId="72810BBE" w14:textId="77777777" w:rsidR="0064664A" w:rsidRDefault="008E09A6" w:rsidP="005C07FA">
      <w:pPr>
        <w:pStyle w:val="ListParagraph"/>
        <w:numPr>
          <w:ilvl w:val="0"/>
          <w:numId w:val="17"/>
        </w:numPr>
        <w:spacing w:after="120"/>
        <w:ind w:left="777" w:right="-142" w:hanging="357"/>
        <w:contextualSpacing w:val="0"/>
        <w:rPr>
          <w:sz w:val="24"/>
        </w:rPr>
      </w:pPr>
      <w:r w:rsidRPr="007A7B4C">
        <w:rPr>
          <w:sz w:val="24"/>
        </w:rPr>
        <w:t>s</w:t>
      </w:r>
      <w:r w:rsidR="00CB1A2D" w:rsidRPr="007A7B4C">
        <w:rPr>
          <w:sz w:val="24"/>
        </w:rPr>
        <w:t xml:space="preserve">ets out how the provider will </w:t>
      </w:r>
      <w:r w:rsidR="00051955" w:rsidRPr="007A7B4C">
        <w:rPr>
          <w:sz w:val="24"/>
        </w:rPr>
        <w:t>implement those actions</w:t>
      </w:r>
      <w:r w:rsidR="00CB1A2D" w:rsidRPr="007A7B4C">
        <w:rPr>
          <w:sz w:val="24"/>
        </w:rPr>
        <w:t xml:space="preserve"> to ensure that the Quality Standards are complied with</w:t>
      </w:r>
    </w:p>
    <w:p w14:paraId="1F5B3780" w14:textId="5876CB44" w:rsidR="00CB1A2D" w:rsidRPr="007A7B4C" w:rsidRDefault="0064664A" w:rsidP="007A7B4C">
      <w:pPr>
        <w:pStyle w:val="ListParagraph"/>
        <w:numPr>
          <w:ilvl w:val="0"/>
          <w:numId w:val="17"/>
        </w:numPr>
        <w:spacing w:after="240"/>
        <w:ind w:left="777" w:right="-142" w:hanging="357"/>
        <w:contextualSpacing w:val="0"/>
        <w:rPr>
          <w:sz w:val="24"/>
        </w:rPr>
      </w:pPr>
      <w:r>
        <w:rPr>
          <w:sz w:val="24"/>
        </w:rPr>
        <w:t>esta</w:t>
      </w:r>
      <w:r w:rsidR="002B60B4">
        <w:rPr>
          <w:sz w:val="24"/>
        </w:rPr>
        <w:t xml:space="preserve">blishes </w:t>
      </w:r>
      <w:r w:rsidR="00174016">
        <w:rPr>
          <w:sz w:val="24"/>
        </w:rPr>
        <w:t xml:space="preserve">reasonable </w:t>
      </w:r>
      <w:r w:rsidR="002B60B4">
        <w:rPr>
          <w:sz w:val="24"/>
        </w:rPr>
        <w:t xml:space="preserve">timeframes </w:t>
      </w:r>
      <w:r w:rsidR="00174016">
        <w:rPr>
          <w:sz w:val="24"/>
        </w:rPr>
        <w:t>for addressing the identified issues</w:t>
      </w:r>
      <w:r w:rsidR="00CB1A2D" w:rsidRPr="007A7B4C">
        <w:rPr>
          <w:sz w:val="24"/>
        </w:rPr>
        <w:t xml:space="preserve">.  </w:t>
      </w:r>
    </w:p>
    <w:p w14:paraId="3448C7BF" w14:textId="751B0967" w:rsidR="00D62AA2" w:rsidRPr="00635C3F" w:rsidRDefault="000F5F37" w:rsidP="00363E02">
      <w:pPr>
        <w:spacing w:after="120"/>
        <w:rPr>
          <w:rFonts w:cs="Arial"/>
          <w:sz w:val="24"/>
          <w:shd w:val="clear" w:color="auto" w:fill="FFFFFF"/>
        </w:rPr>
      </w:pPr>
      <w:r w:rsidRPr="00635C3F">
        <w:rPr>
          <w:rFonts w:cs="Arial"/>
          <w:sz w:val="24"/>
          <w:shd w:val="clear" w:color="auto" w:fill="FFFFFF"/>
        </w:rPr>
        <w:t xml:space="preserve">If the </w:t>
      </w:r>
      <w:r w:rsidR="000E7CB7" w:rsidRPr="00635C3F">
        <w:rPr>
          <w:rFonts w:cs="Arial"/>
          <w:sz w:val="24"/>
          <w:shd w:val="clear" w:color="auto" w:fill="FFFFFF"/>
        </w:rPr>
        <w:t xml:space="preserve">Commission is satisfied </w:t>
      </w:r>
      <w:r w:rsidR="00A97606" w:rsidRPr="00635C3F">
        <w:rPr>
          <w:rFonts w:cs="Arial"/>
          <w:sz w:val="24"/>
          <w:shd w:val="clear" w:color="auto" w:fill="FFFFFF"/>
        </w:rPr>
        <w:t>that the plan</w:t>
      </w:r>
      <w:r w:rsidR="00924FA4" w:rsidRPr="00635C3F">
        <w:rPr>
          <w:rFonts w:cs="Arial"/>
          <w:sz w:val="24"/>
          <w:shd w:val="clear" w:color="auto" w:fill="FFFFFF"/>
        </w:rPr>
        <w:t>ned actions and timeframe/s to undertake remedial action are</w:t>
      </w:r>
      <w:r w:rsidR="00FF18AC" w:rsidRPr="00635C3F">
        <w:rPr>
          <w:rFonts w:cs="Arial"/>
          <w:sz w:val="24"/>
          <w:shd w:val="clear" w:color="auto" w:fill="FFFFFF"/>
        </w:rPr>
        <w:t xml:space="preserve"> reasonable in the circumstances</w:t>
      </w:r>
      <w:r w:rsidR="00661CBC" w:rsidRPr="00635C3F">
        <w:rPr>
          <w:rFonts w:cs="Arial"/>
          <w:sz w:val="24"/>
          <w:shd w:val="clear" w:color="auto" w:fill="FFFFFF"/>
        </w:rPr>
        <w:t xml:space="preserve">, </w:t>
      </w:r>
      <w:r w:rsidR="000C4143">
        <w:rPr>
          <w:rFonts w:cs="Arial"/>
          <w:sz w:val="24"/>
          <w:shd w:val="clear" w:color="auto" w:fill="FFFFFF"/>
        </w:rPr>
        <w:t>t</w:t>
      </w:r>
      <w:r w:rsidR="0040477F" w:rsidRPr="00635C3F">
        <w:rPr>
          <w:rFonts w:cs="Arial"/>
          <w:sz w:val="24"/>
          <w:shd w:val="clear" w:color="auto" w:fill="FFFFFF"/>
        </w:rPr>
        <w:t xml:space="preserve">he Commission will acknowledge receipt of </w:t>
      </w:r>
      <w:r w:rsidR="0054024D" w:rsidRPr="00635C3F">
        <w:rPr>
          <w:rFonts w:cs="Arial"/>
          <w:sz w:val="24"/>
          <w:shd w:val="clear" w:color="auto" w:fill="FFFFFF"/>
        </w:rPr>
        <w:t>the revised PCI</w:t>
      </w:r>
      <w:r w:rsidR="0040477F" w:rsidRPr="00635C3F">
        <w:rPr>
          <w:rFonts w:cs="Arial"/>
          <w:sz w:val="24"/>
          <w:shd w:val="clear" w:color="auto" w:fill="FFFFFF"/>
        </w:rPr>
        <w:t xml:space="preserve"> and</w:t>
      </w:r>
      <w:r w:rsidR="0054024D" w:rsidRPr="00635C3F">
        <w:rPr>
          <w:rFonts w:cs="Arial"/>
          <w:sz w:val="24"/>
          <w:shd w:val="clear" w:color="auto" w:fill="FFFFFF"/>
        </w:rPr>
        <w:t>, where appropriate, p</w:t>
      </w:r>
      <w:r w:rsidR="00A96030" w:rsidRPr="00635C3F">
        <w:rPr>
          <w:rFonts w:cs="Arial"/>
          <w:sz w:val="24"/>
          <w:shd w:val="clear" w:color="auto" w:fill="FFFFFF"/>
        </w:rPr>
        <w:t>roviders</w:t>
      </w:r>
      <w:r w:rsidR="00534E3E" w:rsidRPr="00635C3F">
        <w:rPr>
          <w:rFonts w:cs="Arial"/>
          <w:sz w:val="24"/>
          <w:shd w:val="clear" w:color="auto" w:fill="FFFFFF"/>
        </w:rPr>
        <w:t xml:space="preserve"> will be notified</w:t>
      </w:r>
      <w:r w:rsidR="002A5242" w:rsidRPr="00635C3F">
        <w:rPr>
          <w:rFonts w:cs="Arial"/>
          <w:sz w:val="24"/>
          <w:shd w:val="clear" w:color="auto" w:fill="FFFFFF"/>
        </w:rPr>
        <w:t xml:space="preserve"> </w:t>
      </w:r>
      <w:r w:rsidR="0054024D" w:rsidRPr="00635C3F">
        <w:rPr>
          <w:rFonts w:cs="Arial"/>
          <w:sz w:val="24"/>
          <w:shd w:val="clear" w:color="auto" w:fill="FFFFFF"/>
        </w:rPr>
        <w:t xml:space="preserve">of monitoring </w:t>
      </w:r>
      <w:r w:rsidR="00331D51" w:rsidRPr="00635C3F">
        <w:rPr>
          <w:rFonts w:cs="Arial"/>
          <w:sz w:val="24"/>
          <w:shd w:val="clear" w:color="auto" w:fill="FFFFFF"/>
        </w:rPr>
        <w:t>and</w:t>
      </w:r>
      <w:r w:rsidR="00E87566" w:rsidRPr="00635C3F">
        <w:rPr>
          <w:rFonts w:cs="Arial"/>
          <w:sz w:val="24"/>
          <w:shd w:val="clear" w:color="auto" w:fill="FFFFFF"/>
        </w:rPr>
        <w:t xml:space="preserve"> </w:t>
      </w:r>
      <w:r w:rsidR="00331D51" w:rsidRPr="00635C3F">
        <w:rPr>
          <w:rFonts w:cs="Arial"/>
          <w:sz w:val="24"/>
          <w:shd w:val="clear" w:color="auto" w:fill="FFFFFF"/>
        </w:rPr>
        <w:t xml:space="preserve">reporting </w:t>
      </w:r>
      <w:r w:rsidR="0054024D" w:rsidRPr="00635C3F">
        <w:rPr>
          <w:rFonts w:cs="Arial"/>
          <w:sz w:val="24"/>
          <w:shd w:val="clear" w:color="auto" w:fill="FFFFFF"/>
        </w:rPr>
        <w:t>arrangement</w:t>
      </w:r>
      <w:r w:rsidR="00D62AA2" w:rsidRPr="00635C3F">
        <w:rPr>
          <w:rFonts w:cs="Arial"/>
          <w:sz w:val="24"/>
          <w:shd w:val="clear" w:color="auto" w:fill="FFFFFF"/>
        </w:rPr>
        <w:t xml:space="preserve">s which </w:t>
      </w:r>
      <w:r w:rsidR="00E87566" w:rsidRPr="00635C3F">
        <w:rPr>
          <w:rFonts w:cs="Arial"/>
          <w:sz w:val="24"/>
          <w:shd w:val="clear" w:color="auto" w:fill="FFFFFF"/>
        </w:rPr>
        <w:t>may include</w:t>
      </w:r>
      <w:r w:rsidR="00D62AA2" w:rsidRPr="00635C3F">
        <w:rPr>
          <w:rFonts w:cs="Arial"/>
          <w:sz w:val="24"/>
          <w:shd w:val="clear" w:color="auto" w:fill="FFFFFF"/>
        </w:rPr>
        <w:t>:</w:t>
      </w:r>
    </w:p>
    <w:p w14:paraId="6723BD55" w14:textId="77777777" w:rsidR="00E87566" w:rsidRPr="007A7B4C" w:rsidRDefault="007C6A24" w:rsidP="00EC2EDF">
      <w:pPr>
        <w:pStyle w:val="ListParagraph"/>
        <w:numPr>
          <w:ilvl w:val="0"/>
          <w:numId w:val="17"/>
        </w:numPr>
        <w:spacing w:after="120"/>
        <w:ind w:left="777" w:right="-142" w:hanging="357"/>
        <w:contextualSpacing w:val="0"/>
        <w:rPr>
          <w:sz w:val="24"/>
        </w:rPr>
      </w:pPr>
      <w:r w:rsidRPr="007A7B4C">
        <w:rPr>
          <w:sz w:val="24"/>
        </w:rPr>
        <w:t xml:space="preserve">a requirement to </w:t>
      </w:r>
      <w:r w:rsidR="00006A21" w:rsidRPr="007A7B4C">
        <w:rPr>
          <w:sz w:val="24"/>
        </w:rPr>
        <w:t>submi</w:t>
      </w:r>
      <w:r w:rsidRPr="007A7B4C">
        <w:rPr>
          <w:sz w:val="24"/>
        </w:rPr>
        <w:t>t</w:t>
      </w:r>
      <w:r w:rsidR="00006A21" w:rsidRPr="007A7B4C">
        <w:rPr>
          <w:sz w:val="24"/>
        </w:rPr>
        <w:t xml:space="preserve"> progress reports on outcomes of improvement actions by a certain date</w:t>
      </w:r>
    </w:p>
    <w:p w14:paraId="612342A3" w14:textId="4A10E797" w:rsidR="009E62F8" w:rsidRDefault="00E721CD" w:rsidP="003D0946">
      <w:pPr>
        <w:pStyle w:val="ListParagraph"/>
        <w:numPr>
          <w:ilvl w:val="0"/>
          <w:numId w:val="17"/>
        </w:numPr>
        <w:spacing w:after="240"/>
        <w:ind w:left="777" w:right="-142" w:hanging="357"/>
        <w:contextualSpacing w:val="0"/>
        <w:rPr>
          <w:sz w:val="24"/>
        </w:rPr>
      </w:pPr>
      <w:r w:rsidRPr="007A7B4C">
        <w:rPr>
          <w:sz w:val="24"/>
        </w:rPr>
        <w:t>arrangements for</w:t>
      </w:r>
      <w:r w:rsidR="00A63B60" w:rsidRPr="007A7B4C">
        <w:rPr>
          <w:sz w:val="24"/>
        </w:rPr>
        <w:t xml:space="preserve"> an assessment</w:t>
      </w:r>
      <w:r w:rsidR="001F6C46" w:rsidRPr="007A7B4C">
        <w:rPr>
          <w:sz w:val="24"/>
        </w:rPr>
        <w:t xml:space="preserve"> contact</w:t>
      </w:r>
      <w:r w:rsidR="00D271E8" w:rsidRPr="007A7B4C">
        <w:rPr>
          <w:sz w:val="24"/>
        </w:rPr>
        <w:t xml:space="preserve"> (monitoring</w:t>
      </w:r>
      <w:r w:rsidR="008D0DB6">
        <w:rPr>
          <w:sz w:val="24"/>
        </w:rPr>
        <w:t xml:space="preserve"> or performance assessment</w:t>
      </w:r>
      <w:r w:rsidR="00D271E8" w:rsidRPr="007A7B4C">
        <w:rPr>
          <w:sz w:val="24"/>
        </w:rPr>
        <w:t>)</w:t>
      </w:r>
      <w:r w:rsidR="00A63B60" w:rsidRPr="007A7B4C">
        <w:rPr>
          <w:sz w:val="24"/>
        </w:rPr>
        <w:t xml:space="preserve"> on or after a certain date to ensure that the planned actions are delivered as per the revised PCI</w:t>
      </w:r>
      <w:r w:rsidRPr="007A7B4C">
        <w:rPr>
          <w:sz w:val="24"/>
        </w:rPr>
        <w:t>.</w:t>
      </w:r>
    </w:p>
    <w:p w14:paraId="327081E8" w14:textId="102D70C5" w:rsidR="00183B5C" w:rsidRPr="003D0946" w:rsidRDefault="00183B5C" w:rsidP="00E30282">
      <w:pPr>
        <w:spacing w:after="240"/>
        <w:rPr>
          <w:sz w:val="24"/>
        </w:rPr>
      </w:pPr>
      <w:r w:rsidRPr="003D0946">
        <w:rPr>
          <w:sz w:val="24"/>
        </w:rPr>
        <w:t xml:space="preserve">Where the Commission has reduced confidence in the provider’s motivation or capacity to address the non-compliance, for example where a provider has failed to adequately </w:t>
      </w:r>
      <w:r w:rsidR="00E30282">
        <w:rPr>
          <w:sz w:val="24"/>
        </w:rPr>
        <w:t>revise the PCI</w:t>
      </w:r>
      <w:r w:rsidRPr="003D0946">
        <w:rPr>
          <w:sz w:val="24"/>
        </w:rPr>
        <w:t xml:space="preserve"> following a Direction Notice, the Commission may respond with </w:t>
      </w:r>
      <w:r w:rsidR="00F4627A">
        <w:rPr>
          <w:sz w:val="24"/>
        </w:rPr>
        <w:t xml:space="preserve">further </w:t>
      </w:r>
      <w:r w:rsidRPr="003D0946">
        <w:rPr>
          <w:sz w:val="24"/>
        </w:rPr>
        <w:t>enforceable regulatory action.</w:t>
      </w:r>
    </w:p>
    <w:p w14:paraId="0FD65844" w14:textId="4E6DAE79" w:rsidR="00FB7D63" w:rsidRPr="005D1BDE" w:rsidRDefault="00FB7D63" w:rsidP="00FB7D63">
      <w:pPr>
        <w:pStyle w:val="Heading2"/>
        <w:numPr>
          <w:ilvl w:val="0"/>
          <w:numId w:val="3"/>
        </w:numPr>
        <w:ind w:left="567" w:hanging="567"/>
      </w:pPr>
      <w:r>
        <w:t>Can a provider request more time to respond to the Direction</w:t>
      </w:r>
      <w:r w:rsidR="00BC419A">
        <w:t xml:space="preserve"> Notice</w:t>
      </w:r>
      <w:r>
        <w:t>?</w:t>
      </w:r>
    </w:p>
    <w:p w14:paraId="2D04EE63" w14:textId="58E44CA9" w:rsidR="00F51A89" w:rsidRDefault="002D698B" w:rsidP="00363E02">
      <w:pPr>
        <w:spacing w:after="240"/>
        <w:ind w:right="-144"/>
        <w:rPr>
          <w:sz w:val="24"/>
        </w:rPr>
      </w:pPr>
      <w:r w:rsidRPr="00995C96">
        <w:rPr>
          <w:sz w:val="24"/>
        </w:rPr>
        <w:t xml:space="preserve">Providers are required to comply with a </w:t>
      </w:r>
      <w:r w:rsidR="00A54CD0">
        <w:rPr>
          <w:sz w:val="24"/>
        </w:rPr>
        <w:t>Direction Notice</w:t>
      </w:r>
      <w:r w:rsidRPr="00995C96">
        <w:rPr>
          <w:sz w:val="24"/>
        </w:rPr>
        <w:t xml:space="preserve"> within 14 days</w:t>
      </w:r>
      <w:r w:rsidR="00C038BD" w:rsidRPr="00995C96">
        <w:rPr>
          <w:sz w:val="24"/>
        </w:rPr>
        <w:t xml:space="preserve"> of the date of the </w:t>
      </w:r>
      <w:r w:rsidR="0090099A">
        <w:rPr>
          <w:sz w:val="24"/>
        </w:rPr>
        <w:t>notice</w:t>
      </w:r>
      <w:r w:rsidRPr="00995C96">
        <w:rPr>
          <w:sz w:val="24"/>
        </w:rPr>
        <w:t>. This is a legislated timeframe.</w:t>
      </w:r>
    </w:p>
    <w:p w14:paraId="495DCFD4" w14:textId="77777777" w:rsidR="00F51A89" w:rsidRDefault="00F51A89">
      <w:pPr>
        <w:spacing w:before="0" w:after="0" w:line="240" w:lineRule="auto"/>
        <w:rPr>
          <w:sz w:val="24"/>
        </w:rPr>
      </w:pPr>
      <w:r>
        <w:rPr>
          <w:sz w:val="24"/>
        </w:rPr>
        <w:br w:type="page"/>
      </w:r>
    </w:p>
    <w:p w14:paraId="313A22F5" w14:textId="77777777" w:rsidR="00546B53" w:rsidRPr="00995C96" w:rsidRDefault="00F11B02" w:rsidP="00363E02">
      <w:pPr>
        <w:spacing w:after="240"/>
        <w:ind w:right="-144"/>
        <w:rPr>
          <w:sz w:val="24"/>
        </w:rPr>
      </w:pPr>
      <w:r w:rsidRPr="00995C96">
        <w:rPr>
          <w:sz w:val="24"/>
        </w:rPr>
        <w:lastRenderedPageBreak/>
        <w:t xml:space="preserve">There may be occasions where </w:t>
      </w:r>
      <w:r w:rsidR="00770DFE" w:rsidRPr="00995C96">
        <w:rPr>
          <w:sz w:val="24"/>
        </w:rPr>
        <w:t>additional time is</w:t>
      </w:r>
      <w:r w:rsidR="00E65D5A" w:rsidRPr="00995C96">
        <w:rPr>
          <w:sz w:val="24"/>
        </w:rPr>
        <w:t xml:space="preserve"> required </w:t>
      </w:r>
      <w:r w:rsidR="00DE08F5" w:rsidRPr="00995C96">
        <w:rPr>
          <w:sz w:val="24"/>
        </w:rPr>
        <w:t xml:space="preserve">to </w:t>
      </w:r>
      <w:r w:rsidR="00E65D5A" w:rsidRPr="00995C96">
        <w:rPr>
          <w:sz w:val="24"/>
        </w:rPr>
        <w:t xml:space="preserve">prepare and </w:t>
      </w:r>
      <w:r w:rsidRPr="00995C96">
        <w:rPr>
          <w:sz w:val="24"/>
        </w:rPr>
        <w:t>submit a revised PCI</w:t>
      </w:r>
      <w:r w:rsidR="00D72AE8" w:rsidRPr="00995C96">
        <w:rPr>
          <w:sz w:val="24"/>
        </w:rPr>
        <w:t xml:space="preserve"> due to exceptional circumsta</w:t>
      </w:r>
      <w:r w:rsidR="00766D71" w:rsidRPr="00995C96">
        <w:rPr>
          <w:sz w:val="24"/>
        </w:rPr>
        <w:t>nces, for example if the service has been affected by a natural disaster</w:t>
      </w:r>
      <w:r w:rsidR="00754193" w:rsidRPr="00995C96">
        <w:rPr>
          <w:sz w:val="24"/>
        </w:rPr>
        <w:t xml:space="preserve"> or infectious outbreak</w:t>
      </w:r>
      <w:r w:rsidRPr="00995C96">
        <w:rPr>
          <w:sz w:val="24"/>
        </w:rPr>
        <w:t>.</w:t>
      </w:r>
      <w:r w:rsidR="00E65D5A" w:rsidRPr="00995C96">
        <w:rPr>
          <w:sz w:val="24"/>
        </w:rPr>
        <w:t xml:space="preserve"> R</w:t>
      </w:r>
      <w:r w:rsidRPr="00995C96">
        <w:rPr>
          <w:sz w:val="24"/>
        </w:rPr>
        <w:t xml:space="preserve">equests </w:t>
      </w:r>
      <w:r w:rsidR="00F41774" w:rsidRPr="00995C96">
        <w:rPr>
          <w:sz w:val="24"/>
        </w:rPr>
        <w:t xml:space="preserve">for an extension of time </w:t>
      </w:r>
      <w:r w:rsidRPr="00995C96">
        <w:rPr>
          <w:sz w:val="24"/>
        </w:rPr>
        <w:t>can be considered, however the</w:t>
      </w:r>
      <w:r w:rsidR="00F41774" w:rsidRPr="00995C96">
        <w:rPr>
          <w:sz w:val="24"/>
        </w:rPr>
        <w:t xml:space="preserve"> Commission is under no obligation to approve</w:t>
      </w:r>
      <w:r w:rsidR="00116B82" w:rsidRPr="00995C96">
        <w:rPr>
          <w:sz w:val="24"/>
        </w:rPr>
        <w:t xml:space="preserve"> such</w:t>
      </w:r>
      <w:r w:rsidR="00F41774" w:rsidRPr="00995C96">
        <w:rPr>
          <w:sz w:val="24"/>
        </w:rPr>
        <w:t xml:space="preserve"> request</w:t>
      </w:r>
      <w:r w:rsidR="00116B82" w:rsidRPr="00995C96">
        <w:rPr>
          <w:sz w:val="24"/>
        </w:rPr>
        <w:t xml:space="preserve">s.  </w:t>
      </w:r>
    </w:p>
    <w:p w14:paraId="1E5BE66D" w14:textId="77777777" w:rsidR="00F11B02" w:rsidRPr="00995C96" w:rsidRDefault="00116B82" w:rsidP="00F51A89">
      <w:pPr>
        <w:spacing w:after="120"/>
        <w:ind w:right="-144"/>
        <w:rPr>
          <w:sz w:val="24"/>
        </w:rPr>
      </w:pPr>
      <w:r w:rsidRPr="00995C96">
        <w:rPr>
          <w:sz w:val="24"/>
        </w:rPr>
        <w:t>Any request for</w:t>
      </w:r>
      <w:r w:rsidR="00546B53" w:rsidRPr="00995C96">
        <w:rPr>
          <w:sz w:val="24"/>
        </w:rPr>
        <w:t xml:space="preserve"> extension</w:t>
      </w:r>
      <w:r w:rsidR="007C773F" w:rsidRPr="00995C96">
        <w:rPr>
          <w:sz w:val="24"/>
        </w:rPr>
        <w:t xml:space="preserve"> beyond the legislated 14</w:t>
      </w:r>
      <w:r w:rsidR="00BB5688" w:rsidRPr="00995C96">
        <w:rPr>
          <w:sz w:val="24"/>
        </w:rPr>
        <w:t>-</w:t>
      </w:r>
      <w:r w:rsidR="007C773F" w:rsidRPr="00995C96">
        <w:rPr>
          <w:sz w:val="24"/>
        </w:rPr>
        <w:t>day timeframe</w:t>
      </w:r>
      <w:r w:rsidR="00546B53" w:rsidRPr="00995C96">
        <w:rPr>
          <w:sz w:val="24"/>
        </w:rPr>
        <w:t xml:space="preserve"> </w:t>
      </w:r>
      <w:r w:rsidR="00867981" w:rsidRPr="00995C96">
        <w:rPr>
          <w:sz w:val="24"/>
        </w:rPr>
        <w:t xml:space="preserve">to submit a revised PCI </w:t>
      </w:r>
      <w:r w:rsidR="00546B53" w:rsidRPr="00995C96">
        <w:rPr>
          <w:sz w:val="24"/>
        </w:rPr>
        <w:t>should include</w:t>
      </w:r>
      <w:r w:rsidR="00F11B02" w:rsidRPr="00995C96">
        <w:rPr>
          <w:sz w:val="24"/>
        </w:rPr>
        <w:t>:</w:t>
      </w:r>
    </w:p>
    <w:p w14:paraId="46A399C5" w14:textId="77777777" w:rsidR="00F11B02" w:rsidRPr="00995C96" w:rsidRDefault="00F11B02" w:rsidP="00D33A92">
      <w:pPr>
        <w:pStyle w:val="ListParagraph"/>
        <w:numPr>
          <w:ilvl w:val="0"/>
          <w:numId w:val="16"/>
        </w:numPr>
        <w:spacing w:after="120"/>
        <w:ind w:left="714" w:right="-142" w:hanging="357"/>
        <w:contextualSpacing w:val="0"/>
        <w:rPr>
          <w:sz w:val="24"/>
        </w:rPr>
      </w:pPr>
      <w:r w:rsidRPr="00995C96">
        <w:rPr>
          <w:sz w:val="24"/>
        </w:rPr>
        <w:t>the reason why an extension of time is required</w:t>
      </w:r>
    </w:p>
    <w:p w14:paraId="0D4F00EC" w14:textId="77777777" w:rsidR="00F11B02" w:rsidRPr="00995C96" w:rsidRDefault="00F11B02" w:rsidP="00F11B02">
      <w:pPr>
        <w:pStyle w:val="ListParagraph"/>
        <w:numPr>
          <w:ilvl w:val="0"/>
          <w:numId w:val="16"/>
        </w:numPr>
        <w:spacing w:after="120"/>
        <w:ind w:right="-144"/>
        <w:rPr>
          <w:sz w:val="24"/>
        </w:rPr>
      </w:pPr>
      <w:r w:rsidRPr="00995C96">
        <w:rPr>
          <w:sz w:val="24"/>
        </w:rPr>
        <w:t xml:space="preserve">how much time the provider requires. </w:t>
      </w:r>
    </w:p>
    <w:p w14:paraId="10091100" w14:textId="64841937" w:rsidR="003751CB" w:rsidRPr="00995C96" w:rsidRDefault="00F11B02" w:rsidP="00F51A89">
      <w:pPr>
        <w:spacing w:before="240" w:after="240"/>
        <w:rPr>
          <w:rFonts w:ascii="Fira Sans" w:eastAsiaTheme="majorEastAsia" w:hAnsi="Fira Sans" w:cstheme="minorHAnsi"/>
          <w:b/>
          <w:sz w:val="32"/>
          <w:szCs w:val="28"/>
        </w:rPr>
      </w:pPr>
      <w:r w:rsidRPr="00995C96">
        <w:rPr>
          <w:sz w:val="24"/>
        </w:rPr>
        <w:t>Any decision to approve or decline a request</w:t>
      </w:r>
      <w:r w:rsidR="00CC7186" w:rsidRPr="00995C96">
        <w:rPr>
          <w:sz w:val="24"/>
        </w:rPr>
        <w:t xml:space="preserve"> for extension</w:t>
      </w:r>
      <w:r w:rsidRPr="00995C96">
        <w:rPr>
          <w:sz w:val="24"/>
        </w:rPr>
        <w:t xml:space="preserve"> </w:t>
      </w:r>
      <w:r w:rsidR="00867981" w:rsidRPr="00995C96">
        <w:rPr>
          <w:sz w:val="24"/>
        </w:rPr>
        <w:t xml:space="preserve">will </w:t>
      </w:r>
      <w:r w:rsidRPr="00995C96">
        <w:rPr>
          <w:sz w:val="24"/>
        </w:rPr>
        <w:t xml:space="preserve">be confirmed in writing.  </w:t>
      </w:r>
    </w:p>
    <w:p w14:paraId="367F450A" w14:textId="1EF8C9DF" w:rsidR="003751CB" w:rsidRPr="00955759" w:rsidRDefault="003751CB" w:rsidP="003751CB">
      <w:pPr>
        <w:pStyle w:val="Heading2"/>
        <w:numPr>
          <w:ilvl w:val="0"/>
          <w:numId w:val="3"/>
        </w:numPr>
        <w:ind w:left="567" w:hanging="567"/>
      </w:pPr>
      <w:r>
        <w:t xml:space="preserve">How do </w:t>
      </w:r>
      <w:r w:rsidR="000E56CB">
        <w:t xml:space="preserve">directions </w:t>
      </w:r>
      <w:r>
        <w:t xml:space="preserve">to revise a PCI affect </w:t>
      </w:r>
      <w:r w:rsidR="00254777">
        <w:t>a provider’s</w:t>
      </w:r>
      <w:r>
        <w:t xml:space="preserve"> Service </w:t>
      </w:r>
      <w:r w:rsidRPr="00955759">
        <w:t xml:space="preserve">Compliance Rating? </w:t>
      </w:r>
    </w:p>
    <w:p w14:paraId="4B88562A" w14:textId="2800BD2A" w:rsidR="003751CB" w:rsidRPr="00955759" w:rsidRDefault="003751CB" w:rsidP="00F51A89">
      <w:pPr>
        <w:spacing w:before="0" w:after="240"/>
        <w:rPr>
          <w:sz w:val="24"/>
          <w:szCs w:val="24"/>
        </w:rPr>
      </w:pPr>
      <w:r w:rsidRPr="00955759">
        <w:rPr>
          <w:sz w:val="24"/>
          <w:szCs w:val="24"/>
        </w:rPr>
        <w:t xml:space="preserve">Service </w:t>
      </w:r>
      <w:r w:rsidR="00FC233D" w:rsidRPr="00955759">
        <w:rPr>
          <w:sz w:val="24"/>
          <w:szCs w:val="24"/>
        </w:rPr>
        <w:t xml:space="preserve">Compliance Ratings </w:t>
      </w:r>
      <w:r w:rsidR="00B37229" w:rsidRPr="00955759">
        <w:rPr>
          <w:sz w:val="24"/>
          <w:szCs w:val="24"/>
        </w:rPr>
        <w:t>reflect</w:t>
      </w:r>
      <w:r w:rsidRPr="00955759">
        <w:rPr>
          <w:sz w:val="24"/>
          <w:szCs w:val="24"/>
        </w:rPr>
        <w:t xml:space="preserve"> a service’s current compliance status</w:t>
      </w:r>
      <w:r w:rsidR="00B37229" w:rsidRPr="00955759">
        <w:rPr>
          <w:sz w:val="24"/>
          <w:szCs w:val="24"/>
        </w:rPr>
        <w:t xml:space="preserve">. </w:t>
      </w:r>
      <w:r w:rsidRPr="00955759">
        <w:rPr>
          <w:sz w:val="24"/>
          <w:szCs w:val="24"/>
        </w:rPr>
        <w:t>It is based on the outcomes of regulatory activities such as performance assessments conducted by the Commission</w:t>
      </w:r>
      <w:r w:rsidR="00FC233D" w:rsidRPr="00955759">
        <w:rPr>
          <w:sz w:val="24"/>
          <w:szCs w:val="24"/>
        </w:rPr>
        <w:t>,</w:t>
      </w:r>
      <w:r w:rsidRPr="00955759">
        <w:rPr>
          <w:sz w:val="24"/>
          <w:szCs w:val="24"/>
        </w:rPr>
        <w:t xml:space="preserve"> and whether a service is meeting its obligation to provide safe, quality care and services to aged care consumers.   </w:t>
      </w:r>
    </w:p>
    <w:p w14:paraId="485E78AD" w14:textId="4B995AB2" w:rsidR="003751CB" w:rsidRPr="00955759" w:rsidRDefault="003751CB" w:rsidP="00F51A89">
      <w:pPr>
        <w:spacing w:before="0" w:after="240"/>
        <w:rPr>
          <w:sz w:val="24"/>
          <w:szCs w:val="24"/>
        </w:rPr>
      </w:pPr>
      <w:r w:rsidRPr="00955759">
        <w:rPr>
          <w:sz w:val="24"/>
          <w:szCs w:val="24"/>
        </w:rPr>
        <w:t xml:space="preserve">Where </w:t>
      </w:r>
      <w:r w:rsidR="000C384E">
        <w:rPr>
          <w:sz w:val="24"/>
          <w:szCs w:val="24"/>
        </w:rPr>
        <w:t>non-compliance</w:t>
      </w:r>
      <w:r w:rsidR="009A79BF">
        <w:rPr>
          <w:sz w:val="24"/>
          <w:szCs w:val="24"/>
        </w:rPr>
        <w:t xml:space="preserve"> has</w:t>
      </w:r>
      <w:r w:rsidRPr="00955759">
        <w:rPr>
          <w:sz w:val="24"/>
          <w:szCs w:val="24"/>
        </w:rPr>
        <w:t xml:space="preserve"> been identified and a provider issued with a </w:t>
      </w:r>
      <w:r w:rsidRPr="0094095F">
        <w:rPr>
          <w:sz w:val="24"/>
          <w:szCs w:val="24"/>
        </w:rPr>
        <w:t>Direction</w:t>
      </w:r>
      <w:r w:rsidR="00FD54D3">
        <w:rPr>
          <w:sz w:val="24"/>
          <w:szCs w:val="24"/>
        </w:rPr>
        <w:t xml:space="preserve"> Notice</w:t>
      </w:r>
      <w:r w:rsidRPr="0094095F">
        <w:rPr>
          <w:sz w:val="24"/>
          <w:szCs w:val="24"/>
        </w:rPr>
        <w:t xml:space="preserve">, </w:t>
      </w:r>
      <w:r w:rsidR="00784695">
        <w:rPr>
          <w:sz w:val="24"/>
          <w:szCs w:val="24"/>
        </w:rPr>
        <w:t xml:space="preserve">the relevant </w:t>
      </w:r>
      <w:r w:rsidR="007A2ABC" w:rsidRPr="0094095F">
        <w:rPr>
          <w:sz w:val="24"/>
          <w:szCs w:val="24"/>
        </w:rPr>
        <w:t xml:space="preserve">service </w:t>
      </w:r>
      <w:r w:rsidRPr="00784695">
        <w:rPr>
          <w:sz w:val="24"/>
          <w:szCs w:val="24"/>
        </w:rPr>
        <w:t>will be given a three</w:t>
      </w:r>
      <w:r w:rsidR="00EB7478" w:rsidRPr="00784695">
        <w:rPr>
          <w:sz w:val="24"/>
          <w:szCs w:val="24"/>
        </w:rPr>
        <w:t>-</w:t>
      </w:r>
      <w:r w:rsidRPr="00784695">
        <w:rPr>
          <w:sz w:val="24"/>
          <w:szCs w:val="24"/>
        </w:rPr>
        <w:t>dot rating</w:t>
      </w:r>
      <w:r w:rsidR="007A2ABC" w:rsidRPr="00784695">
        <w:rPr>
          <w:sz w:val="24"/>
          <w:szCs w:val="24"/>
        </w:rPr>
        <w:t xml:space="preserve"> indicating that </w:t>
      </w:r>
      <w:r w:rsidR="0094095F" w:rsidRPr="00784695">
        <w:rPr>
          <w:sz w:val="24"/>
          <w:szCs w:val="24"/>
        </w:rPr>
        <w:t xml:space="preserve">some </w:t>
      </w:r>
      <w:r w:rsidR="00394506" w:rsidRPr="0094095F">
        <w:rPr>
          <w:sz w:val="24"/>
          <w:szCs w:val="24"/>
        </w:rPr>
        <w:t>improvements</w:t>
      </w:r>
      <w:r w:rsidR="0094095F" w:rsidRPr="0094095F">
        <w:rPr>
          <w:sz w:val="24"/>
          <w:szCs w:val="24"/>
        </w:rPr>
        <w:t xml:space="preserve"> are</w:t>
      </w:r>
      <w:r w:rsidR="00394506" w:rsidRPr="0094095F">
        <w:rPr>
          <w:sz w:val="24"/>
          <w:szCs w:val="24"/>
        </w:rPr>
        <w:t xml:space="preserve"> needed</w:t>
      </w:r>
      <w:r w:rsidRPr="0094095F">
        <w:rPr>
          <w:sz w:val="24"/>
          <w:szCs w:val="24"/>
        </w:rPr>
        <w:t>.</w:t>
      </w:r>
      <w:r w:rsidRPr="00955759">
        <w:rPr>
          <w:sz w:val="24"/>
          <w:szCs w:val="24"/>
        </w:rPr>
        <w:t xml:space="preserve"> </w:t>
      </w:r>
      <w:r w:rsidR="00EE57D5">
        <w:rPr>
          <w:sz w:val="24"/>
          <w:szCs w:val="24"/>
        </w:rPr>
        <w:t xml:space="preserve">Where there are additional </w:t>
      </w:r>
      <w:r w:rsidR="008267DF">
        <w:rPr>
          <w:sz w:val="24"/>
          <w:szCs w:val="24"/>
        </w:rPr>
        <w:t>regulatory actions in place at the services respo</w:t>
      </w:r>
      <w:r w:rsidR="00506612">
        <w:rPr>
          <w:sz w:val="24"/>
          <w:szCs w:val="24"/>
        </w:rPr>
        <w:t>n</w:t>
      </w:r>
      <w:r w:rsidR="008267DF">
        <w:rPr>
          <w:sz w:val="24"/>
          <w:szCs w:val="24"/>
        </w:rPr>
        <w:t>ding to other findings of non</w:t>
      </w:r>
      <w:r w:rsidR="00C40E34">
        <w:rPr>
          <w:sz w:val="24"/>
          <w:szCs w:val="24"/>
        </w:rPr>
        <w:t>-</w:t>
      </w:r>
      <w:r w:rsidR="008267DF">
        <w:rPr>
          <w:sz w:val="24"/>
          <w:szCs w:val="24"/>
        </w:rPr>
        <w:t>compliance</w:t>
      </w:r>
      <w:r w:rsidR="00852752">
        <w:rPr>
          <w:sz w:val="24"/>
          <w:szCs w:val="24"/>
        </w:rPr>
        <w:t>,</w:t>
      </w:r>
      <w:r w:rsidR="008267DF">
        <w:rPr>
          <w:sz w:val="24"/>
          <w:szCs w:val="24"/>
        </w:rPr>
        <w:t xml:space="preserve"> the dot rating may be lower. </w:t>
      </w:r>
    </w:p>
    <w:p w14:paraId="6B486281" w14:textId="77777777" w:rsidR="003751CB" w:rsidRPr="00955759" w:rsidRDefault="003751CB" w:rsidP="00F51A89">
      <w:pPr>
        <w:spacing w:before="0" w:after="240"/>
        <w:rPr>
          <w:sz w:val="24"/>
          <w:szCs w:val="24"/>
        </w:rPr>
      </w:pPr>
      <w:r w:rsidRPr="00955759">
        <w:rPr>
          <w:sz w:val="24"/>
          <w:szCs w:val="24"/>
        </w:rPr>
        <w:t>The rating enables consumers to access and compare information on the quality of aged care services, supporting more informed decision making.</w:t>
      </w:r>
    </w:p>
    <w:p w14:paraId="0B542795" w14:textId="7D92C307" w:rsidR="003751CB" w:rsidRPr="00955759" w:rsidRDefault="00C87B26" w:rsidP="00F51A89">
      <w:pPr>
        <w:spacing w:before="0" w:after="240"/>
        <w:rPr>
          <w:sz w:val="24"/>
          <w:szCs w:val="24"/>
        </w:rPr>
      </w:pPr>
      <w:r w:rsidRPr="00955759">
        <w:rPr>
          <w:sz w:val="24"/>
          <w:szCs w:val="24"/>
        </w:rPr>
        <w:t>F</w:t>
      </w:r>
      <w:r w:rsidR="003751CB" w:rsidRPr="00955759">
        <w:rPr>
          <w:sz w:val="24"/>
          <w:szCs w:val="24"/>
        </w:rPr>
        <w:t xml:space="preserve">or more information about the Service Compliance </w:t>
      </w:r>
      <w:r w:rsidR="00694421" w:rsidRPr="00955759">
        <w:rPr>
          <w:sz w:val="24"/>
          <w:szCs w:val="24"/>
        </w:rPr>
        <w:t>R</w:t>
      </w:r>
      <w:r w:rsidR="003751CB" w:rsidRPr="00955759">
        <w:rPr>
          <w:sz w:val="24"/>
          <w:szCs w:val="24"/>
        </w:rPr>
        <w:t>ating and how it is calculated</w:t>
      </w:r>
      <w:r w:rsidR="00694421" w:rsidRPr="00955759">
        <w:rPr>
          <w:sz w:val="24"/>
          <w:szCs w:val="24"/>
        </w:rPr>
        <w:t>,</w:t>
      </w:r>
      <w:r w:rsidRPr="00955759">
        <w:rPr>
          <w:sz w:val="24"/>
          <w:szCs w:val="24"/>
        </w:rPr>
        <w:t xml:space="preserve"> refer to the </w:t>
      </w:r>
      <w:hyperlink r:id="rId17" w:history="1">
        <w:r w:rsidRPr="00955759">
          <w:rPr>
            <w:rStyle w:val="Hyperlink"/>
            <w:sz w:val="24"/>
            <w:szCs w:val="24"/>
          </w:rPr>
          <w:t>Department of Health website</w:t>
        </w:r>
      </w:hyperlink>
      <w:r w:rsidR="000E7DCA" w:rsidRPr="00955759">
        <w:rPr>
          <w:rStyle w:val="FootnoteReference"/>
          <w:sz w:val="24"/>
          <w:szCs w:val="24"/>
        </w:rPr>
        <w:footnoteReference w:id="9"/>
      </w:r>
      <w:r w:rsidR="003751CB" w:rsidRPr="00955759">
        <w:rPr>
          <w:sz w:val="24"/>
          <w:szCs w:val="24"/>
        </w:rPr>
        <w:t xml:space="preserve">.  </w:t>
      </w:r>
    </w:p>
    <w:p w14:paraId="64CA4E45" w14:textId="579DAF54" w:rsidR="00FB411A" w:rsidRDefault="00FB411A" w:rsidP="00117F08">
      <w:pPr>
        <w:pStyle w:val="Heading2"/>
        <w:numPr>
          <w:ilvl w:val="0"/>
          <w:numId w:val="3"/>
        </w:numPr>
        <w:ind w:left="567" w:hanging="567"/>
      </w:pPr>
      <w:r>
        <w:t xml:space="preserve">Publication of </w:t>
      </w:r>
      <w:r w:rsidR="00296DC4">
        <w:t xml:space="preserve">information regarding </w:t>
      </w:r>
      <w:r w:rsidR="00447416">
        <w:t xml:space="preserve">directions </w:t>
      </w:r>
      <w:r>
        <w:t>to revise a PCI</w:t>
      </w:r>
    </w:p>
    <w:p w14:paraId="4029937E" w14:textId="6DC0543B" w:rsidR="00995C96" w:rsidRPr="00995C96" w:rsidRDefault="483C2759" w:rsidP="00F51A89">
      <w:pPr>
        <w:spacing w:after="240"/>
        <w:ind w:right="-144"/>
        <w:rPr>
          <w:sz w:val="24"/>
          <w:szCs w:val="24"/>
        </w:rPr>
      </w:pPr>
      <w:r w:rsidRPr="0A3087B5">
        <w:rPr>
          <w:sz w:val="24"/>
          <w:szCs w:val="24"/>
        </w:rPr>
        <w:t>T</w:t>
      </w:r>
      <w:r w:rsidR="00995C96" w:rsidRPr="0A3087B5">
        <w:rPr>
          <w:sz w:val="24"/>
          <w:szCs w:val="24"/>
        </w:rPr>
        <w:t>he Commission publish</w:t>
      </w:r>
      <w:r w:rsidR="6BC90E50" w:rsidRPr="0A3087B5">
        <w:rPr>
          <w:sz w:val="24"/>
          <w:szCs w:val="24"/>
        </w:rPr>
        <w:t>es</w:t>
      </w:r>
      <w:r w:rsidR="00995C96" w:rsidRPr="0A3087B5">
        <w:rPr>
          <w:sz w:val="24"/>
          <w:szCs w:val="24"/>
        </w:rPr>
        <w:t xml:space="preserve"> a central register of all provider non-compliance </w:t>
      </w:r>
      <w:r w:rsidR="00AB0F3E">
        <w:rPr>
          <w:sz w:val="24"/>
          <w:szCs w:val="24"/>
        </w:rPr>
        <w:t xml:space="preserve">with aged care responsibilities </w:t>
      </w:r>
      <w:r w:rsidR="00995C96" w:rsidRPr="0A3087B5">
        <w:rPr>
          <w:sz w:val="24"/>
          <w:szCs w:val="24"/>
        </w:rPr>
        <w:t xml:space="preserve">determined by the Commission. The register </w:t>
      </w:r>
      <w:r w:rsidR="00AB0F3E">
        <w:rPr>
          <w:sz w:val="24"/>
          <w:szCs w:val="24"/>
        </w:rPr>
        <w:t>includes</w:t>
      </w:r>
      <w:r w:rsidR="00AB0F3E" w:rsidRPr="0A3087B5">
        <w:rPr>
          <w:sz w:val="24"/>
          <w:szCs w:val="24"/>
        </w:rPr>
        <w:t xml:space="preserve"> </w:t>
      </w:r>
      <w:r w:rsidR="00995C96" w:rsidRPr="0A3087B5">
        <w:rPr>
          <w:sz w:val="24"/>
          <w:szCs w:val="24"/>
        </w:rPr>
        <w:t>information on non-compliance against the Quality Standards</w:t>
      </w:r>
      <w:r w:rsidR="00A80ACE" w:rsidRPr="0A3087B5">
        <w:rPr>
          <w:sz w:val="24"/>
          <w:szCs w:val="24"/>
        </w:rPr>
        <w:t xml:space="preserve">, including </w:t>
      </w:r>
      <w:r w:rsidR="00296DC4" w:rsidRPr="0A3087B5">
        <w:rPr>
          <w:sz w:val="24"/>
          <w:szCs w:val="24"/>
        </w:rPr>
        <w:t>where a D</w:t>
      </w:r>
      <w:r w:rsidR="00995C96" w:rsidRPr="0A3087B5">
        <w:rPr>
          <w:sz w:val="24"/>
          <w:szCs w:val="24"/>
        </w:rPr>
        <w:t xml:space="preserve">irection </w:t>
      </w:r>
      <w:r w:rsidR="007A2ABC">
        <w:rPr>
          <w:sz w:val="24"/>
          <w:szCs w:val="24"/>
        </w:rPr>
        <w:t>N</w:t>
      </w:r>
      <w:r w:rsidR="007A2ABC" w:rsidRPr="0A3087B5">
        <w:rPr>
          <w:sz w:val="24"/>
          <w:szCs w:val="24"/>
        </w:rPr>
        <w:t xml:space="preserve">otice </w:t>
      </w:r>
      <w:r w:rsidR="00296DC4" w:rsidRPr="0A3087B5">
        <w:rPr>
          <w:sz w:val="24"/>
          <w:szCs w:val="24"/>
        </w:rPr>
        <w:t>has been issued</w:t>
      </w:r>
      <w:r w:rsidR="00995C96" w:rsidRPr="0A3087B5">
        <w:rPr>
          <w:sz w:val="24"/>
          <w:szCs w:val="24"/>
        </w:rPr>
        <w:t>.</w:t>
      </w:r>
    </w:p>
    <w:p w14:paraId="160C2E3B" w14:textId="4610A4EB" w:rsidR="00995C96" w:rsidRPr="00995C96" w:rsidRDefault="00995C96" w:rsidP="004A266D">
      <w:pPr>
        <w:spacing w:after="0"/>
        <w:rPr>
          <w:sz w:val="24"/>
        </w:rPr>
      </w:pPr>
      <w:r w:rsidRPr="00E552DB">
        <w:rPr>
          <w:sz w:val="24"/>
        </w:rPr>
        <w:t xml:space="preserve">Refer to the </w:t>
      </w:r>
      <w:hyperlink r:id="rId18" w:history="1">
        <w:r w:rsidR="00955759">
          <w:rPr>
            <w:rStyle w:val="Hyperlink"/>
            <w:sz w:val="24"/>
          </w:rPr>
          <w:t>RB 2020–11 Regulatory Bulletin on Publication of provider performance information</w:t>
        </w:r>
      </w:hyperlink>
      <w:r w:rsidR="00E552DB" w:rsidRPr="00E552DB">
        <w:rPr>
          <w:rStyle w:val="FootnoteReference"/>
          <w:color w:val="0000FF" w:themeColor="hyperlink"/>
          <w:sz w:val="24"/>
          <w:u w:val="single"/>
        </w:rPr>
        <w:footnoteReference w:id="10"/>
      </w:r>
      <w:r w:rsidRPr="00E552DB">
        <w:rPr>
          <w:sz w:val="24"/>
        </w:rPr>
        <w:t xml:space="preserve"> for </w:t>
      </w:r>
      <w:r w:rsidR="0085177E" w:rsidRPr="00E552DB">
        <w:rPr>
          <w:sz w:val="24"/>
        </w:rPr>
        <w:t>further details on the register</w:t>
      </w:r>
      <w:r w:rsidRPr="00E552DB">
        <w:rPr>
          <w:sz w:val="24"/>
        </w:rPr>
        <w:t>.</w:t>
      </w:r>
      <w:r w:rsidRPr="00995C96">
        <w:rPr>
          <w:sz w:val="24"/>
        </w:rPr>
        <w:t xml:space="preserve"> </w:t>
      </w:r>
    </w:p>
    <w:p w14:paraId="6C563EA9" w14:textId="77777777" w:rsidR="00071D76" w:rsidRDefault="008E4506" w:rsidP="00F97345">
      <w:pPr>
        <w:pStyle w:val="Heading2"/>
      </w:pPr>
      <w:r w:rsidRPr="00025578">
        <w:lastRenderedPageBreak/>
        <w:t>Need to know more?</w:t>
      </w:r>
    </w:p>
    <w:p w14:paraId="7ECB08C7" w14:textId="4C17CDD7" w:rsidR="003D7543" w:rsidRPr="00414CE0" w:rsidRDefault="003D7543" w:rsidP="00F51A89">
      <w:pPr>
        <w:spacing w:after="240"/>
        <w:rPr>
          <w:sz w:val="24"/>
        </w:rPr>
      </w:pPr>
      <w:r w:rsidRPr="00414CE0">
        <w:rPr>
          <w:sz w:val="24"/>
        </w:rPr>
        <w:t xml:space="preserve">If you have any questions or feedback on this Bulletin, send an email to: </w:t>
      </w:r>
      <w:hyperlink r:id="rId19" w:history="1">
        <w:r w:rsidR="0012155D" w:rsidRPr="0012155D">
          <w:rPr>
            <w:rStyle w:val="Hyperlink"/>
            <w:rFonts w:cs="Arial"/>
            <w:b/>
            <w:bCs/>
            <w:color w:val="0000FF"/>
            <w:sz w:val="24"/>
            <w:szCs w:val="24"/>
          </w:rPr>
          <w:t>info@agedcarequality.gov.au</w:t>
        </w:r>
      </w:hyperlink>
      <w:r w:rsidR="00F92F44" w:rsidRPr="00E901FD">
        <w:rPr>
          <w:b/>
          <w:bCs/>
          <w:sz w:val="24"/>
          <w:szCs w:val="24"/>
        </w:rPr>
        <w:t>.</w:t>
      </w:r>
      <w:r w:rsidR="00F92F44" w:rsidRPr="00E901FD">
        <w:rPr>
          <w:sz w:val="24"/>
        </w:rPr>
        <w:t xml:space="preserve"> </w:t>
      </w:r>
      <w:r w:rsidRPr="0012155D">
        <w:rPr>
          <w:color w:val="0000FF"/>
          <w:sz w:val="24"/>
        </w:rPr>
        <w:t xml:space="preserve"> </w:t>
      </w:r>
    </w:p>
    <w:p w14:paraId="22102019" w14:textId="7828A916" w:rsidR="008E4506" w:rsidRPr="00414CE0" w:rsidRDefault="003D7543" w:rsidP="00F51A89">
      <w:pPr>
        <w:spacing w:after="240"/>
        <w:rPr>
          <w:b/>
          <w:sz w:val="24"/>
        </w:rPr>
      </w:pPr>
      <w:r w:rsidRPr="00414CE0">
        <w:rPr>
          <w:sz w:val="24"/>
        </w:rPr>
        <w:t>Stay up to date with Regulatory Bulletin releases by subscribing to the Commission’s newsletter</w:t>
      </w:r>
      <w:r w:rsidR="001158DA" w:rsidRPr="00414CE0">
        <w:rPr>
          <w:rStyle w:val="FootnoteReference"/>
          <w:b/>
          <w:color w:val="0000FF" w:themeColor="hyperlink"/>
          <w:sz w:val="24"/>
          <w:u w:val="single"/>
        </w:rPr>
        <w:footnoteReference w:id="11"/>
      </w:r>
      <w:r w:rsidR="008E4506" w:rsidRPr="00414CE0">
        <w:rPr>
          <w:b/>
          <w:sz w:val="24"/>
        </w:rPr>
        <w:t xml:space="preserve">. </w:t>
      </w:r>
    </w:p>
    <w:sectPr w:rsidR="008E4506" w:rsidRPr="00414CE0" w:rsidSect="00901EA0">
      <w:headerReference w:type="default" r:id="rId20"/>
      <w:footerReference w:type="default" r:id="rId21"/>
      <w:footerReference w:type="first" r:id="rId22"/>
      <w:pgSz w:w="11906" w:h="16838"/>
      <w:pgMar w:top="1701" w:right="1276" w:bottom="851" w:left="1418" w:header="851"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C321" w14:textId="77777777" w:rsidR="00FD2279" w:rsidRDefault="00FD2279" w:rsidP="00E82842">
      <w:pPr>
        <w:spacing w:before="0" w:after="0"/>
      </w:pPr>
      <w:r>
        <w:separator/>
      </w:r>
    </w:p>
  </w:endnote>
  <w:endnote w:type="continuationSeparator" w:id="0">
    <w:p w14:paraId="1BA5F9AC" w14:textId="77777777" w:rsidR="00FD2279" w:rsidRDefault="00FD2279" w:rsidP="00E82842">
      <w:pPr>
        <w:spacing w:before="0" w:after="0"/>
      </w:pPr>
      <w:r>
        <w:continuationSeparator/>
      </w:r>
    </w:p>
  </w:endnote>
  <w:endnote w:type="continuationNotice" w:id="1">
    <w:p w14:paraId="359FEA03" w14:textId="77777777" w:rsidR="00FD2279" w:rsidRDefault="00FD22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A0B5" w14:textId="3020875F" w:rsidR="00EE4171" w:rsidRPr="00A75EB1" w:rsidRDefault="00EE4171" w:rsidP="00A75EB1">
    <w:pPr>
      <w:pStyle w:val="Footer"/>
      <w:tabs>
        <w:tab w:val="right" w:pos="9214"/>
      </w:tabs>
      <w:spacing w:after="120"/>
    </w:pPr>
    <w:r w:rsidRPr="00F6783B">
      <w:rPr>
        <w:rFonts w:cs="Arial"/>
        <w:sz w:val="20"/>
        <w:szCs w:val="20"/>
      </w:rPr>
      <w:t xml:space="preserve">Page </w:t>
    </w:r>
    <w:r w:rsidR="00DA4A55" w:rsidRPr="00F6783B">
      <w:rPr>
        <w:rFonts w:cs="Arial"/>
        <w:b/>
        <w:color w:val="2B579A"/>
        <w:sz w:val="20"/>
        <w:szCs w:val="20"/>
        <w:shd w:val="clear" w:color="auto" w:fill="E6E6E6"/>
      </w:rPr>
      <w:fldChar w:fldCharType="begin"/>
    </w:r>
    <w:r w:rsidRPr="00F6783B">
      <w:rPr>
        <w:rFonts w:cs="Arial"/>
        <w:b/>
        <w:sz w:val="20"/>
        <w:szCs w:val="20"/>
      </w:rPr>
      <w:instrText xml:space="preserve"> PAGE  \* Arabic  \* MERGEFORMAT </w:instrText>
    </w:r>
    <w:r w:rsidR="00DA4A55" w:rsidRPr="00F6783B">
      <w:rPr>
        <w:rFonts w:cs="Arial"/>
        <w:b/>
        <w:color w:val="2B579A"/>
        <w:sz w:val="20"/>
        <w:szCs w:val="20"/>
        <w:shd w:val="clear" w:color="auto" w:fill="E6E6E6"/>
      </w:rPr>
      <w:fldChar w:fldCharType="separate"/>
    </w:r>
    <w:r w:rsidR="002E1761">
      <w:rPr>
        <w:rFonts w:cs="Arial"/>
        <w:b/>
        <w:noProof/>
        <w:sz w:val="20"/>
        <w:szCs w:val="20"/>
      </w:rPr>
      <w:t>9</w:t>
    </w:r>
    <w:r w:rsidR="00DA4A55" w:rsidRPr="00F6783B">
      <w:rPr>
        <w:rFonts w:cs="Arial"/>
        <w:b/>
        <w:color w:val="2B579A"/>
        <w:sz w:val="20"/>
        <w:szCs w:val="20"/>
        <w:shd w:val="clear" w:color="auto" w:fill="E6E6E6"/>
      </w:rPr>
      <w:fldChar w:fldCharType="end"/>
    </w:r>
    <w:r w:rsidRPr="00F6783B">
      <w:rPr>
        <w:rFonts w:cs="Arial"/>
        <w:sz w:val="20"/>
        <w:szCs w:val="20"/>
      </w:rPr>
      <w:t xml:space="preserve"> of </w:t>
    </w:r>
    <w:r w:rsidR="00AB1773">
      <w:rPr>
        <w:rFonts w:cs="Arial"/>
        <w:b/>
        <w:noProof/>
        <w:color w:val="2B579A"/>
        <w:sz w:val="20"/>
        <w:szCs w:val="20"/>
        <w:shd w:val="clear" w:color="auto" w:fill="E6E6E6"/>
      </w:rPr>
      <w:fldChar w:fldCharType="begin"/>
    </w:r>
    <w:r w:rsidR="00AB1773">
      <w:rPr>
        <w:rFonts w:cs="Arial"/>
        <w:b/>
        <w:noProof/>
        <w:sz w:val="20"/>
        <w:szCs w:val="20"/>
      </w:rPr>
      <w:instrText xml:space="preserve"> NUMPAGES  \* Arabic  \* MERGEFORMAT </w:instrText>
    </w:r>
    <w:r w:rsidR="00AB1773">
      <w:rPr>
        <w:rFonts w:cs="Arial"/>
        <w:b/>
        <w:noProof/>
        <w:color w:val="2B579A"/>
        <w:sz w:val="20"/>
        <w:szCs w:val="20"/>
        <w:shd w:val="clear" w:color="auto" w:fill="E6E6E6"/>
      </w:rPr>
      <w:fldChar w:fldCharType="separate"/>
    </w:r>
    <w:r w:rsidR="002E1761">
      <w:rPr>
        <w:rFonts w:cs="Arial"/>
        <w:b/>
        <w:noProof/>
        <w:sz w:val="20"/>
        <w:szCs w:val="20"/>
      </w:rPr>
      <w:t>9</w:t>
    </w:r>
    <w:r w:rsidR="00AB1773">
      <w:rPr>
        <w:rFonts w:cs="Arial"/>
        <w:b/>
        <w:noProof/>
        <w:color w:val="2B579A"/>
        <w:sz w:val="20"/>
        <w:szCs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3DDE" w14:textId="75DD4501" w:rsidR="00EE4171" w:rsidRPr="008E4506" w:rsidRDefault="00EE4171" w:rsidP="00A75EB1">
    <w:pPr>
      <w:pStyle w:val="Footer"/>
      <w:tabs>
        <w:tab w:val="right" w:pos="9214"/>
      </w:tabs>
      <w:spacing w:after="120"/>
    </w:pPr>
    <w:r w:rsidRPr="003C5A53">
      <w:rPr>
        <w:rFonts w:cs="Arial"/>
        <w:sz w:val="20"/>
        <w:szCs w:val="20"/>
      </w:rPr>
      <w:t xml:space="preserve">Page </w:t>
    </w:r>
    <w:r w:rsidR="00DA4A55" w:rsidRPr="003C5A53">
      <w:rPr>
        <w:rFonts w:cs="Arial"/>
        <w:b/>
        <w:color w:val="2B579A"/>
        <w:sz w:val="20"/>
        <w:szCs w:val="20"/>
        <w:shd w:val="clear" w:color="auto" w:fill="E6E6E6"/>
      </w:rPr>
      <w:fldChar w:fldCharType="begin"/>
    </w:r>
    <w:r w:rsidRPr="003C5A53">
      <w:rPr>
        <w:rFonts w:cs="Arial"/>
        <w:b/>
        <w:sz w:val="20"/>
        <w:szCs w:val="20"/>
      </w:rPr>
      <w:instrText xml:space="preserve"> PAGE  \* Arabic  \* MERGEFORMAT </w:instrText>
    </w:r>
    <w:r w:rsidR="00DA4A55" w:rsidRPr="003C5A53">
      <w:rPr>
        <w:rFonts w:cs="Arial"/>
        <w:b/>
        <w:color w:val="2B579A"/>
        <w:sz w:val="20"/>
        <w:szCs w:val="20"/>
        <w:shd w:val="clear" w:color="auto" w:fill="E6E6E6"/>
      </w:rPr>
      <w:fldChar w:fldCharType="separate"/>
    </w:r>
    <w:r w:rsidR="002E1761" w:rsidRPr="003C5A53">
      <w:rPr>
        <w:rFonts w:cs="Arial"/>
        <w:b/>
        <w:noProof/>
        <w:sz w:val="20"/>
        <w:szCs w:val="20"/>
      </w:rPr>
      <w:t>1</w:t>
    </w:r>
    <w:r w:rsidR="00DA4A55" w:rsidRPr="003C5A53">
      <w:rPr>
        <w:rFonts w:cs="Arial"/>
        <w:b/>
        <w:color w:val="2B579A"/>
        <w:sz w:val="20"/>
        <w:szCs w:val="20"/>
        <w:shd w:val="clear" w:color="auto" w:fill="E6E6E6"/>
      </w:rPr>
      <w:fldChar w:fldCharType="end"/>
    </w:r>
    <w:r w:rsidRPr="003C5A53">
      <w:rPr>
        <w:rFonts w:cs="Arial"/>
        <w:sz w:val="20"/>
        <w:szCs w:val="20"/>
      </w:rPr>
      <w:t xml:space="preserve"> of </w:t>
    </w:r>
    <w:r w:rsidR="00AB1773" w:rsidRPr="003C5A53">
      <w:rPr>
        <w:rFonts w:cs="Arial"/>
        <w:b/>
        <w:noProof/>
        <w:color w:val="2B579A"/>
        <w:sz w:val="20"/>
        <w:szCs w:val="20"/>
        <w:shd w:val="clear" w:color="auto" w:fill="E6E6E6"/>
      </w:rPr>
      <w:fldChar w:fldCharType="begin"/>
    </w:r>
    <w:r w:rsidR="00AB1773" w:rsidRPr="003C5A53">
      <w:rPr>
        <w:rFonts w:cs="Arial"/>
        <w:b/>
        <w:noProof/>
        <w:sz w:val="20"/>
        <w:szCs w:val="20"/>
      </w:rPr>
      <w:instrText xml:space="preserve"> NUMPAGES  \* Arabic  \* MERGEFORMAT </w:instrText>
    </w:r>
    <w:r w:rsidR="00AB1773" w:rsidRPr="003C5A53">
      <w:rPr>
        <w:rFonts w:cs="Arial"/>
        <w:b/>
        <w:noProof/>
        <w:color w:val="2B579A"/>
        <w:sz w:val="20"/>
        <w:szCs w:val="20"/>
        <w:shd w:val="clear" w:color="auto" w:fill="E6E6E6"/>
      </w:rPr>
      <w:fldChar w:fldCharType="separate"/>
    </w:r>
    <w:r w:rsidR="002E1761" w:rsidRPr="003C5A53">
      <w:rPr>
        <w:rFonts w:cs="Arial"/>
        <w:b/>
        <w:noProof/>
        <w:sz w:val="20"/>
        <w:szCs w:val="20"/>
      </w:rPr>
      <w:t>9</w:t>
    </w:r>
    <w:r w:rsidR="00AB1773" w:rsidRPr="003C5A53">
      <w:rPr>
        <w:rFonts w:cs="Arial"/>
        <w:b/>
        <w:noProof/>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A040" w14:textId="77777777" w:rsidR="00FD2279" w:rsidRDefault="00FD2279" w:rsidP="00E82842">
      <w:pPr>
        <w:spacing w:before="0" w:after="0"/>
      </w:pPr>
      <w:r>
        <w:separator/>
      </w:r>
    </w:p>
  </w:footnote>
  <w:footnote w:type="continuationSeparator" w:id="0">
    <w:p w14:paraId="2CA08C72" w14:textId="77777777" w:rsidR="00FD2279" w:rsidRDefault="00FD2279" w:rsidP="00E82842">
      <w:pPr>
        <w:spacing w:before="0" w:after="0"/>
      </w:pPr>
      <w:r>
        <w:continuationSeparator/>
      </w:r>
    </w:p>
  </w:footnote>
  <w:footnote w:type="continuationNotice" w:id="1">
    <w:p w14:paraId="6A7B9E10" w14:textId="77777777" w:rsidR="00FD2279" w:rsidRDefault="00FD2279">
      <w:pPr>
        <w:spacing w:before="0" w:after="0" w:line="240" w:lineRule="auto"/>
      </w:pPr>
    </w:p>
  </w:footnote>
  <w:footnote w:id="2">
    <w:p w14:paraId="2CB040DC" w14:textId="1898DE3D" w:rsidR="000B541D" w:rsidRDefault="000B541D">
      <w:pPr>
        <w:pStyle w:val="FootnoteText"/>
      </w:pPr>
      <w:r>
        <w:rPr>
          <w:rStyle w:val="FootnoteReference"/>
        </w:rPr>
        <w:footnoteRef/>
      </w:r>
      <w:r>
        <w:t xml:space="preserve"> </w:t>
      </w:r>
      <w:hyperlink r:id="rId1" w:history="1">
        <w:r w:rsidRPr="00000016">
          <w:rPr>
            <w:rStyle w:val="Hyperlink"/>
          </w:rPr>
          <w:t>https://www.agedcarequality.gov.au/media/89299</w:t>
        </w:r>
      </w:hyperlink>
      <w:r>
        <w:t xml:space="preserve"> </w:t>
      </w:r>
    </w:p>
  </w:footnote>
  <w:footnote w:id="3">
    <w:p w14:paraId="3B5D8EDC" w14:textId="77777777" w:rsidR="008F3344" w:rsidRDefault="008F3344">
      <w:pPr>
        <w:pStyle w:val="FootnoteText"/>
      </w:pPr>
      <w:r>
        <w:rPr>
          <w:rStyle w:val="FootnoteReference"/>
        </w:rPr>
        <w:footnoteRef/>
      </w:r>
      <w:r>
        <w:t xml:space="preserve"> </w:t>
      </w:r>
      <w:hyperlink r:id="rId2" w:history="1">
        <w:r w:rsidR="00C26B8C">
          <w:rPr>
            <w:rStyle w:val="Hyperlink"/>
          </w:rPr>
          <w:t>https://www.agedcarequality.gov.au/resources/regulatory-bulletin-2019-4</w:t>
        </w:r>
      </w:hyperlink>
    </w:p>
  </w:footnote>
  <w:footnote w:id="4">
    <w:p w14:paraId="2E37B858" w14:textId="6F69C2F9" w:rsidR="00833E9F" w:rsidRDefault="00833E9F">
      <w:pPr>
        <w:pStyle w:val="FootnoteText"/>
      </w:pPr>
      <w:r>
        <w:rPr>
          <w:rStyle w:val="FootnoteReference"/>
        </w:rPr>
        <w:footnoteRef/>
      </w:r>
      <w:r>
        <w:t xml:space="preserve"> </w:t>
      </w:r>
      <w:hyperlink r:id="rId3" w:history="1">
        <w:r w:rsidR="00B7403A" w:rsidRPr="00BE40BB">
          <w:rPr>
            <w:rStyle w:val="Hyperlink"/>
          </w:rPr>
          <w:t>https://www.agedcarequality.gov.au/providers/assessment-processes/self-assessment</w:t>
        </w:r>
      </w:hyperlink>
      <w:r w:rsidR="00B7403A">
        <w:t xml:space="preserve"> </w:t>
      </w:r>
    </w:p>
  </w:footnote>
  <w:footnote w:id="5">
    <w:p w14:paraId="0F3E7447" w14:textId="0CECA36C" w:rsidR="00552243" w:rsidRDefault="00552243" w:rsidP="00552243">
      <w:pPr>
        <w:pStyle w:val="FootnoteText"/>
      </w:pPr>
      <w:r>
        <w:rPr>
          <w:rStyle w:val="FootnoteReference"/>
        </w:rPr>
        <w:footnoteRef/>
      </w:r>
      <w:r>
        <w:t xml:space="preserve"> </w:t>
      </w:r>
      <w:r w:rsidR="00492680" w:rsidRPr="00492680">
        <w:rPr>
          <w:rStyle w:val="Hyperlink"/>
        </w:rPr>
        <w:t>https://www.agedcarequality.gov.au/about-us/corporate-documents/aged-care-quality-and-safety-commission-glossary</w:t>
      </w:r>
    </w:p>
  </w:footnote>
  <w:footnote w:id="6">
    <w:p w14:paraId="09DB0FB9" w14:textId="41658216" w:rsidR="00547D9D" w:rsidRDefault="00547D9D">
      <w:pPr>
        <w:pStyle w:val="FootnoteText"/>
      </w:pPr>
      <w:r>
        <w:rPr>
          <w:rStyle w:val="FootnoteReference"/>
        </w:rPr>
        <w:footnoteRef/>
      </w:r>
      <w:r>
        <w:t xml:space="preserve"> </w:t>
      </w:r>
      <w:hyperlink r:id="rId4" w:history="1">
        <w:r>
          <w:rPr>
            <w:rStyle w:val="Hyperlink"/>
          </w:rPr>
          <w:t>https://www.agedcarequality.gov.au/providers/assessment-processes/continuous-improvement</w:t>
        </w:r>
      </w:hyperlink>
    </w:p>
  </w:footnote>
  <w:footnote w:id="7">
    <w:p w14:paraId="33F6EC46" w14:textId="1BA8CAC0" w:rsidR="00645425" w:rsidRDefault="00645425">
      <w:pPr>
        <w:pStyle w:val="FootnoteText"/>
      </w:pPr>
      <w:r>
        <w:rPr>
          <w:rStyle w:val="FootnoteReference"/>
        </w:rPr>
        <w:footnoteRef/>
      </w:r>
      <w:r>
        <w:t xml:space="preserve"> </w:t>
      </w:r>
      <w:hyperlink r:id="rId5" w:history="1">
        <w:r w:rsidR="00D7245E" w:rsidRPr="00000016">
          <w:rPr>
            <w:rStyle w:val="Hyperlink"/>
          </w:rPr>
          <w:t>https://www.agedcarequality.gov.au/providers/assessment-processes/self-assessment</w:t>
        </w:r>
      </w:hyperlink>
      <w:r w:rsidR="00D7245E">
        <w:t xml:space="preserve"> </w:t>
      </w:r>
    </w:p>
  </w:footnote>
  <w:footnote w:id="8">
    <w:p w14:paraId="34C726D8" w14:textId="343CBA35" w:rsidR="00BA62DE" w:rsidRDefault="00BA62DE">
      <w:pPr>
        <w:pStyle w:val="FootnoteText"/>
      </w:pPr>
      <w:r>
        <w:rPr>
          <w:rStyle w:val="FootnoteReference"/>
        </w:rPr>
        <w:footnoteRef/>
      </w:r>
      <w:r>
        <w:t xml:space="preserve"> </w:t>
      </w:r>
      <w:hyperlink r:id="rId6" w:history="1">
        <w:r w:rsidR="005C524F" w:rsidRPr="001B161D">
          <w:rPr>
            <w:rStyle w:val="Hyperlink"/>
          </w:rPr>
          <w:t>https://www.agedcarequality.gov.au/providers/assessment-processes/self-assessment</w:t>
        </w:r>
      </w:hyperlink>
      <w:r w:rsidR="005C524F">
        <w:t xml:space="preserve"> </w:t>
      </w:r>
    </w:p>
  </w:footnote>
  <w:footnote w:id="9">
    <w:p w14:paraId="64230F18" w14:textId="29BBB157" w:rsidR="000E7DCA" w:rsidRDefault="000E7DCA">
      <w:pPr>
        <w:pStyle w:val="FootnoteText"/>
      </w:pPr>
      <w:r>
        <w:rPr>
          <w:rStyle w:val="FootnoteReference"/>
        </w:rPr>
        <w:footnoteRef/>
      </w:r>
      <w:r>
        <w:t xml:space="preserve"> </w:t>
      </w:r>
      <w:hyperlink r:id="rId7" w:history="1">
        <w:r w:rsidRPr="00887200">
          <w:rPr>
            <w:rStyle w:val="Hyperlink"/>
          </w:rPr>
          <w:t>https://www.health.gov.au/resources/publications/service-compliance-ratings-information-for-residential-aged-care-service-providers</w:t>
        </w:r>
      </w:hyperlink>
    </w:p>
  </w:footnote>
  <w:footnote w:id="10">
    <w:p w14:paraId="1294DDE9" w14:textId="77777777" w:rsidR="00E552DB" w:rsidRDefault="00E552DB">
      <w:pPr>
        <w:pStyle w:val="FootnoteText"/>
      </w:pPr>
      <w:r>
        <w:rPr>
          <w:rStyle w:val="FootnoteReference"/>
        </w:rPr>
        <w:footnoteRef/>
      </w:r>
      <w:r>
        <w:t xml:space="preserve"> </w:t>
      </w:r>
      <w:hyperlink r:id="rId8" w:history="1">
        <w:r>
          <w:rPr>
            <w:rStyle w:val="Hyperlink"/>
          </w:rPr>
          <w:t>https://www.agedcarequality.gov.au/resources/rb-2020-11-publication-provider-performance-information</w:t>
        </w:r>
      </w:hyperlink>
    </w:p>
  </w:footnote>
  <w:footnote w:id="11">
    <w:p w14:paraId="7411F414" w14:textId="77777777" w:rsidR="001158DA" w:rsidRDefault="001158DA">
      <w:pPr>
        <w:pStyle w:val="FootnoteText"/>
      </w:pPr>
      <w:r>
        <w:rPr>
          <w:rStyle w:val="FootnoteReference"/>
        </w:rPr>
        <w:footnoteRef/>
      </w:r>
      <w:r>
        <w:t xml:space="preserve"> </w:t>
      </w:r>
      <w:hyperlink r:id="rId9" w:history="1">
        <w:r>
          <w:rPr>
            <w:rStyle w:val="Hyperlink"/>
          </w:rPr>
          <w:t>https://www.agedcarequality.gov.au/subscribe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5FE9" w14:textId="77777777" w:rsidR="0062294E" w:rsidRPr="0062294E" w:rsidRDefault="00901EA0">
    <w:pPr>
      <w:pStyle w:val="Header"/>
      <w:rPr>
        <w:sz w:val="20"/>
        <w:szCs w:val="20"/>
      </w:rPr>
    </w:pPr>
    <w:r>
      <w:rPr>
        <w:noProof/>
        <w:color w:val="2B579A"/>
        <w:sz w:val="20"/>
        <w:shd w:val="clear" w:color="auto" w:fill="E6E6E6"/>
        <w:lang w:eastAsia="en-AU"/>
      </w:rPr>
      <w:drawing>
        <wp:anchor distT="0" distB="0" distL="114300" distR="114300" simplePos="0" relativeHeight="251658240" behindDoc="1" locked="0" layoutInCell="1" allowOverlap="1" wp14:anchorId="6D3C3DE4" wp14:editId="3B1F506F">
          <wp:simplePos x="0" y="0"/>
          <wp:positionH relativeFrom="page">
            <wp:posOffset>11150</wp:posOffset>
          </wp:positionH>
          <wp:positionV relativeFrom="paragraph">
            <wp:posOffset>-548945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1B"/>
    <w:multiLevelType w:val="hybridMultilevel"/>
    <w:tmpl w:val="6C16F1A8"/>
    <w:lvl w:ilvl="0" w:tplc="632A9CE4">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4F565D5"/>
    <w:multiLevelType w:val="multilevel"/>
    <w:tmpl w:val="F8741820"/>
    <w:lvl w:ilvl="0">
      <w:start w:val="1"/>
      <w:numFmt w:val="decimal"/>
      <w:lvlText w:val="%1"/>
      <w:lvlJc w:val="left"/>
      <w:pPr>
        <w:ind w:left="360" w:hanging="360"/>
      </w:pPr>
      <w:rPr>
        <w:rFonts w:hint="default"/>
      </w:rPr>
    </w:lvl>
    <w:lvl w:ilvl="1">
      <w:start w:val="17"/>
      <w:numFmt w:val="decimal"/>
      <w:lvlText w:val="5.%2"/>
      <w:lvlJc w:val="left"/>
      <w:pPr>
        <w:ind w:left="1000" w:hanging="432"/>
      </w:pPr>
      <w:rPr>
        <w:rFonts w:hint="default"/>
        <w:b w:val="0"/>
        <w:sz w:val="20"/>
      </w:rPr>
    </w:lvl>
    <w:lvl w:ilvl="2">
      <w:start w:val="1"/>
      <w:numFmt w:val="decimal"/>
      <w:lvlText w:val="5.%2.%3"/>
      <w:lvlJc w:val="left"/>
      <w:pPr>
        <w:ind w:left="1224" w:hanging="504"/>
      </w:pPr>
      <w:rPr>
        <w:rFonts w:hint="default"/>
        <w:b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177F6D"/>
    <w:multiLevelType w:val="hybridMultilevel"/>
    <w:tmpl w:val="906E375E"/>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 w15:restartNumberingAfterBreak="0">
    <w:nsid w:val="0D617547"/>
    <w:multiLevelType w:val="hybridMultilevel"/>
    <w:tmpl w:val="F7B0A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16F7C"/>
    <w:multiLevelType w:val="hybridMultilevel"/>
    <w:tmpl w:val="8AA2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4619C"/>
    <w:multiLevelType w:val="hybridMultilevel"/>
    <w:tmpl w:val="E1AE7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E929F4"/>
    <w:multiLevelType w:val="hybridMultilevel"/>
    <w:tmpl w:val="3A8EC2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52B3985"/>
    <w:multiLevelType w:val="multilevel"/>
    <w:tmpl w:val="C4D49CB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233126"/>
    <w:multiLevelType w:val="hybridMultilevel"/>
    <w:tmpl w:val="8DBE438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9" w15:restartNumberingAfterBreak="0">
    <w:nsid w:val="1DCB19B1"/>
    <w:multiLevelType w:val="hybridMultilevel"/>
    <w:tmpl w:val="BE5EC1D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2C0A4596"/>
    <w:multiLevelType w:val="hybridMultilevel"/>
    <w:tmpl w:val="77FECF7C"/>
    <w:lvl w:ilvl="0" w:tplc="A4607B74">
      <w:numFmt w:val="bullet"/>
      <w:lvlText w:val="•"/>
      <w:lvlJc w:val="left"/>
      <w:pPr>
        <w:ind w:left="720" w:hanging="360"/>
      </w:pPr>
      <w:rPr>
        <w:rFonts w:ascii="Arial" w:eastAsiaTheme="minorHAnsi"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F37611"/>
    <w:multiLevelType w:val="hybridMultilevel"/>
    <w:tmpl w:val="6FD48F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8124A6E"/>
    <w:multiLevelType w:val="hybridMultilevel"/>
    <w:tmpl w:val="5102155E"/>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3" w15:restartNumberingAfterBreak="0">
    <w:nsid w:val="389A2A32"/>
    <w:multiLevelType w:val="hybridMultilevel"/>
    <w:tmpl w:val="66E6EFF0"/>
    <w:lvl w:ilvl="0" w:tplc="84B6D1E4">
      <w:start w:val="1"/>
      <w:numFmt w:val="bullet"/>
      <w:pStyle w:val="ListBullet"/>
      <w:lvlText w:val=""/>
      <w:lvlJc w:val="left"/>
      <w:pPr>
        <w:ind w:left="360" w:hanging="360"/>
      </w:pPr>
      <w:rPr>
        <w:rFonts w:ascii="Symbol" w:hAnsi="Symbol" w:hint="default"/>
      </w:rPr>
    </w:lvl>
    <w:lvl w:ilvl="1" w:tplc="7862C694">
      <w:start w:val="1"/>
      <w:numFmt w:val="bullet"/>
      <w:pStyle w:val="ListBullet2"/>
      <w:lvlText w:val="o"/>
      <w:lvlJc w:val="left"/>
      <w:pPr>
        <w:ind w:left="1080" w:hanging="360"/>
      </w:pPr>
      <w:rPr>
        <w:rFonts w:ascii="Courier New" w:hAnsi="Courier New" w:cs="Courier New" w:hint="default"/>
      </w:rPr>
    </w:lvl>
    <w:lvl w:ilvl="2" w:tplc="EF30C932">
      <w:start w:val="1"/>
      <w:numFmt w:val="bullet"/>
      <w:pStyle w:val="ListBullet3"/>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CE55E8"/>
    <w:multiLevelType w:val="multilevel"/>
    <w:tmpl w:val="5BB21CA0"/>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D61F12"/>
    <w:multiLevelType w:val="hybridMultilevel"/>
    <w:tmpl w:val="7A44E6E6"/>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6"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18707C"/>
    <w:multiLevelType w:val="hybridMultilevel"/>
    <w:tmpl w:val="4ECAE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782D1F"/>
    <w:multiLevelType w:val="hybridMultilevel"/>
    <w:tmpl w:val="7B6078C0"/>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B35F5C"/>
    <w:multiLevelType w:val="multilevel"/>
    <w:tmpl w:val="A158393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b w:val="0"/>
        <w:color w:val="auto"/>
      </w:rPr>
    </w:lvl>
    <w:lvl w:ilvl="2">
      <w:start w:val="1"/>
      <w:numFmt w:val="bullet"/>
      <w:lvlText w:val=""/>
      <w:lvlJc w:val="left"/>
      <w:pPr>
        <w:ind w:left="1304" w:hanging="794"/>
      </w:pPr>
      <w:rPr>
        <w:rFonts w:ascii="Symbol" w:hAnsi="Symbol" w:hint="default"/>
        <w:b w:val="0"/>
        <w:i w:val="0"/>
      </w:rPr>
    </w:lvl>
    <w:lvl w:ilvl="3">
      <w:start w:val="1"/>
      <w:numFmt w:val="decimal"/>
      <w:lvlText w:val="%1.%2.%3.%4."/>
      <w:lvlJc w:val="left"/>
      <w:pPr>
        <w:ind w:left="2155" w:hanging="851"/>
      </w:pPr>
      <w:rPr>
        <w:rFonts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62788E"/>
    <w:multiLevelType w:val="hybridMultilevel"/>
    <w:tmpl w:val="43C2FF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F21413E"/>
    <w:multiLevelType w:val="hybridMultilevel"/>
    <w:tmpl w:val="35F8DAB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8207BF"/>
    <w:multiLevelType w:val="hybridMultilevel"/>
    <w:tmpl w:val="CB946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79C7446"/>
    <w:multiLevelType w:val="hybridMultilevel"/>
    <w:tmpl w:val="7158C134"/>
    <w:lvl w:ilvl="0" w:tplc="61E2A1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A94E42"/>
    <w:multiLevelType w:val="hybridMultilevel"/>
    <w:tmpl w:val="DC2A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FB0F5D"/>
    <w:multiLevelType w:val="hybridMultilevel"/>
    <w:tmpl w:val="45D44FFA"/>
    <w:lvl w:ilvl="0" w:tplc="0C090001">
      <w:start w:val="1"/>
      <w:numFmt w:val="bullet"/>
      <w:lvlText w:val=""/>
      <w:lvlJc w:val="left"/>
      <w:pPr>
        <w:ind w:left="1233" w:hanging="360"/>
      </w:pPr>
      <w:rPr>
        <w:rFonts w:ascii="Symbol" w:hAnsi="Symbol" w:hint="default"/>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27" w15:restartNumberingAfterBreak="0">
    <w:nsid w:val="7C923002"/>
    <w:multiLevelType w:val="hybridMultilevel"/>
    <w:tmpl w:val="EA2C4122"/>
    <w:lvl w:ilvl="0" w:tplc="4FBC3B68">
      <w:numFmt w:val="bullet"/>
      <w:lvlText w:val="•"/>
      <w:lvlJc w:val="left"/>
      <w:pPr>
        <w:ind w:left="360" w:hanging="360"/>
      </w:pPr>
      <w:rPr>
        <w:rFonts w:hint="default"/>
        <w:lang w:val="en-US" w:eastAsia="en-US" w:bidi="en-U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7B7309"/>
    <w:multiLevelType w:val="hybridMultilevel"/>
    <w:tmpl w:val="DAAEEE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FEF36D2"/>
    <w:multiLevelType w:val="hybridMultilevel"/>
    <w:tmpl w:val="BC4EAACA"/>
    <w:lvl w:ilvl="0" w:tplc="0FE2D586">
      <w:start w:val="1"/>
      <w:numFmt w:val="bullet"/>
      <w:lvlText w:val=""/>
      <w:lvlJc w:val="left"/>
      <w:pPr>
        <w:tabs>
          <w:tab w:val="num" w:pos="720"/>
        </w:tabs>
        <w:ind w:left="720" w:hanging="360"/>
      </w:pPr>
      <w:rPr>
        <w:rFonts w:ascii="Symbol" w:hAnsi="Symbol" w:hint="default"/>
        <w:sz w:val="20"/>
      </w:rPr>
    </w:lvl>
    <w:lvl w:ilvl="1" w:tplc="F84E87A0" w:tentative="1">
      <w:start w:val="1"/>
      <w:numFmt w:val="bullet"/>
      <w:lvlText w:val="o"/>
      <w:lvlJc w:val="left"/>
      <w:pPr>
        <w:tabs>
          <w:tab w:val="num" w:pos="1440"/>
        </w:tabs>
        <w:ind w:left="1440" w:hanging="360"/>
      </w:pPr>
      <w:rPr>
        <w:rFonts w:ascii="Courier New" w:hAnsi="Courier New" w:hint="default"/>
        <w:sz w:val="20"/>
      </w:rPr>
    </w:lvl>
    <w:lvl w:ilvl="2" w:tplc="8A0EC67E" w:tentative="1">
      <w:start w:val="1"/>
      <w:numFmt w:val="bullet"/>
      <w:lvlText w:val=""/>
      <w:lvlJc w:val="left"/>
      <w:pPr>
        <w:tabs>
          <w:tab w:val="num" w:pos="2160"/>
        </w:tabs>
        <w:ind w:left="2160" w:hanging="360"/>
      </w:pPr>
      <w:rPr>
        <w:rFonts w:ascii="Wingdings" w:hAnsi="Wingdings" w:hint="default"/>
        <w:sz w:val="20"/>
      </w:rPr>
    </w:lvl>
    <w:lvl w:ilvl="3" w:tplc="8488FE40" w:tentative="1">
      <w:start w:val="1"/>
      <w:numFmt w:val="bullet"/>
      <w:lvlText w:val=""/>
      <w:lvlJc w:val="left"/>
      <w:pPr>
        <w:tabs>
          <w:tab w:val="num" w:pos="2880"/>
        </w:tabs>
        <w:ind w:left="2880" w:hanging="360"/>
      </w:pPr>
      <w:rPr>
        <w:rFonts w:ascii="Wingdings" w:hAnsi="Wingdings" w:hint="default"/>
        <w:sz w:val="20"/>
      </w:rPr>
    </w:lvl>
    <w:lvl w:ilvl="4" w:tplc="6F126090" w:tentative="1">
      <w:start w:val="1"/>
      <w:numFmt w:val="bullet"/>
      <w:lvlText w:val=""/>
      <w:lvlJc w:val="left"/>
      <w:pPr>
        <w:tabs>
          <w:tab w:val="num" w:pos="3600"/>
        </w:tabs>
        <w:ind w:left="3600" w:hanging="360"/>
      </w:pPr>
      <w:rPr>
        <w:rFonts w:ascii="Wingdings" w:hAnsi="Wingdings" w:hint="default"/>
        <w:sz w:val="20"/>
      </w:rPr>
    </w:lvl>
    <w:lvl w:ilvl="5" w:tplc="11CACD92" w:tentative="1">
      <w:start w:val="1"/>
      <w:numFmt w:val="bullet"/>
      <w:lvlText w:val=""/>
      <w:lvlJc w:val="left"/>
      <w:pPr>
        <w:tabs>
          <w:tab w:val="num" w:pos="4320"/>
        </w:tabs>
        <w:ind w:left="4320" w:hanging="360"/>
      </w:pPr>
      <w:rPr>
        <w:rFonts w:ascii="Wingdings" w:hAnsi="Wingdings" w:hint="default"/>
        <w:sz w:val="20"/>
      </w:rPr>
    </w:lvl>
    <w:lvl w:ilvl="6" w:tplc="F29A884A" w:tentative="1">
      <w:start w:val="1"/>
      <w:numFmt w:val="bullet"/>
      <w:lvlText w:val=""/>
      <w:lvlJc w:val="left"/>
      <w:pPr>
        <w:tabs>
          <w:tab w:val="num" w:pos="5040"/>
        </w:tabs>
        <w:ind w:left="5040" w:hanging="360"/>
      </w:pPr>
      <w:rPr>
        <w:rFonts w:ascii="Wingdings" w:hAnsi="Wingdings" w:hint="default"/>
        <w:sz w:val="20"/>
      </w:rPr>
    </w:lvl>
    <w:lvl w:ilvl="7" w:tplc="E4D45F4A" w:tentative="1">
      <w:start w:val="1"/>
      <w:numFmt w:val="bullet"/>
      <w:lvlText w:val=""/>
      <w:lvlJc w:val="left"/>
      <w:pPr>
        <w:tabs>
          <w:tab w:val="num" w:pos="5760"/>
        </w:tabs>
        <w:ind w:left="5760" w:hanging="360"/>
      </w:pPr>
      <w:rPr>
        <w:rFonts w:ascii="Wingdings" w:hAnsi="Wingdings" w:hint="default"/>
        <w:sz w:val="20"/>
      </w:rPr>
    </w:lvl>
    <w:lvl w:ilvl="8" w:tplc="FFDEAEFA" w:tentative="1">
      <w:start w:val="1"/>
      <w:numFmt w:val="bullet"/>
      <w:lvlText w:val=""/>
      <w:lvlJc w:val="left"/>
      <w:pPr>
        <w:tabs>
          <w:tab w:val="num" w:pos="6480"/>
        </w:tabs>
        <w:ind w:left="6480" w:hanging="360"/>
      </w:pPr>
      <w:rPr>
        <w:rFonts w:ascii="Wingdings" w:hAnsi="Wingdings" w:hint="default"/>
        <w:sz w:val="20"/>
      </w:rPr>
    </w:lvl>
  </w:abstractNum>
  <w:num w:numId="1" w16cid:durableId="2132748896">
    <w:abstractNumId w:val="13"/>
  </w:num>
  <w:num w:numId="2" w16cid:durableId="310599407">
    <w:abstractNumId w:val="16"/>
  </w:num>
  <w:num w:numId="3" w16cid:durableId="767430229">
    <w:abstractNumId w:val="19"/>
  </w:num>
  <w:num w:numId="4" w16cid:durableId="438717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17778">
    <w:abstractNumId w:val="7"/>
  </w:num>
  <w:num w:numId="6" w16cid:durableId="1064259892">
    <w:abstractNumId w:val="14"/>
  </w:num>
  <w:num w:numId="7" w16cid:durableId="783302550">
    <w:abstractNumId w:val="6"/>
  </w:num>
  <w:num w:numId="8" w16cid:durableId="1314021113">
    <w:abstractNumId w:val="0"/>
  </w:num>
  <w:num w:numId="9" w16cid:durableId="1572694720">
    <w:abstractNumId w:val="13"/>
  </w:num>
  <w:num w:numId="10" w16cid:durableId="1204245995">
    <w:abstractNumId w:val="13"/>
  </w:num>
  <w:num w:numId="11" w16cid:durableId="835725987">
    <w:abstractNumId w:val="13"/>
  </w:num>
  <w:num w:numId="12" w16cid:durableId="1633250829">
    <w:abstractNumId w:val="0"/>
  </w:num>
  <w:num w:numId="13" w16cid:durableId="61565950">
    <w:abstractNumId w:val="25"/>
  </w:num>
  <w:num w:numId="14" w16cid:durableId="1867866589">
    <w:abstractNumId w:val="26"/>
  </w:num>
  <w:num w:numId="15" w16cid:durableId="509220934">
    <w:abstractNumId w:val="28"/>
  </w:num>
  <w:num w:numId="16" w16cid:durableId="2074152980">
    <w:abstractNumId w:val="17"/>
  </w:num>
  <w:num w:numId="17" w16cid:durableId="743916798">
    <w:abstractNumId w:val="11"/>
  </w:num>
  <w:num w:numId="18" w16cid:durableId="1595239740">
    <w:abstractNumId w:val="13"/>
  </w:num>
  <w:num w:numId="19" w16cid:durableId="1460100790">
    <w:abstractNumId w:val="23"/>
  </w:num>
  <w:num w:numId="20" w16cid:durableId="1050762072">
    <w:abstractNumId w:val="29"/>
  </w:num>
  <w:num w:numId="21" w16cid:durableId="28529074">
    <w:abstractNumId w:val="3"/>
  </w:num>
  <w:num w:numId="22" w16cid:durableId="348676817">
    <w:abstractNumId w:val="21"/>
  </w:num>
  <w:num w:numId="23" w16cid:durableId="80374292">
    <w:abstractNumId w:val="4"/>
  </w:num>
  <w:num w:numId="24" w16cid:durableId="1294940032">
    <w:abstractNumId w:val="27"/>
  </w:num>
  <w:num w:numId="25" w16cid:durableId="1279021844">
    <w:abstractNumId w:val="20"/>
  </w:num>
  <w:num w:numId="26" w16cid:durableId="1528257930">
    <w:abstractNumId w:val="12"/>
  </w:num>
  <w:num w:numId="27" w16cid:durableId="1748266386">
    <w:abstractNumId w:val="1"/>
  </w:num>
  <w:num w:numId="28" w16cid:durableId="90398976">
    <w:abstractNumId w:val="15"/>
  </w:num>
  <w:num w:numId="29" w16cid:durableId="401024724">
    <w:abstractNumId w:val="2"/>
  </w:num>
  <w:num w:numId="30" w16cid:durableId="671688368">
    <w:abstractNumId w:val="9"/>
  </w:num>
  <w:num w:numId="31" w16cid:durableId="1633559569">
    <w:abstractNumId w:val="5"/>
  </w:num>
  <w:num w:numId="32" w16cid:durableId="1172140932">
    <w:abstractNumId w:val="18"/>
  </w:num>
  <w:num w:numId="33" w16cid:durableId="259611195">
    <w:abstractNumId w:val="22"/>
  </w:num>
  <w:num w:numId="34" w16cid:durableId="2019118861">
    <w:abstractNumId w:val="24"/>
  </w:num>
  <w:num w:numId="35" w16cid:durableId="909997721">
    <w:abstractNumId w:val="13"/>
  </w:num>
  <w:num w:numId="36" w16cid:durableId="878853987">
    <w:abstractNumId w:val="13"/>
  </w:num>
  <w:num w:numId="37" w16cid:durableId="20818276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10"/>
    <w:rsid w:val="0000025A"/>
    <w:rsid w:val="00004056"/>
    <w:rsid w:val="000056C9"/>
    <w:rsid w:val="00006A21"/>
    <w:rsid w:val="000112D5"/>
    <w:rsid w:val="00011895"/>
    <w:rsid w:val="000121CC"/>
    <w:rsid w:val="00015010"/>
    <w:rsid w:val="000174DF"/>
    <w:rsid w:val="000179DE"/>
    <w:rsid w:val="00017B24"/>
    <w:rsid w:val="00021142"/>
    <w:rsid w:val="00024076"/>
    <w:rsid w:val="00024B5F"/>
    <w:rsid w:val="00030A47"/>
    <w:rsid w:val="00031C6F"/>
    <w:rsid w:val="00032B50"/>
    <w:rsid w:val="000334AD"/>
    <w:rsid w:val="000338C4"/>
    <w:rsid w:val="00034272"/>
    <w:rsid w:val="00037231"/>
    <w:rsid w:val="00040822"/>
    <w:rsid w:val="00041B63"/>
    <w:rsid w:val="00041CE3"/>
    <w:rsid w:val="00042F60"/>
    <w:rsid w:val="000456D1"/>
    <w:rsid w:val="00046339"/>
    <w:rsid w:val="000507C4"/>
    <w:rsid w:val="00051955"/>
    <w:rsid w:val="0005253B"/>
    <w:rsid w:val="00052839"/>
    <w:rsid w:val="0005395E"/>
    <w:rsid w:val="00053BC0"/>
    <w:rsid w:val="00054F28"/>
    <w:rsid w:val="000551CA"/>
    <w:rsid w:val="00055377"/>
    <w:rsid w:val="000553A6"/>
    <w:rsid w:val="00055682"/>
    <w:rsid w:val="0005625E"/>
    <w:rsid w:val="0005770F"/>
    <w:rsid w:val="00060A91"/>
    <w:rsid w:val="000615A3"/>
    <w:rsid w:val="000618AB"/>
    <w:rsid w:val="00062CB5"/>
    <w:rsid w:val="00063152"/>
    <w:rsid w:val="00064C70"/>
    <w:rsid w:val="00065747"/>
    <w:rsid w:val="00065E1A"/>
    <w:rsid w:val="000679FA"/>
    <w:rsid w:val="00070112"/>
    <w:rsid w:val="00070D0A"/>
    <w:rsid w:val="00071D76"/>
    <w:rsid w:val="00072682"/>
    <w:rsid w:val="000730D5"/>
    <w:rsid w:val="00074433"/>
    <w:rsid w:val="00074B28"/>
    <w:rsid w:val="00075CA3"/>
    <w:rsid w:val="00081639"/>
    <w:rsid w:val="000818BC"/>
    <w:rsid w:val="00083541"/>
    <w:rsid w:val="00084902"/>
    <w:rsid w:val="00084DE6"/>
    <w:rsid w:val="00086A4A"/>
    <w:rsid w:val="00087C79"/>
    <w:rsid w:val="00090619"/>
    <w:rsid w:val="00090939"/>
    <w:rsid w:val="0009152F"/>
    <w:rsid w:val="00093F59"/>
    <w:rsid w:val="00094D11"/>
    <w:rsid w:val="00095B1C"/>
    <w:rsid w:val="00097B61"/>
    <w:rsid w:val="000A078B"/>
    <w:rsid w:val="000A1A43"/>
    <w:rsid w:val="000A1DEF"/>
    <w:rsid w:val="000A22A6"/>
    <w:rsid w:val="000A3E7B"/>
    <w:rsid w:val="000A40AB"/>
    <w:rsid w:val="000A46AC"/>
    <w:rsid w:val="000A5C70"/>
    <w:rsid w:val="000A600E"/>
    <w:rsid w:val="000A6B80"/>
    <w:rsid w:val="000A6F8D"/>
    <w:rsid w:val="000A7D99"/>
    <w:rsid w:val="000B116E"/>
    <w:rsid w:val="000B295E"/>
    <w:rsid w:val="000B348C"/>
    <w:rsid w:val="000B3727"/>
    <w:rsid w:val="000B4979"/>
    <w:rsid w:val="000B541D"/>
    <w:rsid w:val="000B5871"/>
    <w:rsid w:val="000B6940"/>
    <w:rsid w:val="000B7521"/>
    <w:rsid w:val="000C04F6"/>
    <w:rsid w:val="000C0B05"/>
    <w:rsid w:val="000C384E"/>
    <w:rsid w:val="000C4143"/>
    <w:rsid w:val="000C4E2E"/>
    <w:rsid w:val="000C56B2"/>
    <w:rsid w:val="000C5B61"/>
    <w:rsid w:val="000C7F3B"/>
    <w:rsid w:val="000D0C02"/>
    <w:rsid w:val="000D0D2D"/>
    <w:rsid w:val="000D106B"/>
    <w:rsid w:val="000D1C98"/>
    <w:rsid w:val="000D2FC6"/>
    <w:rsid w:val="000D4103"/>
    <w:rsid w:val="000D4AF3"/>
    <w:rsid w:val="000D4F31"/>
    <w:rsid w:val="000D685B"/>
    <w:rsid w:val="000D6D7A"/>
    <w:rsid w:val="000D76FA"/>
    <w:rsid w:val="000E040B"/>
    <w:rsid w:val="000E1389"/>
    <w:rsid w:val="000E13D3"/>
    <w:rsid w:val="000E2099"/>
    <w:rsid w:val="000E2A1D"/>
    <w:rsid w:val="000E4AA4"/>
    <w:rsid w:val="000E56CB"/>
    <w:rsid w:val="000E7C52"/>
    <w:rsid w:val="000E7CB7"/>
    <w:rsid w:val="000E7DCA"/>
    <w:rsid w:val="000F2175"/>
    <w:rsid w:val="000F2584"/>
    <w:rsid w:val="000F25F7"/>
    <w:rsid w:val="000F3E80"/>
    <w:rsid w:val="000F51D7"/>
    <w:rsid w:val="000F5F37"/>
    <w:rsid w:val="000F6A2C"/>
    <w:rsid w:val="000F6F16"/>
    <w:rsid w:val="000F7B91"/>
    <w:rsid w:val="00100EFC"/>
    <w:rsid w:val="00101086"/>
    <w:rsid w:val="001012F3"/>
    <w:rsid w:val="00103127"/>
    <w:rsid w:val="00103599"/>
    <w:rsid w:val="001039ED"/>
    <w:rsid w:val="00103E69"/>
    <w:rsid w:val="00110614"/>
    <w:rsid w:val="00110C7F"/>
    <w:rsid w:val="00111B7D"/>
    <w:rsid w:val="0011242D"/>
    <w:rsid w:val="00113615"/>
    <w:rsid w:val="00113704"/>
    <w:rsid w:val="00113DE0"/>
    <w:rsid w:val="0011444D"/>
    <w:rsid w:val="0011458A"/>
    <w:rsid w:val="001158DA"/>
    <w:rsid w:val="001162F9"/>
    <w:rsid w:val="0011666B"/>
    <w:rsid w:val="001167AB"/>
    <w:rsid w:val="00116B82"/>
    <w:rsid w:val="00116F40"/>
    <w:rsid w:val="00117F08"/>
    <w:rsid w:val="0012009F"/>
    <w:rsid w:val="00120952"/>
    <w:rsid w:val="001213F6"/>
    <w:rsid w:val="0012155D"/>
    <w:rsid w:val="001215D4"/>
    <w:rsid w:val="00123B3F"/>
    <w:rsid w:val="00123BDB"/>
    <w:rsid w:val="00124CC9"/>
    <w:rsid w:val="001257E1"/>
    <w:rsid w:val="001271A7"/>
    <w:rsid w:val="0012727A"/>
    <w:rsid w:val="001275FE"/>
    <w:rsid w:val="00127756"/>
    <w:rsid w:val="00130B3C"/>
    <w:rsid w:val="00131F5E"/>
    <w:rsid w:val="00137117"/>
    <w:rsid w:val="0013720C"/>
    <w:rsid w:val="001372FF"/>
    <w:rsid w:val="00140487"/>
    <w:rsid w:val="00140CFD"/>
    <w:rsid w:val="00142A26"/>
    <w:rsid w:val="00143B06"/>
    <w:rsid w:val="00144CA8"/>
    <w:rsid w:val="00145172"/>
    <w:rsid w:val="0014555D"/>
    <w:rsid w:val="00146149"/>
    <w:rsid w:val="001470D8"/>
    <w:rsid w:val="00150324"/>
    <w:rsid w:val="001506EC"/>
    <w:rsid w:val="00152F50"/>
    <w:rsid w:val="001532CD"/>
    <w:rsid w:val="00153D0D"/>
    <w:rsid w:val="001542D3"/>
    <w:rsid w:val="0015480A"/>
    <w:rsid w:val="001552D7"/>
    <w:rsid w:val="001556BD"/>
    <w:rsid w:val="001568F8"/>
    <w:rsid w:val="001569DA"/>
    <w:rsid w:val="00156FA8"/>
    <w:rsid w:val="001602F5"/>
    <w:rsid w:val="00160651"/>
    <w:rsid w:val="00161B51"/>
    <w:rsid w:val="00163213"/>
    <w:rsid w:val="0016354E"/>
    <w:rsid w:val="00163A8B"/>
    <w:rsid w:val="00163E9B"/>
    <w:rsid w:val="00166F90"/>
    <w:rsid w:val="00167158"/>
    <w:rsid w:val="001675C8"/>
    <w:rsid w:val="001706D8"/>
    <w:rsid w:val="00171E58"/>
    <w:rsid w:val="00172B2F"/>
    <w:rsid w:val="001739E1"/>
    <w:rsid w:val="00174016"/>
    <w:rsid w:val="00175002"/>
    <w:rsid w:val="00175169"/>
    <w:rsid w:val="0017780B"/>
    <w:rsid w:val="00180893"/>
    <w:rsid w:val="001810C7"/>
    <w:rsid w:val="00183B5C"/>
    <w:rsid w:val="0018404A"/>
    <w:rsid w:val="00184E13"/>
    <w:rsid w:val="001856C0"/>
    <w:rsid w:val="00186D8E"/>
    <w:rsid w:val="00187037"/>
    <w:rsid w:val="001878CB"/>
    <w:rsid w:val="00191481"/>
    <w:rsid w:val="00192399"/>
    <w:rsid w:val="001931DA"/>
    <w:rsid w:val="001952F5"/>
    <w:rsid w:val="00196351"/>
    <w:rsid w:val="001967A3"/>
    <w:rsid w:val="001A05DA"/>
    <w:rsid w:val="001A1D8A"/>
    <w:rsid w:val="001A2781"/>
    <w:rsid w:val="001A27EC"/>
    <w:rsid w:val="001A2EFC"/>
    <w:rsid w:val="001A3FEF"/>
    <w:rsid w:val="001A54FD"/>
    <w:rsid w:val="001A5994"/>
    <w:rsid w:val="001A6E8E"/>
    <w:rsid w:val="001A7B66"/>
    <w:rsid w:val="001B1091"/>
    <w:rsid w:val="001B1C10"/>
    <w:rsid w:val="001B36DD"/>
    <w:rsid w:val="001B3D76"/>
    <w:rsid w:val="001B550D"/>
    <w:rsid w:val="001B614A"/>
    <w:rsid w:val="001B668F"/>
    <w:rsid w:val="001C100C"/>
    <w:rsid w:val="001C156A"/>
    <w:rsid w:val="001C171D"/>
    <w:rsid w:val="001C1E2F"/>
    <w:rsid w:val="001C2907"/>
    <w:rsid w:val="001C5976"/>
    <w:rsid w:val="001C59A6"/>
    <w:rsid w:val="001C5D1F"/>
    <w:rsid w:val="001C6900"/>
    <w:rsid w:val="001D266F"/>
    <w:rsid w:val="001D6719"/>
    <w:rsid w:val="001D7999"/>
    <w:rsid w:val="001E18E5"/>
    <w:rsid w:val="001E366E"/>
    <w:rsid w:val="001E51BF"/>
    <w:rsid w:val="001E569D"/>
    <w:rsid w:val="001E7A40"/>
    <w:rsid w:val="001F0DD3"/>
    <w:rsid w:val="001F0E5A"/>
    <w:rsid w:val="001F1947"/>
    <w:rsid w:val="001F64CB"/>
    <w:rsid w:val="001F66DC"/>
    <w:rsid w:val="001F678C"/>
    <w:rsid w:val="001F6C46"/>
    <w:rsid w:val="001F7365"/>
    <w:rsid w:val="001F7997"/>
    <w:rsid w:val="002000DA"/>
    <w:rsid w:val="00200556"/>
    <w:rsid w:val="002015D9"/>
    <w:rsid w:val="00201C6F"/>
    <w:rsid w:val="00203AA9"/>
    <w:rsid w:val="0020425F"/>
    <w:rsid w:val="00204D20"/>
    <w:rsid w:val="0020507F"/>
    <w:rsid w:val="00205FD9"/>
    <w:rsid w:val="00206BA5"/>
    <w:rsid w:val="002073D7"/>
    <w:rsid w:val="00207B57"/>
    <w:rsid w:val="00210AC6"/>
    <w:rsid w:val="00210CB8"/>
    <w:rsid w:val="002112A8"/>
    <w:rsid w:val="002122D8"/>
    <w:rsid w:val="00213615"/>
    <w:rsid w:val="0021508D"/>
    <w:rsid w:val="00222CF3"/>
    <w:rsid w:val="00223115"/>
    <w:rsid w:val="00224AC7"/>
    <w:rsid w:val="00230172"/>
    <w:rsid w:val="00230EA5"/>
    <w:rsid w:val="00231633"/>
    <w:rsid w:val="00231DB7"/>
    <w:rsid w:val="00232A28"/>
    <w:rsid w:val="00232AD5"/>
    <w:rsid w:val="00232D5E"/>
    <w:rsid w:val="0023436C"/>
    <w:rsid w:val="002352D6"/>
    <w:rsid w:val="00242763"/>
    <w:rsid w:val="00242E65"/>
    <w:rsid w:val="00245EFB"/>
    <w:rsid w:val="00246165"/>
    <w:rsid w:val="0024657F"/>
    <w:rsid w:val="00247337"/>
    <w:rsid w:val="00247526"/>
    <w:rsid w:val="00247974"/>
    <w:rsid w:val="002500FA"/>
    <w:rsid w:val="00251A25"/>
    <w:rsid w:val="00251C91"/>
    <w:rsid w:val="00252F26"/>
    <w:rsid w:val="00254777"/>
    <w:rsid w:val="002555A6"/>
    <w:rsid w:val="0025567C"/>
    <w:rsid w:val="00256E28"/>
    <w:rsid w:val="00261BD5"/>
    <w:rsid w:val="0026216B"/>
    <w:rsid w:val="00262F6B"/>
    <w:rsid w:val="00263B2C"/>
    <w:rsid w:val="00264D02"/>
    <w:rsid w:val="002654CF"/>
    <w:rsid w:val="0026765F"/>
    <w:rsid w:val="00272D0D"/>
    <w:rsid w:val="00273AAD"/>
    <w:rsid w:val="00274525"/>
    <w:rsid w:val="00274AA8"/>
    <w:rsid w:val="00276051"/>
    <w:rsid w:val="0027689B"/>
    <w:rsid w:val="00283D6E"/>
    <w:rsid w:val="0028546A"/>
    <w:rsid w:val="00286BCC"/>
    <w:rsid w:val="0028727C"/>
    <w:rsid w:val="00290170"/>
    <w:rsid w:val="002902D3"/>
    <w:rsid w:val="0029451C"/>
    <w:rsid w:val="00294A5E"/>
    <w:rsid w:val="002957CA"/>
    <w:rsid w:val="00295FC7"/>
    <w:rsid w:val="00296DC4"/>
    <w:rsid w:val="00297856"/>
    <w:rsid w:val="00297891"/>
    <w:rsid w:val="00297F0C"/>
    <w:rsid w:val="002A03F1"/>
    <w:rsid w:val="002A0AED"/>
    <w:rsid w:val="002A1909"/>
    <w:rsid w:val="002A20A1"/>
    <w:rsid w:val="002A34AE"/>
    <w:rsid w:val="002A47A1"/>
    <w:rsid w:val="002A5242"/>
    <w:rsid w:val="002A6331"/>
    <w:rsid w:val="002A6ED8"/>
    <w:rsid w:val="002B12E0"/>
    <w:rsid w:val="002B20D6"/>
    <w:rsid w:val="002B281E"/>
    <w:rsid w:val="002B33F9"/>
    <w:rsid w:val="002B373B"/>
    <w:rsid w:val="002B4799"/>
    <w:rsid w:val="002B5632"/>
    <w:rsid w:val="002B5CED"/>
    <w:rsid w:val="002B60B4"/>
    <w:rsid w:val="002B63CA"/>
    <w:rsid w:val="002C0042"/>
    <w:rsid w:val="002C1DC0"/>
    <w:rsid w:val="002C2017"/>
    <w:rsid w:val="002C2471"/>
    <w:rsid w:val="002C27F9"/>
    <w:rsid w:val="002C2BCC"/>
    <w:rsid w:val="002C6CEC"/>
    <w:rsid w:val="002D12B8"/>
    <w:rsid w:val="002D2313"/>
    <w:rsid w:val="002D29D1"/>
    <w:rsid w:val="002D3421"/>
    <w:rsid w:val="002D474E"/>
    <w:rsid w:val="002D4AC9"/>
    <w:rsid w:val="002D55D7"/>
    <w:rsid w:val="002D698B"/>
    <w:rsid w:val="002D70C5"/>
    <w:rsid w:val="002E1132"/>
    <w:rsid w:val="002E1761"/>
    <w:rsid w:val="002E18DD"/>
    <w:rsid w:val="002E2FB2"/>
    <w:rsid w:val="002E57AE"/>
    <w:rsid w:val="002E6A9C"/>
    <w:rsid w:val="002E6DF9"/>
    <w:rsid w:val="002E72C8"/>
    <w:rsid w:val="002E7852"/>
    <w:rsid w:val="002F0D31"/>
    <w:rsid w:val="002F3C67"/>
    <w:rsid w:val="002F49C9"/>
    <w:rsid w:val="002F5890"/>
    <w:rsid w:val="002F70D9"/>
    <w:rsid w:val="002F7AB9"/>
    <w:rsid w:val="002F7ECA"/>
    <w:rsid w:val="00301E6E"/>
    <w:rsid w:val="00305E30"/>
    <w:rsid w:val="00306047"/>
    <w:rsid w:val="003077AA"/>
    <w:rsid w:val="0031045A"/>
    <w:rsid w:val="00311629"/>
    <w:rsid w:val="00313420"/>
    <w:rsid w:val="0031412D"/>
    <w:rsid w:val="003142AA"/>
    <w:rsid w:val="00315674"/>
    <w:rsid w:val="00316673"/>
    <w:rsid w:val="0031692F"/>
    <w:rsid w:val="00317FE0"/>
    <w:rsid w:val="00322DAB"/>
    <w:rsid w:val="00324AC0"/>
    <w:rsid w:val="00324B64"/>
    <w:rsid w:val="00326572"/>
    <w:rsid w:val="00326665"/>
    <w:rsid w:val="003303EF"/>
    <w:rsid w:val="00330461"/>
    <w:rsid w:val="00331D51"/>
    <w:rsid w:val="003324B3"/>
    <w:rsid w:val="00333623"/>
    <w:rsid w:val="003348B4"/>
    <w:rsid w:val="00334B6E"/>
    <w:rsid w:val="0033515D"/>
    <w:rsid w:val="003367C0"/>
    <w:rsid w:val="00336977"/>
    <w:rsid w:val="003372D7"/>
    <w:rsid w:val="00341C51"/>
    <w:rsid w:val="003441DE"/>
    <w:rsid w:val="003449C4"/>
    <w:rsid w:val="0034538E"/>
    <w:rsid w:val="00345E71"/>
    <w:rsid w:val="003468B9"/>
    <w:rsid w:val="0034778B"/>
    <w:rsid w:val="003506CA"/>
    <w:rsid w:val="0035104F"/>
    <w:rsid w:val="0035324C"/>
    <w:rsid w:val="00353786"/>
    <w:rsid w:val="003555B0"/>
    <w:rsid w:val="00356811"/>
    <w:rsid w:val="0035699E"/>
    <w:rsid w:val="003576C4"/>
    <w:rsid w:val="00360182"/>
    <w:rsid w:val="00361CFF"/>
    <w:rsid w:val="00361FCB"/>
    <w:rsid w:val="003639D2"/>
    <w:rsid w:val="00363B2B"/>
    <w:rsid w:val="00363E02"/>
    <w:rsid w:val="0036621A"/>
    <w:rsid w:val="00366223"/>
    <w:rsid w:val="003662F7"/>
    <w:rsid w:val="00366384"/>
    <w:rsid w:val="00367CF8"/>
    <w:rsid w:val="00370FAA"/>
    <w:rsid w:val="00374EE2"/>
    <w:rsid w:val="003751CB"/>
    <w:rsid w:val="00375755"/>
    <w:rsid w:val="00375E0B"/>
    <w:rsid w:val="0038038A"/>
    <w:rsid w:val="0038050D"/>
    <w:rsid w:val="00380C51"/>
    <w:rsid w:val="00381354"/>
    <w:rsid w:val="00382A00"/>
    <w:rsid w:val="0038539E"/>
    <w:rsid w:val="003853C2"/>
    <w:rsid w:val="00387813"/>
    <w:rsid w:val="0039248C"/>
    <w:rsid w:val="00393C28"/>
    <w:rsid w:val="00394506"/>
    <w:rsid w:val="00394827"/>
    <w:rsid w:val="003951F7"/>
    <w:rsid w:val="00396831"/>
    <w:rsid w:val="00396B64"/>
    <w:rsid w:val="003A05AA"/>
    <w:rsid w:val="003A2070"/>
    <w:rsid w:val="003A2511"/>
    <w:rsid w:val="003A306C"/>
    <w:rsid w:val="003A64EF"/>
    <w:rsid w:val="003A67A9"/>
    <w:rsid w:val="003A7CBA"/>
    <w:rsid w:val="003B09E3"/>
    <w:rsid w:val="003B1B12"/>
    <w:rsid w:val="003B2446"/>
    <w:rsid w:val="003B2A6C"/>
    <w:rsid w:val="003B2C4C"/>
    <w:rsid w:val="003B5191"/>
    <w:rsid w:val="003B6323"/>
    <w:rsid w:val="003B7E36"/>
    <w:rsid w:val="003C16AA"/>
    <w:rsid w:val="003C38F3"/>
    <w:rsid w:val="003C5A53"/>
    <w:rsid w:val="003C6421"/>
    <w:rsid w:val="003C6AD1"/>
    <w:rsid w:val="003C73B5"/>
    <w:rsid w:val="003C79DF"/>
    <w:rsid w:val="003D0946"/>
    <w:rsid w:val="003D0A17"/>
    <w:rsid w:val="003D1063"/>
    <w:rsid w:val="003D1EBC"/>
    <w:rsid w:val="003D21E5"/>
    <w:rsid w:val="003D42CB"/>
    <w:rsid w:val="003D458D"/>
    <w:rsid w:val="003D481E"/>
    <w:rsid w:val="003D554A"/>
    <w:rsid w:val="003D5FA7"/>
    <w:rsid w:val="003D601C"/>
    <w:rsid w:val="003D6CBC"/>
    <w:rsid w:val="003D7543"/>
    <w:rsid w:val="003D780E"/>
    <w:rsid w:val="003D78DB"/>
    <w:rsid w:val="003E0041"/>
    <w:rsid w:val="003E0FE9"/>
    <w:rsid w:val="003E199F"/>
    <w:rsid w:val="003E43E5"/>
    <w:rsid w:val="003E51A2"/>
    <w:rsid w:val="003F0BAB"/>
    <w:rsid w:val="003F14F6"/>
    <w:rsid w:val="003F1C4D"/>
    <w:rsid w:val="003F33DD"/>
    <w:rsid w:val="003F342A"/>
    <w:rsid w:val="003F3C34"/>
    <w:rsid w:val="003F4359"/>
    <w:rsid w:val="003F6775"/>
    <w:rsid w:val="0040012D"/>
    <w:rsid w:val="00401816"/>
    <w:rsid w:val="00401953"/>
    <w:rsid w:val="00401B34"/>
    <w:rsid w:val="00403AC3"/>
    <w:rsid w:val="0040477F"/>
    <w:rsid w:val="004048F5"/>
    <w:rsid w:val="00404F2B"/>
    <w:rsid w:val="004051AC"/>
    <w:rsid w:val="0040582E"/>
    <w:rsid w:val="004060DB"/>
    <w:rsid w:val="00406526"/>
    <w:rsid w:val="00406C56"/>
    <w:rsid w:val="00407515"/>
    <w:rsid w:val="00410557"/>
    <w:rsid w:val="00410A27"/>
    <w:rsid w:val="00412749"/>
    <w:rsid w:val="004127CC"/>
    <w:rsid w:val="00413363"/>
    <w:rsid w:val="00413772"/>
    <w:rsid w:val="00414BE3"/>
    <w:rsid w:val="00414CE0"/>
    <w:rsid w:val="00415FA4"/>
    <w:rsid w:val="00417398"/>
    <w:rsid w:val="004176E0"/>
    <w:rsid w:val="00420B0F"/>
    <w:rsid w:val="00421519"/>
    <w:rsid w:val="00422070"/>
    <w:rsid w:val="00422467"/>
    <w:rsid w:val="004254A8"/>
    <w:rsid w:val="004269CD"/>
    <w:rsid w:val="0042730B"/>
    <w:rsid w:val="0043078C"/>
    <w:rsid w:val="00430A7C"/>
    <w:rsid w:val="00430EE6"/>
    <w:rsid w:val="004329EA"/>
    <w:rsid w:val="00432EAA"/>
    <w:rsid w:val="0043322D"/>
    <w:rsid w:val="0043369D"/>
    <w:rsid w:val="00433E59"/>
    <w:rsid w:val="00434F5A"/>
    <w:rsid w:val="004367BE"/>
    <w:rsid w:val="004401F3"/>
    <w:rsid w:val="004423DF"/>
    <w:rsid w:val="0044291E"/>
    <w:rsid w:val="00445BAB"/>
    <w:rsid w:val="004467FA"/>
    <w:rsid w:val="00447416"/>
    <w:rsid w:val="0045171C"/>
    <w:rsid w:val="00451C06"/>
    <w:rsid w:val="00454A14"/>
    <w:rsid w:val="00456A6B"/>
    <w:rsid w:val="00460B61"/>
    <w:rsid w:val="004627F3"/>
    <w:rsid w:val="00463401"/>
    <w:rsid w:val="004700E1"/>
    <w:rsid w:val="00471A53"/>
    <w:rsid w:val="004736F2"/>
    <w:rsid w:val="00473A2A"/>
    <w:rsid w:val="00474A11"/>
    <w:rsid w:val="00474B57"/>
    <w:rsid w:val="004765E3"/>
    <w:rsid w:val="00476700"/>
    <w:rsid w:val="0048177B"/>
    <w:rsid w:val="00483A78"/>
    <w:rsid w:val="0048430C"/>
    <w:rsid w:val="00484437"/>
    <w:rsid w:val="004852CF"/>
    <w:rsid w:val="00486A85"/>
    <w:rsid w:val="00491A16"/>
    <w:rsid w:val="00492680"/>
    <w:rsid w:val="004938B7"/>
    <w:rsid w:val="00494C46"/>
    <w:rsid w:val="0049501A"/>
    <w:rsid w:val="004966BE"/>
    <w:rsid w:val="004973F5"/>
    <w:rsid w:val="00497792"/>
    <w:rsid w:val="004A0493"/>
    <w:rsid w:val="004A0C9B"/>
    <w:rsid w:val="004A1372"/>
    <w:rsid w:val="004A1B7E"/>
    <w:rsid w:val="004A266D"/>
    <w:rsid w:val="004A6058"/>
    <w:rsid w:val="004A6971"/>
    <w:rsid w:val="004A796B"/>
    <w:rsid w:val="004B26F6"/>
    <w:rsid w:val="004B5268"/>
    <w:rsid w:val="004B59AF"/>
    <w:rsid w:val="004B6327"/>
    <w:rsid w:val="004B6A44"/>
    <w:rsid w:val="004C02FA"/>
    <w:rsid w:val="004C07EF"/>
    <w:rsid w:val="004C14AB"/>
    <w:rsid w:val="004C29F6"/>
    <w:rsid w:val="004C4646"/>
    <w:rsid w:val="004C4D28"/>
    <w:rsid w:val="004C7F32"/>
    <w:rsid w:val="004D0E81"/>
    <w:rsid w:val="004D3E18"/>
    <w:rsid w:val="004D4C7C"/>
    <w:rsid w:val="004D4F36"/>
    <w:rsid w:val="004D7030"/>
    <w:rsid w:val="004D740D"/>
    <w:rsid w:val="004D7757"/>
    <w:rsid w:val="004E29DB"/>
    <w:rsid w:val="004E2C64"/>
    <w:rsid w:val="004E37B6"/>
    <w:rsid w:val="004E39A8"/>
    <w:rsid w:val="004E3A6B"/>
    <w:rsid w:val="004E431B"/>
    <w:rsid w:val="004E5BE5"/>
    <w:rsid w:val="004E6153"/>
    <w:rsid w:val="004F00D7"/>
    <w:rsid w:val="004F1186"/>
    <w:rsid w:val="004F11B5"/>
    <w:rsid w:val="004F1BA8"/>
    <w:rsid w:val="004F2A4C"/>
    <w:rsid w:val="004F4E7B"/>
    <w:rsid w:val="00500063"/>
    <w:rsid w:val="00503609"/>
    <w:rsid w:val="005051C6"/>
    <w:rsid w:val="005052BE"/>
    <w:rsid w:val="005052F1"/>
    <w:rsid w:val="00506214"/>
    <w:rsid w:val="00506612"/>
    <w:rsid w:val="0050676D"/>
    <w:rsid w:val="005070A5"/>
    <w:rsid w:val="00507C36"/>
    <w:rsid w:val="005117BF"/>
    <w:rsid w:val="005120F8"/>
    <w:rsid w:val="00512D05"/>
    <w:rsid w:val="005138DE"/>
    <w:rsid w:val="00513B14"/>
    <w:rsid w:val="00515C9B"/>
    <w:rsid w:val="0051641C"/>
    <w:rsid w:val="005177C5"/>
    <w:rsid w:val="005206CD"/>
    <w:rsid w:val="00521FF0"/>
    <w:rsid w:val="0052200B"/>
    <w:rsid w:val="005233C9"/>
    <w:rsid w:val="00523C37"/>
    <w:rsid w:val="00525601"/>
    <w:rsid w:val="00525678"/>
    <w:rsid w:val="00526062"/>
    <w:rsid w:val="00527020"/>
    <w:rsid w:val="00527929"/>
    <w:rsid w:val="00527E4D"/>
    <w:rsid w:val="00534E3E"/>
    <w:rsid w:val="0054024D"/>
    <w:rsid w:val="0054234B"/>
    <w:rsid w:val="00543FFA"/>
    <w:rsid w:val="00544379"/>
    <w:rsid w:val="005456E5"/>
    <w:rsid w:val="0054625F"/>
    <w:rsid w:val="00546B53"/>
    <w:rsid w:val="00546E01"/>
    <w:rsid w:val="00547D23"/>
    <w:rsid w:val="00547D9D"/>
    <w:rsid w:val="0055036D"/>
    <w:rsid w:val="00550467"/>
    <w:rsid w:val="005505CB"/>
    <w:rsid w:val="00552243"/>
    <w:rsid w:val="00554511"/>
    <w:rsid w:val="005555A2"/>
    <w:rsid w:val="0055615A"/>
    <w:rsid w:val="005574EF"/>
    <w:rsid w:val="0056172A"/>
    <w:rsid w:val="00563610"/>
    <w:rsid w:val="005650FC"/>
    <w:rsid w:val="00572C3F"/>
    <w:rsid w:val="00573B7D"/>
    <w:rsid w:val="0057433F"/>
    <w:rsid w:val="00574F52"/>
    <w:rsid w:val="0057614D"/>
    <w:rsid w:val="00580C87"/>
    <w:rsid w:val="00581C16"/>
    <w:rsid w:val="00584178"/>
    <w:rsid w:val="00592F1E"/>
    <w:rsid w:val="00594130"/>
    <w:rsid w:val="005943E0"/>
    <w:rsid w:val="00594EDC"/>
    <w:rsid w:val="00596F8B"/>
    <w:rsid w:val="005A12B2"/>
    <w:rsid w:val="005A16EA"/>
    <w:rsid w:val="005A20DF"/>
    <w:rsid w:val="005A27EC"/>
    <w:rsid w:val="005A3093"/>
    <w:rsid w:val="005A729B"/>
    <w:rsid w:val="005A75C5"/>
    <w:rsid w:val="005B0534"/>
    <w:rsid w:val="005B068F"/>
    <w:rsid w:val="005B07D9"/>
    <w:rsid w:val="005B18DB"/>
    <w:rsid w:val="005B735B"/>
    <w:rsid w:val="005C07FA"/>
    <w:rsid w:val="005C2A67"/>
    <w:rsid w:val="005C34DB"/>
    <w:rsid w:val="005C376B"/>
    <w:rsid w:val="005C38C1"/>
    <w:rsid w:val="005C524F"/>
    <w:rsid w:val="005D09E2"/>
    <w:rsid w:val="005D1A69"/>
    <w:rsid w:val="005D1BDE"/>
    <w:rsid w:val="005D2053"/>
    <w:rsid w:val="005D234F"/>
    <w:rsid w:val="005D2FEF"/>
    <w:rsid w:val="005D33CE"/>
    <w:rsid w:val="005D344F"/>
    <w:rsid w:val="005D38B4"/>
    <w:rsid w:val="005D643B"/>
    <w:rsid w:val="005E02A7"/>
    <w:rsid w:val="005E06D1"/>
    <w:rsid w:val="005E3A85"/>
    <w:rsid w:val="005E70DA"/>
    <w:rsid w:val="005E7E8A"/>
    <w:rsid w:val="005F042D"/>
    <w:rsid w:val="005F11A9"/>
    <w:rsid w:val="005F1E01"/>
    <w:rsid w:val="00601166"/>
    <w:rsid w:val="00601E63"/>
    <w:rsid w:val="00604040"/>
    <w:rsid w:val="00604C5D"/>
    <w:rsid w:val="00605E11"/>
    <w:rsid w:val="006065CF"/>
    <w:rsid w:val="006067C0"/>
    <w:rsid w:val="00606C17"/>
    <w:rsid w:val="006071F0"/>
    <w:rsid w:val="00612545"/>
    <w:rsid w:val="00617BC2"/>
    <w:rsid w:val="006213F2"/>
    <w:rsid w:val="0062294E"/>
    <w:rsid w:val="00627459"/>
    <w:rsid w:val="00630AE9"/>
    <w:rsid w:val="00632E12"/>
    <w:rsid w:val="00633020"/>
    <w:rsid w:val="00633894"/>
    <w:rsid w:val="00633FDB"/>
    <w:rsid w:val="0063472D"/>
    <w:rsid w:val="00634884"/>
    <w:rsid w:val="00634D43"/>
    <w:rsid w:val="00635C3F"/>
    <w:rsid w:val="006378B9"/>
    <w:rsid w:val="00641531"/>
    <w:rsid w:val="00643235"/>
    <w:rsid w:val="006440D3"/>
    <w:rsid w:val="00644976"/>
    <w:rsid w:val="00645425"/>
    <w:rsid w:val="0064664A"/>
    <w:rsid w:val="00646FAE"/>
    <w:rsid w:val="00647492"/>
    <w:rsid w:val="00650137"/>
    <w:rsid w:val="00652287"/>
    <w:rsid w:val="006539BE"/>
    <w:rsid w:val="0065458F"/>
    <w:rsid w:val="00655285"/>
    <w:rsid w:val="006575ED"/>
    <w:rsid w:val="006603D2"/>
    <w:rsid w:val="00660B93"/>
    <w:rsid w:val="006613EB"/>
    <w:rsid w:val="00661CBC"/>
    <w:rsid w:val="006621F3"/>
    <w:rsid w:val="0066223D"/>
    <w:rsid w:val="00663EA9"/>
    <w:rsid w:val="00664B3A"/>
    <w:rsid w:val="00665EB2"/>
    <w:rsid w:val="00667795"/>
    <w:rsid w:val="0067100B"/>
    <w:rsid w:val="006728A5"/>
    <w:rsid w:val="00674A4A"/>
    <w:rsid w:val="00674F12"/>
    <w:rsid w:val="00676456"/>
    <w:rsid w:val="00676540"/>
    <w:rsid w:val="006768A9"/>
    <w:rsid w:val="00677870"/>
    <w:rsid w:val="00680ABA"/>
    <w:rsid w:val="00680B16"/>
    <w:rsid w:val="006829B4"/>
    <w:rsid w:val="00683708"/>
    <w:rsid w:val="00684915"/>
    <w:rsid w:val="00686307"/>
    <w:rsid w:val="00690899"/>
    <w:rsid w:val="0069144A"/>
    <w:rsid w:val="00691BEB"/>
    <w:rsid w:val="00693E82"/>
    <w:rsid w:val="00694421"/>
    <w:rsid w:val="00694C9A"/>
    <w:rsid w:val="00695E0C"/>
    <w:rsid w:val="006972FA"/>
    <w:rsid w:val="006A00BF"/>
    <w:rsid w:val="006A01F0"/>
    <w:rsid w:val="006A0E3F"/>
    <w:rsid w:val="006A22AE"/>
    <w:rsid w:val="006A3219"/>
    <w:rsid w:val="006A323A"/>
    <w:rsid w:val="006A3BEF"/>
    <w:rsid w:val="006A3BF0"/>
    <w:rsid w:val="006A47EF"/>
    <w:rsid w:val="006A59E7"/>
    <w:rsid w:val="006A5C72"/>
    <w:rsid w:val="006A6476"/>
    <w:rsid w:val="006A65B0"/>
    <w:rsid w:val="006B0386"/>
    <w:rsid w:val="006B2999"/>
    <w:rsid w:val="006B3C98"/>
    <w:rsid w:val="006B4065"/>
    <w:rsid w:val="006B4A3A"/>
    <w:rsid w:val="006B4DDA"/>
    <w:rsid w:val="006B55C7"/>
    <w:rsid w:val="006B671F"/>
    <w:rsid w:val="006C0515"/>
    <w:rsid w:val="006C067C"/>
    <w:rsid w:val="006C0733"/>
    <w:rsid w:val="006C0AE2"/>
    <w:rsid w:val="006C0E68"/>
    <w:rsid w:val="006C178D"/>
    <w:rsid w:val="006C25A5"/>
    <w:rsid w:val="006C486F"/>
    <w:rsid w:val="006C543B"/>
    <w:rsid w:val="006C5582"/>
    <w:rsid w:val="006C5FA9"/>
    <w:rsid w:val="006C6E13"/>
    <w:rsid w:val="006C7A96"/>
    <w:rsid w:val="006D0A49"/>
    <w:rsid w:val="006D271F"/>
    <w:rsid w:val="006D4526"/>
    <w:rsid w:val="006D4BD8"/>
    <w:rsid w:val="006D63E0"/>
    <w:rsid w:val="006D7193"/>
    <w:rsid w:val="006E190C"/>
    <w:rsid w:val="006E1D61"/>
    <w:rsid w:val="006E275E"/>
    <w:rsid w:val="006E53E9"/>
    <w:rsid w:val="006E5B29"/>
    <w:rsid w:val="006E5CE9"/>
    <w:rsid w:val="006E657D"/>
    <w:rsid w:val="006E65EA"/>
    <w:rsid w:val="006E7756"/>
    <w:rsid w:val="006E7B4C"/>
    <w:rsid w:val="006F0AE8"/>
    <w:rsid w:val="006F110C"/>
    <w:rsid w:val="006F1D6D"/>
    <w:rsid w:val="006F4097"/>
    <w:rsid w:val="006F58F5"/>
    <w:rsid w:val="0070005A"/>
    <w:rsid w:val="00700069"/>
    <w:rsid w:val="00700609"/>
    <w:rsid w:val="00700C1B"/>
    <w:rsid w:val="0070462D"/>
    <w:rsid w:val="00706456"/>
    <w:rsid w:val="00706457"/>
    <w:rsid w:val="00707AC2"/>
    <w:rsid w:val="007117EF"/>
    <w:rsid w:val="00712A38"/>
    <w:rsid w:val="00712CBD"/>
    <w:rsid w:val="00712F94"/>
    <w:rsid w:val="00713860"/>
    <w:rsid w:val="007156AB"/>
    <w:rsid w:val="00717669"/>
    <w:rsid w:val="00717BE6"/>
    <w:rsid w:val="00720041"/>
    <w:rsid w:val="00720EFF"/>
    <w:rsid w:val="00721A5F"/>
    <w:rsid w:val="00723E7E"/>
    <w:rsid w:val="00724469"/>
    <w:rsid w:val="00724498"/>
    <w:rsid w:val="007248BE"/>
    <w:rsid w:val="007253C7"/>
    <w:rsid w:val="00725B83"/>
    <w:rsid w:val="00725FBC"/>
    <w:rsid w:val="00727501"/>
    <w:rsid w:val="007304EB"/>
    <w:rsid w:val="00731B8A"/>
    <w:rsid w:val="00734A1D"/>
    <w:rsid w:val="00735D60"/>
    <w:rsid w:val="00736FB8"/>
    <w:rsid w:val="00737719"/>
    <w:rsid w:val="007400C9"/>
    <w:rsid w:val="00740B67"/>
    <w:rsid w:val="007416EB"/>
    <w:rsid w:val="00742600"/>
    <w:rsid w:val="00743108"/>
    <w:rsid w:val="00743DC3"/>
    <w:rsid w:val="00746908"/>
    <w:rsid w:val="00746B2D"/>
    <w:rsid w:val="00752C1B"/>
    <w:rsid w:val="00754193"/>
    <w:rsid w:val="0075479B"/>
    <w:rsid w:val="00755AF3"/>
    <w:rsid w:val="00756AE0"/>
    <w:rsid w:val="00757E51"/>
    <w:rsid w:val="00760CCE"/>
    <w:rsid w:val="0076135D"/>
    <w:rsid w:val="00764667"/>
    <w:rsid w:val="0076530B"/>
    <w:rsid w:val="00765F46"/>
    <w:rsid w:val="00766D71"/>
    <w:rsid w:val="00767D7F"/>
    <w:rsid w:val="0077039E"/>
    <w:rsid w:val="00770DFE"/>
    <w:rsid w:val="00771B59"/>
    <w:rsid w:val="007720C9"/>
    <w:rsid w:val="00776A1C"/>
    <w:rsid w:val="007801C3"/>
    <w:rsid w:val="007801CA"/>
    <w:rsid w:val="00780A78"/>
    <w:rsid w:val="00781E60"/>
    <w:rsid w:val="007820F0"/>
    <w:rsid w:val="0078384B"/>
    <w:rsid w:val="0078390F"/>
    <w:rsid w:val="00784549"/>
    <w:rsid w:val="00784695"/>
    <w:rsid w:val="00785E3B"/>
    <w:rsid w:val="00792897"/>
    <w:rsid w:val="00793F12"/>
    <w:rsid w:val="00794D95"/>
    <w:rsid w:val="007951C9"/>
    <w:rsid w:val="0079565E"/>
    <w:rsid w:val="00797D5A"/>
    <w:rsid w:val="007A1E01"/>
    <w:rsid w:val="007A2ABC"/>
    <w:rsid w:val="007A33E5"/>
    <w:rsid w:val="007A4E89"/>
    <w:rsid w:val="007A5A9A"/>
    <w:rsid w:val="007A6A31"/>
    <w:rsid w:val="007A7971"/>
    <w:rsid w:val="007A7A08"/>
    <w:rsid w:val="007A7B4C"/>
    <w:rsid w:val="007B1905"/>
    <w:rsid w:val="007B1D02"/>
    <w:rsid w:val="007B45B3"/>
    <w:rsid w:val="007B6615"/>
    <w:rsid w:val="007C0A11"/>
    <w:rsid w:val="007C51CC"/>
    <w:rsid w:val="007C56C4"/>
    <w:rsid w:val="007C5937"/>
    <w:rsid w:val="007C5A0C"/>
    <w:rsid w:val="007C6050"/>
    <w:rsid w:val="007C6A24"/>
    <w:rsid w:val="007C745C"/>
    <w:rsid w:val="007C773F"/>
    <w:rsid w:val="007D00DD"/>
    <w:rsid w:val="007D0967"/>
    <w:rsid w:val="007D0A64"/>
    <w:rsid w:val="007D0B5E"/>
    <w:rsid w:val="007D1A74"/>
    <w:rsid w:val="007D31BA"/>
    <w:rsid w:val="007D3C28"/>
    <w:rsid w:val="007D4AFF"/>
    <w:rsid w:val="007D673B"/>
    <w:rsid w:val="007D71A2"/>
    <w:rsid w:val="007D73FD"/>
    <w:rsid w:val="007E1B73"/>
    <w:rsid w:val="007E4104"/>
    <w:rsid w:val="007E541F"/>
    <w:rsid w:val="007E73DB"/>
    <w:rsid w:val="007F1164"/>
    <w:rsid w:val="007F1F66"/>
    <w:rsid w:val="007F3097"/>
    <w:rsid w:val="007F442F"/>
    <w:rsid w:val="007F5446"/>
    <w:rsid w:val="007F5C25"/>
    <w:rsid w:val="00802DA5"/>
    <w:rsid w:val="00803ABF"/>
    <w:rsid w:val="008053E9"/>
    <w:rsid w:val="008062DE"/>
    <w:rsid w:val="00806888"/>
    <w:rsid w:val="008104BF"/>
    <w:rsid w:val="00810555"/>
    <w:rsid w:val="0081298A"/>
    <w:rsid w:val="00813EDD"/>
    <w:rsid w:val="00814708"/>
    <w:rsid w:val="00814D6B"/>
    <w:rsid w:val="00814FD4"/>
    <w:rsid w:val="008158E1"/>
    <w:rsid w:val="00816391"/>
    <w:rsid w:val="008174B8"/>
    <w:rsid w:val="00820E6C"/>
    <w:rsid w:val="00822559"/>
    <w:rsid w:val="0082280B"/>
    <w:rsid w:val="00822917"/>
    <w:rsid w:val="00825647"/>
    <w:rsid w:val="008267DF"/>
    <w:rsid w:val="00827947"/>
    <w:rsid w:val="008306C7"/>
    <w:rsid w:val="00833E9F"/>
    <w:rsid w:val="008344CA"/>
    <w:rsid w:val="008356BB"/>
    <w:rsid w:val="008357BD"/>
    <w:rsid w:val="00835C2C"/>
    <w:rsid w:val="00835DBB"/>
    <w:rsid w:val="0083683D"/>
    <w:rsid w:val="00836C86"/>
    <w:rsid w:val="00836F3E"/>
    <w:rsid w:val="00841379"/>
    <w:rsid w:val="00843A04"/>
    <w:rsid w:val="00845C34"/>
    <w:rsid w:val="00846920"/>
    <w:rsid w:val="00851048"/>
    <w:rsid w:val="0085130A"/>
    <w:rsid w:val="0085177E"/>
    <w:rsid w:val="00852752"/>
    <w:rsid w:val="008536B8"/>
    <w:rsid w:val="00854553"/>
    <w:rsid w:val="008550CF"/>
    <w:rsid w:val="0085741F"/>
    <w:rsid w:val="00857819"/>
    <w:rsid w:val="00860ED3"/>
    <w:rsid w:val="00861BBE"/>
    <w:rsid w:val="00864393"/>
    <w:rsid w:val="00864537"/>
    <w:rsid w:val="00867981"/>
    <w:rsid w:val="0087118A"/>
    <w:rsid w:val="00872DAF"/>
    <w:rsid w:val="00874126"/>
    <w:rsid w:val="008742C9"/>
    <w:rsid w:val="0088452B"/>
    <w:rsid w:val="008870DB"/>
    <w:rsid w:val="00890B1E"/>
    <w:rsid w:val="00891A5C"/>
    <w:rsid w:val="00892456"/>
    <w:rsid w:val="00893868"/>
    <w:rsid w:val="00895F20"/>
    <w:rsid w:val="00896839"/>
    <w:rsid w:val="008968EC"/>
    <w:rsid w:val="008A2394"/>
    <w:rsid w:val="008A48F3"/>
    <w:rsid w:val="008A535C"/>
    <w:rsid w:val="008A6BF3"/>
    <w:rsid w:val="008A6EE6"/>
    <w:rsid w:val="008B2121"/>
    <w:rsid w:val="008B2B34"/>
    <w:rsid w:val="008B2B7F"/>
    <w:rsid w:val="008C00A7"/>
    <w:rsid w:val="008C2A78"/>
    <w:rsid w:val="008C55DB"/>
    <w:rsid w:val="008C5C28"/>
    <w:rsid w:val="008C66F4"/>
    <w:rsid w:val="008D0590"/>
    <w:rsid w:val="008D0DB6"/>
    <w:rsid w:val="008D1015"/>
    <w:rsid w:val="008D1737"/>
    <w:rsid w:val="008D1873"/>
    <w:rsid w:val="008D254A"/>
    <w:rsid w:val="008D28D1"/>
    <w:rsid w:val="008D3A95"/>
    <w:rsid w:val="008D601C"/>
    <w:rsid w:val="008D7B41"/>
    <w:rsid w:val="008E01CE"/>
    <w:rsid w:val="008E09A6"/>
    <w:rsid w:val="008E09AB"/>
    <w:rsid w:val="008E1D3E"/>
    <w:rsid w:val="008E2E1F"/>
    <w:rsid w:val="008E3589"/>
    <w:rsid w:val="008E3CD9"/>
    <w:rsid w:val="008E4506"/>
    <w:rsid w:val="008E45F2"/>
    <w:rsid w:val="008E7826"/>
    <w:rsid w:val="008F0C26"/>
    <w:rsid w:val="008F20F1"/>
    <w:rsid w:val="008F2DFE"/>
    <w:rsid w:val="008F311D"/>
    <w:rsid w:val="008F3344"/>
    <w:rsid w:val="008F43D6"/>
    <w:rsid w:val="008F47AC"/>
    <w:rsid w:val="008F4A96"/>
    <w:rsid w:val="0090099A"/>
    <w:rsid w:val="00900C4F"/>
    <w:rsid w:val="00901131"/>
    <w:rsid w:val="009011D8"/>
    <w:rsid w:val="009016AB"/>
    <w:rsid w:val="00901EA0"/>
    <w:rsid w:val="00902DE9"/>
    <w:rsid w:val="009044AA"/>
    <w:rsid w:val="009045B8"/>
    <w:rsid w:val="00907398"/>
    <w:rsid w:val="00907ADB"/>
    <w:rsid w:val="009127A6"/>
    <w:rsid w:val="00912E10"/>
    <w:rsid w:val="009154C2"/>
    <w:rsid w:val="009156E6"/>
    <w:rsid w:val="0091692B"/>
    <w:rsid w:val="00916CF0"/>
    <w:rsid w:val="009171AF"/>
    <w:rsid w:val="00917430"/>
    <w:rsid w:val="00924FA4"/>
    <w:rsid w:val="009258B5"/>
    <w:rsid w:val="00930A67"/>
    <w:rsid w:val="00930E0E"/>
    <w:rsid w:val="009341A7"/>
    <w:rsid w:val="00934321"/>
    <w:rsid w:val="00934F50"/>
    <w:rsid w:val="009350F1"/>
    <w:rsid w:val="00936924"/>
    <w:rsid w:val="0093699C"/>
    <w:rsid w:val="00940077"/>
    <w:rsid w:val="0094095F"/>
    <w:rsid w:val="00941F68"/>
    <w:rsid w:val="0094278F"/>
    <w:rsid w:val="00943A87"/>
    <w:rsid w:val="00944DD6"/>
    <w:rsid w:val="00944F0A"/>
    <w:rsid w:val="0095288B"/>
    <w:rsid w:val="00953962"/>
    <w:rsid w:val="00953C68"/>
    <w:rsid w:val="00953F33"/>
    <w:rsid w:val="00954627"/>
    <w:rsid w:val="00955759"/>
    <w:rsid w:val="009561D5"/>
    <w:rsid w:val="00957B40"/>
    <w:rsid w:val="0096089E"/>
    <w:rsid w:val="00960BFE"/>
    <w:rsid w:val="0096189F"/>
    <w:rsid w:val="00961CD9"/>
    <w:rsid w:val="00963D3A"/>
    <w:rsid w:val="00971554"/>
    <w:rsid w:val="00971C4F"/>
    <w:rsid w:val="00974DBF"/>
    <w:rsid w:val="00975980"/>
    <w:rsid w:val="00975C3C"/>
    <w:rsid w:val="009769BB"/>
    <w:rsid w:val="0097742C"/>
    <w:rsid w:val="00981147"/>
    <w:rsid w:val="0098272E"/>
    <w:rsid w:val="00984284"/>
    <w:rsid w:val="009853D1"/>
    <w:rsid w:val="009875CF"/>
    <w:rsid w:val="009953C2"/>
    <w:rsid w:val="00995C96"/>
    <w:rsid w:val="00995CAE"/>
    <w:rsid w:val="00996555"/>
    <w:rsid w:val="0099681C"/>
    <w:rsid w:val="00996A92"/>
    <w:rsid w:val="00996F11"/>
    <w:rsid w:val="00997174"/>
    <w:rsid w:val="00997D19"/>
    <w:rsid w:val="009A05A7"/>
    <w:rsid w:val="009A200D"/>
    <w:rsid w:val="009A46BD"/>
    <w:rsid w:val="009A65A7"/>
    <w:rsid w:val="009A6A6F"/>
    <w:rsid w:val="009A79BF"/>
    <w:rsid w:val="009B00CA"/>
    <w:rsid w:val="009B0B85"/>
    <w:rsid w:val="009B18CE"/>
    <w:rsid w:val="009B3132"/>
    <w:rsid w:val="009B51D9"/>
    <w:rsid w:val="009B5C37"/>
    <w:rsid w:val="009C02BA"/>
    <w:rsid w:val="009C455D"/>
    <w:rsid w:val="009C595A"/>
    <w:rsid w:val="009C6402"/>
    <w:rsid w:val="009D3CBF"/>
    <w:rsid w:val="009D4813"/>
    <w:rsid w:val="009D582C"/>
    <w:rsid w:val="009D5F39"/>
    <w:rsid w:val="009D7813"/>
    <w:rsid w:val="009D7CF8"/>
    <w:rsid w:val="009E2893"/>
    <w:rsid w:val="009E442C"/>
    <w:rsid w:val="009E534F"/>
    <w:rsid w:val="009E62F8"/>
    <w:rsid w:val="009E655D"/>
    <w:rsid w:val="009E7635"/>
    <w:rsid w:val="009F1DB8"/>
    <w:rsid w:val="009F2231"/>
    <w:rsid w:val="009F25AD"/>
    <w:rsid w:val="009F3375"/>
    <w:rsid w:val="009F4770"/>
    <w:rsid w:val="009F5746"/>
    <w:rsid w:val="009F6DF0"/>
    <w:rsid w:val="009F6E77"/>
    <w:rsid w:val="00A0096E"/>
    <w:rsid w:val="00A00AC8"/>
    <w:rsid w:val="00A00AF8"/>
    <w:rsid w:val="00A047AA"/>
    <w:rsid w:val="00A05033"/>
    <w:rsid w:val="00A059A2"/>
    <w:rsid w:val="00A06279"/>
    <w:rsid w:val="00A06BB2"/>
    <w:rsid w:val="00A06C87"/>
    <w:rsid w:val="00A0753C"/>
    <w:rsid w:val="00A10034"/>
    <w:rsid w:val="00A10D0D"/>
    <w:rsid w:val="00A11144"/>
    <w:rsid w:val="00A1149F"/>
    <w:rsid w:val="00A116E7"/>
    <w:rsid w:val="00A11957"/>
    <w:rsid w:val="00A1294A"/>
    <w:rsid w:val="00A13810"/>
    <w:rsid w:val="00A15C56"/>
    <w:rsid w:val="00A17314"/>
    <w:rsid w:val="00A2097C"/>
    <w:rsid w:val="00A21856"/>
    <w:rsid w:val="00A21AF6"/>
    <w:rsid w:val="00A21ED0"/>
    <w:rsid w:val="00A2232A"/>
    <w:rsid w:val="00A2365B"/>
    <w:rsid w:val="00A24B11"/>
    <w:rsid w:val="00A24C8F"/>
    <w:rsid w:val="00A25F82"/>
    <w:rsid w:val="00A25FD5"/>
    <w:rsid w:val="00A26CD4"/>
    <w:rsid w:val="00A27BA1"/>
    <w:rsid w:val="00A31430"/>
    <w:rsid w:val="00A314D1"/>
    <w:rsid w:val="00A31844"/>
    <w:rsid w:val="00A33A37"/>
    <w:rsid w:val="00A344D0"/>
    <w:rsid w:val="00A358A0"/>
    <w:rsid w:val="00A42E20"/>
    <w:rsid w:val="00A43108"/>
    <w:rsid w:val="00A43128"/>
    <w:rsid w:val="00A431A0"/>
    <w:rsid w:val="00A43DED"/>
    <w:rsid w:val="00A504FC"/>
    <w:rsid w:val="00A50A05"/>
    <w:rsid w:val="00A51F73"/>
    <w:rsid w:val="00A542CB"/>
    <w:rsid w:val="00A545A3"/>
    <w:rsid w:val="00A54B01"/>
    <w:rsid w:val="00A54CD0"/>
    <w:rsid w:val="00A55413"/>
    <w:rsid w:val="00A5604D"/>
    <w:rsid w:val="00A5750B"/>
    <w:rsid w:val="00A60536"/>
    <w:rsid w:val="00A609F0"/>
    <w:rsid w:val="00A61948"/>
    <w:rsid w:val="00A63B60"/>
    <w:rsid w:val="00A64028"/>
    <w:rsid w:val="00A6552C"/>
    <w:rsid w:val="00A6720E"/>
    <w:rsid w:val="00A70366"/>
    <w:rsid w:val="00A72193"/>
    <w:rsid w:val="00A730C2"/>
    <w:rsid w:val="00A75EB1"/>
    <w:rsid w:val="00A767F1"/>
    <w:rsid w:val="00A76E9F"/>
    <w:rsid w:val="00A80409"/>
    <w:rsid w:val="00A80ACE"/>
    <w:rsid w:val="00A811EC"/>
    <w:rsid w:val="00A81DD8"/>
    <w:rsid w:val="00A831ED"/>
    <w:rsid w:val="00A84C03"/>
    <w:rsid w:val="00A8600D"/>
    <w:rsid w:val="00A86505"/>
    <w:rsid w:val="00A87E9C"/>
    <w:rsid w:val="00A90032"/>
    <w:rsid w:val="00A933AC"/>
    <w:rsid w:val="00A950A1"/>
    <w:rsid w:val="00A96030"/>
    <w:rsid w:val="00A97606"/>
    <w:rsid w:val="00A97DAA"/>
    <w:rsid w:val="00AA0256"/>
    <w:rsid w:val="00AB0F3E"/>
    <w:rsid w:val="00AB1773"/>
    <w:rsid w:val="00AB26B0"/>
    <w:rsid w:val="00AB3A7E"/>
    <w:rsid w:val="00AB4A6E"/>
    <w:rsid w:val="00AB548D"/>
    <w:rsid w:val="00AB63E2"/>
    <w:rsid w:val="00AB6F96"/>
    <w:rsid w:val="00AB7F5A"/>
    <w:rsid w:val="00AC0A7E"/>
    <w:rsid w:val="00AC0DCA"/>
    <w:rsid w:val="00AC413A"/>
    <w:rsid w:val="00AC6096"/>
    <w:rsid w:val="00AC7E4B"/>
    <w:rsid w:val="00AD03A6"/>
    <w:rsid w:val="00AD0C24"/>
    <w:rsid w:val="00AD19DC"/>
    <w:rsid w:val="00AD3674"/>
    <w:rsid w:val="00AD43F1"/>
    <w:rsid w:val="00AD4785"/>
    <w:rsid w:val="00AD4AB4"/>
    <w:rsid w:val="00AD5C04"/>
    <w:rsid w:val="00AD7E42"/>
    <w:rsid w:val="00AD7EB7"/>
    <w:rsid w:val="00AE2CED"/>
    <w:rsid w:val="00AE36F4"/>
    <w:rsid w:val="00AE3DD0"/>
    <w:rsid w:val="00AE4A1A"/>
    <w:rsid w:val="00AE5643"/>
    <w:rsid w:val="00AE6E6E"/>
    <w:rsid w:val="00AE73FA"/>
    <w:rsid w:val="00AF12FE"/>
    <w:rsid w:val="00AF21BC"/>
    <w:rsid w:val="00AF280F"/>
    <w:rsid w:val="00AF37C0"/>
    <w:rsid w:val="00AF43D6"/>
    <w:rsid w:val="00AF466E"/>
    <w:rsid w:val="00AF4E89"/>
    <w:rsid w:val="00AF5DA3"/>
    <w:rsid w:val="00AF6D40"/>
    <w:rsid w:val="00AF747D"/>
    <w:rsid w:val="00B01B04"/>
    <w:rsid w:val="00B036A8"/>
    <w:rsid w:val="00B06F0B"/>
    <w:rsid w:val="00B07C3A"/>
    <w:rsid w:val="00B111EA"/>
    <w:rsid w:val="00B15864"/>
    <w:rsid w:val="00B20A83"/>
    <w:rsid w:val="00B2157C"/>
    <w:rsid w:val="00B22AAF"/>
    <w:rsid w:val="00B22B66"/>
    <w:rsid w:val="00B22C60"/>
    <w:rsid w:val="00B2624F"/>
    <w:rsid w:val="00B263C4"/>
    <w:rsid w:val="00B26A61"/>
    <w:rsid w:val="00B2717B"/>
    <w:rsid w:val="00B27675"/>
    <w:rsid w:val="00B30C28"/>
    <w:rsid w:val="00B30ED9"/>
    <w:rsid w:val="00B32723"/>
    <w:rsid w:val="00B33229"/>
    <w:rsid w:val="00B34F2C"/>
    <w:rsid w:val="00B35277"/>
    <w:rsid w:val="00B37229"/>
    <w:rsid w:val="00B4069B"/>
    <w:rsid w:val="00B44B94"/>
    <w:rsid w:val="00B45BB9"/>
    <w:rsid w:val="00B464DC"/>
    <w:rsid w:val="00B47B31"/>
    <w:rsid w:val="00B51AF9"/>
    <w:rsid w:val="00B52BEE"/>
    <w:rsid w:val="00B5462C"/>
    <w:rsid w:val="00B55B05"/>
    <w:rsid w:val="00B621DE"/>
    <w:rsid w:val="00B63C19"/>
    <w:rsid w:val="00B63F2E"/>
    <w:rsid w:val="00B6640D"/>
    <w:rsid w:val="00B664A9"/>
    <w:rsid w:val="00B677B7"/>
    <w:rsid w:val="00B72E49"/>
    <w:rsid w:val="00B7403A"/>
    <w:rsid w:val="00B740F8"/>
    <w:rsid w:val="00B759D6"/>
    <w:rsid w:val="00B761B4"/>
    <w:rsid w:val="00B762B5"/>
    <w:rsid w:val="00B76C81"/>
    <w:rsid w:val="00B83896"/>
    <w:rsid w:val="00B84173"/>
    <w:rsid w:val="00B86BD2"/>
    <w:rsid w:val="00B86D3C"/>
    <w:rsid w:val="00B92605"/>
    <w:rsid w:val="00B966F2"/>
    <w:rsid w:val="00B96A72"/>
    <w:rsid w:val="00BA09A5"/>
    <w:rsid w:val="00BA1E27"/>
    <w:rsid w:val="00BA2389"/>
    <w:rsid w:val="00BA4330"/>
    <w:rsid w:val="00BA4D57"/>
    <w:rsid w:val="00BA5B04"/>
    <w:rsid w:val="00BA5D72"/>
    <w:rsid w:val="00BA62DE"/>
    <w:rsid w:val="00BA63C1"/>
    <w:rsid w:val="00BA73CF"/>
    <w:rsid w:val="00BB1616"/>
    <w:rsid w:val="00BB1C55"/>
    <w:rsid w:val="00BB2640"/>
    <w:rsid w:val="00BB4410"/>
    <w:rsid w:val="00BB4E92"/>
    <w:rsid w:val="00BB5586"/>
    <w:rsid w:val="00BB5688"/>
    <w:rsid w:val="00BB67ED"/>
    <w:rsid w:val="00BB700A"/>
    <w:rsid w:val="00BC098C"/>
    <w:rsid w:val="00BC1CFA"/>
    <w:rsid w:val="00BC2A17"/>
    <w:rsid w:val="00BC3CCB"/>
    <w:rsid w:val="00BC419A"/>
    <w:rsid w:val="00BC43BF"/>
    <w:rsid w:val="00BC64D5"/>
    <w:rsid w:val="00BC651E"/>
    <w:rsid w:val="00BC654E"/>
    <w:rsid w:val="00BC6EF3"/>
    <w:rsid w:val="00BC71F1"/>
    <w:rsid w:val="00BC7A48"/>
    <w:rsid w:val="00BD1DF9"/>
    <w:rsid w:val="00BD23AD"/>
    <w:rsid w:val="00BD2B82"/>
    <w:rsid w:val="00BD5C56"/>
    <w:rsid w:val="00BD6F57"/>
    <w:rsid w:val="00BE4251"/>
    <w:rsid w:val="00BE5E26"/>
    <w:rsid w:val="00BE7649"/>
    <w:rsid w:val="00BE7FC2"/>
    <w:rsid w:val="00BF2196"/>
    <w:rsid w:val="00BF3273"/>
    <w:rsid w:val="00BF5391"/>
    <w:rsid w:val="00BF54EC"/>
    <w:rsid w:val="00BF597A"/>
    <w:rsid w:val="00BF5C2E"/>
    <w:rsid w:val="00C00D02"/>
    <w:rsid w:val="00C00E28"/>
    <w:rsid w:val="00C00E75"/>
    <w:rsid w:val="00C00FA1"/>
    <w:rsid w:val="00C034E9"/>
    <w:rsid w:val="00C038BD"/>
    <w:rsid w:val="00C041B3"/>
    <w:rsid w:val="00C05711"/>
    <w:rsid w:val="00C07726"/>
    <w:rsid w:val="00C11279"/>
    <w:rsid w:val="00C11586"/>
    <w:rsid w:val="00C1235F"/>
    <w:rsid w:val="00C12748"/>
    <w:rsid w:val="00C129DB"/>
    <w:rsid w:val="00C1326A"/>
    <w:rsid w:val="00C13374"/>
    <w:rsid w:val="00C13CFF"/>
    <w:rsid w:val="00C1410C"/>
    <w:rsid w:val="00C15277"/>
    <w:rsid w:val="00C17202"/>
    <w:rsid w:val="00C178F0"/>
    <w:rsid w:val="00C201E6"/>
    <w:rsid w:val="00C20F59"/>
    <w:rsid w:val="00C26B8C"/>
    <w:rsid w:val="00C27C0F"/>
    <w:rsid w:val="00C3024B"/>
    <w:rsid w:val="00C31557"/>
    <w:rsid w:val="00C321E1"/>
    <w:rsid w:val="00C33B23"/>
    <w:rsid w:val="00C33C89"/>
    <w:rsid w:val="00C345FB"/>
    <w:rsid w:val="00C34FC8"/>
    <w:rsid w:val="00C365F2"/>
    <w:rsid w:val="00C404E7"/>
    <w:rsid w:val="00C4065E"/>
    <w:rsid w:val="00C40E34"/>
    <w:rsid w:val="00C411AC"/>
    <w:rsid w:val="00C417B9"/>
    <w:rsid w:val="00C41A28"/>
    <w:rsid w:val="00C43B2B"/>
    <w:rsid w:val="00C43C8E"/>
    <w:rsid w:val="00C45439"/>
    <w:rsid w:val="00C50902"/>
    <w:rsid w:val="00C51042"/>
    <w:rsid w:val="00C53716"/>
    <w:rsid w:val="00C5433A"/>
    <w:rsid w:val="00C572BF"/>
    <w:rsid w:val="00C6094D"/>
    <w:rsid w:val="00C628C2"/>
    <w:rsid w:val="00C638B5"/>
    <w:rsid w:val="00C6435A"/>
    <w:rsid w:val="00C6448D"/>
    <w:rsid w:val="00C64EA5"/>
    <w:rsid w:val="00C64F3D"/>
    <w:rsid w:val="00C669F3"/>
    <w:rsid w:val="00C672B1"/>
    <w:rsid w:val="00C676BA"/>
    <w:rsid w:val="00C707B6"/>
    <w:rsid w:val="00C7116D"/>
    <w:rsid w:val="00C71EA1"/>
    <w:rsid w:val="00C73412"/>
    <w:rsid w:val="00C745B7"/>
    <w:rsid w:val="00C77902"/>
    <w:rsid w:val="00C80BEA"/>
    <w:rsid w:val="00C8159A"/>
    <w:rsid w:val="00C82D14"/>
    <w:rsid w:val="00C8395A"/>
    <w:rsid w:val="00C87339"/>
    <w:rsid w:val="00C87B26"/>
    <w:rsid w:val="00C9037D"/>
    <w:rsid w:val="00C9085D"/>
    <w:rsid w:val="00C908B3"/>
    <w:rsid w:val="00C912B0"/>
    <w:rsid w:val="00C91386"/>
    <w:rsid w:val="00C9177F"/>
    <w:rsid w:val="00C91E41"/>
    <w:rsid w:val="00C9366F"/>
    <w:rsid w:val="00C9541E"/>
    <w:rsid w:val="00C967C5"/>
    <w:rsid w:val="00C96A86"/>
    <w:rsid w:val="00CA11BB"/>
    <w:rsid w:val="00CA1CB6"/>
    <w:rsid w:val="00CA2722"/>
    <w:rsid w:val="00CA337D"/>
    <w:rsid w:val="00CA3981"/>
    <w:rsid w:val="00CA3A4C"/>
    <w:rsid w:val="00CA439F"/>
    <w:rsid w:val="00CA6762"/>
    <w:rsid w:val="00CA7EA9"/>
    <w:rsid w:val="00CB0439"/>
    <w:rsid w:val="00CB0F4F"/>
    <w:rsid w:val="00CB1A2D"/>
    <w:rsid w:val="00CB307F"/>
    <w:rsid w:val="00CB4E2E"/>
    <w:rsid w:val="00CB59DC"/>
    <w:rsid w:val="00CC2080"/>
    <w:rsid w:val="00CC25F5"/>
    <w:rsid w:val="00CC2C82"/>
    <w:rsid w:val="00CC3B6F"/>
    <w:rsid w:val="00CC7186"/>
    <w:rsid w:val="00CC75DD"/>
    <w:rsid w:val="00CD05C6"/>
    <w:rsid w:val="00CD3716"/>
    <w:rsid w:val="00CE194F"/>
    <w:rsid w:val="00CE22CC"/>
    <w:rsid w:val="00CE3460"/>
    <w:rsid w:val="00CE3B94"/>
    <w:rsid w:val="00CE5F31"/>
    <w:rsid w:val="00CE6FF5"/>
    <w:rsid w:val="00CE74B6"/>
    <w:rsid w:val="00CE7B3F"/>
    <w:rsid w:val="00CF0A0C"/>
    <w:rsid w:val="00CF1E05"/>
    <w:rsid w:val="00CF2594"/>
    <w:rsid w:val="00CF29A6"/>
    <w:rsid w:val="00CF32CF"/>
    <w:rsid w:val="00CF49FD"/>
    <w:rsid w:val="00CF4B92"/>
    <w:rsid w:val="00CF7302"/>
    <w:rsid w:val="00D01059"/>
    <w:rsid w:val="00D01C12"/>
    <w:rsid w:val="00D03905"/>
    <w:rsid w:val="00D03C05"/>
    <w:rsid w:val="00D06B9D"/>
    <w:rsid w:val="00D06C8D"/>
    <w:rsid w:val="00D07BBA"/>
    <w:rsid w:val="00D139E9"/>
    <w:rsid w:val="00D15847"/>
    <w:rsid w:val="00D171FA"/>
    <w:rsid w:val="00D175AE"/>
    <w:rsid w:val="00D2258A"/>
    <w:rsid w:val="00D2443F"/>
    <w:rsid w:val="00D24DF5"/>
    <w:rsid w:val="00D271E8"/>
    <w:rsid w:val="00D3077A"/>
    <w:rsid w:val="00D30D41"/>
    <w:rsid w:val="00D30EB7"/>
    <w:rsid w:val="00D312F4"/>
    <w:rsid w:val="00D328CD"/>
    <w:rsid w:val="00D338B2"/>
    <w:rsid w:val="00D33A92"/>
    <w:rsid w:val="00D33BA6"/>
    <w:rsid w:val="00D3451D"/>
    <w:rsid w:val="00D34DDB"/>
    <w:rsid w:val="00D366BC"/>
    <w:rsid w:val="00D36F61"/>
    <w:rsid w:val="00D400C6"/>
    <w:rsid w:val="00D41AFD"/>
    <w:rsid w:val="00D42AED"/>
    <w:rsid w:val="00D4419D"/>
    <w:rsid w:val="00D445DB"/>
    <w:rsid w:val="00D44829"/>
    <w:rsid w:val="00D459BA"/>
    <w:rsid w:val="00D45A1C"/>
    <w:rsid w:val="00D45C0B"/>
    <w:rsid w:val="00D46EA0"/>
    <w:rsid w:val="00D501DF"/>
    <w:rsid w:val="00D51908"/>
    <w:rsid w:val="00D521A0"/>
    <w:rsid w:val="00D53A17"/>
    <w:rsid w:val="00D5566B"/>
    <w:rsid w:val="00D559DC"/>
    <w:rsid w:val="00D55C19"/>
    <w:rsid w:val="00D56219"/>
    <w:rsid w:val="00D6079D"/>
    <w:rsid w:val="00D62AA2"/>
    <w:rsid w:val="00D62F7E"/>
    <w:rsid w:val="00D64A0D"/>
    <w:rsid w:val="00D7245E"/>
    <w:rsid w:val="00D72530"/>
    <w:rsid w:val="00D72AE8"/>
    <w:rsid w:val="00D737C5"/>
    <w:rsid w:val="00D7454E"/>
    <w:rsid w:val="00D76A32"/>
    <w:rsid w:val="00D7731F"/>
    <w:rsid w:val="00D81092"/>
    <w:rsid w:val="00D831EE"/>
    <w:rsid w:val="00D845B2"/>
    <w:rsid w:val="00D87355"/>
    <w:rsid w:val="00D9074D"/>
    <w:rsid w:val="00D90FE5"/>
    <w:rsid w:val="00D9196E"/>
    <w:rsid w:val="00D9556C"/>
    <w:rsid w:val="00D97B09"/>
    <w:rsid w:val="00DA09C4"/>
    <w:rsid w:val="00DA214D"/>
    <w:rsid w:val="00DA4A55"/>
    <w:rsid w:val="00DA4E13"/>
    <w:rsid w:val="00DA58C1"/>
    <w:rsid w:val="00DA7000"/>
    <w:rsid w:val="00DA705C"/>
    <w:rsid w:val="00DB2141"/>
    <w:rsid w:val="00DB5B6C"/>
    <w:rsid w:val="00DB7159"/>
    <w:rsid w:val="00DB7D2B"/>
    <w:rsid w:val="00DB7E18"/>
    <w:rsid w:val="00DC1279"/>
    <w:rsid w:val="00DC274E"/>
    <w:rsid w:val="00DC2CCC"/>
    <w:rsid w:val="00DC70B0"/>
    <w:rsid w:val="00DC79D3"/>
    <w:rsid w:val="00DC7C11"/>
    <w:rsid w:val="00DD00CC"/>
    <w:rsid w:val="00DD06E7"/>
    <w:rsid w:val="00DD0A73"/>
    <w:rsid w:val="00DD36FB"/>
    <w:rsid w:val="00DD4930"/>
    <w:rsid w:val="00DE05E9"/>
    <w:rsid w:val="00DE08F5"/>
    <w:rsid w:val="00DE1237"/>
    <w:rsid w:val="00DE7059"/>
    <w:rsid w:val="00DF05C4"/>
    <w:rsid w:val="00DF168E"/>
    <w:rsid w:val="00DF4BC5"/>
    <w:rsid w:val="00DF5058"/>
    <w:rsid w:val="00DF5F90"/>
    <w:rsid w:val="00DF66A2"/>
    <w:rsid w:val="00DF70F1"/>
    <w:rsid w:val="00DF7131"/>
    <w:rsid w:val="00E00E46"/>
    <w:rsid w:val="00E02B77"/>
    <w:rsid w:val="00E03FFC"/>
    <w:rsid w:val="00E04027"/>
    <w:rsid w:val="00E0499C"/>
    <w:rsid w:val="00E05D62"/>
    <w:rsid w:val="00E05FB3"/>
    <w:rsid w:val="00E073D7"/>
    <w:rsid w:val="00E101F6"/>
    <w:rsid w:val="00E1045F"/>
    <w:rsid w:val="00E117BE"/>
    <w:rsid w:val="00E118E0"/>
    <w:rsid w:val="00E13E4A"/>
    <w:rsid w:val="00E14F9C"/>
    <w:rsid w:val="00E2061F"/>
    <w:rsid w:val="00E210BC"/>
    <w:rsid w:val="00E2367F"/>
    <w:rsid w:val="00E23979"/>
    <w:rsid w:val="00E23AE6"/>
    <w:rsid w:val="00E23FCE"/>
    <w:rsid w:val="00E24633"/>
    <w:rsid w:val="00E30282"/>
    <w:rsid w:val="00E33BC6"/>
    <w:rsid w:val="00E34CFF"/>
    <w:rsid w:val="00E359D5"/>
    <w:rsid w:val="00E3727A"/>
    <w:rsid w:val="00E406B5"/>
    <w:rsid w:val="00E40711"/>
    <w:rsid w:val="00E40B6C"/>
    <w:rsid w:val="00E411AD"/>
    <w:rsid w:val="00E41554"/>
    <w:rsid w:val="00E418E0"/>
    <w:rsid w:val="00E41C85"/>
    <w:rsid w:val="00E4263D"/>
    <w:rsid w:val="00E43591"/>
    <w:rsid w:val="00E442E6"/>
    <w:rsid w:val="00E45C3F"/>
    <w:rsid w:val="00E50EF7"/>
    <w:rsid w:val="00E5197D"/>
    <w:rsid w:val="00E51FD1"/>
    <w:rsid w:val="00E550E4"/>
    <w:rsid w:val="00E552DB"/>
    <w:rsid w:val="00E55519"/>
    <w:rsid w:val="00E61634"/>
    <w:rsid w:val="00E616EE"/>
    <w:rsid w:val="00E61C15"/>
    <w:rsid w:val="00E623E8"/>
    <w:rsid w:val="00E650A7"/>
    <w:rsid w:val="00E650E2"/>
    <w:rsid w:val="00E65C96"/>
    <w:rsid w:val="00E65D5A"/>
    <w:rsid w:val="00E6750A"/>
    <w:rsid w:val="00E679BE"/>
    <w:rsid w:val="00E67C6F"/>
    <w:rsid w:val="00E70162"/>
    <w:rsid w:val="00E70B14"/>
    <w:rsid w:val="00E71B16"/>
    <w:rsid w:val="00E721CD"/>
    <w:rsid w:val="00E72F93"/>
    <w:rsid w:val="00E7378D"/>
    <w:rsid w:val="00E75AD6"/>
    <w:rsid w:val="00E7616B"/>
    <w:rsid w:val="00E7659A"/>
    <w:rsid w:val="00E77F67"/>
    <w:rsid w:val="00E81D86"/>
    <w:rsid w:val="00E81F6F"/>
    <w:rsid w:val="00E82842"/>
    <w:rsid w:val="00E836AA"/>
    <w:rsid w:val="00E839D3"/>
    <w:rsid w:val="00E83E9B"/>
    <w:rsid w:val="00E8415E"/>
    <w:rsid w:val="00E84781"/>
    <w:rsid w:val="00E85423"/>
    <w:rsid w:val="00E8664A"/>
    <w:rsid w:val="00E87566"/>
    <w:rsid w:val="00E901FD"/>
    <w:rsid w:val="00E9484D"/>
    <w:rsid w:val="00E95068"/>
    <w:rsid w:val="00EA16CD"/>
    <w:rsid w:val="00EA29A1"/>
    <w:rsid w:val="00EA48EB"/>
    <w:rsid w:val="00EA51D6"/>
    <w:rsid w:val="00EA5DBA"/>
    <w:rsid w:val="00EA6C42"/>
    <w:rsid w:val="00EA718A"/>
    <w:rsid w:val="00EA77FC"/>
    <w:rsid w:val="00EA7F32"/>
    <w:rsid w:val="00EB0512"/>
    <w:rsid w:val="00EB105B"/>
    <w:rsid w:val="00EB1E5D"/>
    <w:rsid w:val="00EB2501"/>
    <w:rsid w:val="00EB37DD"/>
    <w:rsid w:val="00EB7478"/>
    <w:rsid w:val="00EB7D6A"/>
    <w:rsid w:val="00EB7DD5"/>
    <w:rsid w:val="00EC2A1C"/>
    <w:rsid w:val="00EC2EDF"/>
    <w:rsid w:val="00EC5BB2"/>
    <w:rsid w:val="00EC7A37"/>
    <w:rsid w:val="00ED0614"/>
    <w:rsid w:val="00ED0F0C"/>
    <w:rsid w:val="00ED121D"/>
    <w:rsid w:val="00ED1475"/>
    <w:rsid w:val="00ED29FD"/>
    <w:rsid w:val="00ED2AD0"/>
    <w:rsid w:val="00ED2BE3"/>
    <w:rsid w:val="00ED2C07"/>
    <w:rsid w:val="00ED44AB"/>
    <w:rsid w:val="00ED4817"/>
    <w:rsid w:val="00ED6A68"/>
    <w:rsid w:val="00ED6F01"/>
    <w:rsid w:val="00ED713C"/>
    <w:rsid w:val="00ED77A7"/>
    <w:rsid w:val="00ED7CA2"/>
    <w:rsid w:val="00ED7F62"/>
    <w:rsid w:val="00EE06FA"/>
    <w:rsid w:val="00EE1387"/>
    <w:rsid w:val="00EE2C88"/>
    <w:rsid w:val="00EE339A"/>
    <w:rsid w:val="00EE3542"/>
    <w:rsid w:val="00EE3951"/>
    <w:rsid w:val="00EE4171"/>
    <w:rsid w:val="00EE57D5"/>
    <w:rsid w:val="00EE5E43"/>
    <w:rsid w:val="00EE6AAB"/>
    <w:rsid w:val="00EE6D43"/>
    <w:rsid w:val="00EE7A3E"/>
    <w:rsid w:val="00EF075D"/>
    <w:rsid w:val="00EF15AF"/>
    <w:rsid w:val="00EF17BB"/>
    <w:rsid w:val="00EF2187"/>
    <w:rsid w:val="00EF3806"/>
    <w:rsid w:val="00EF5AAD"/>
    <w:rsid w:val="00EF67E8"/>
    <w:rsid w:val="00EF67F1"/>
    <w:rsid w:val="00F04F35"/>
    <w:rsid w:val="00F05AC4"/>
    <w:rsid w:val="00F06122"/>
    <w:rsid w:val="00F06536"/>
    <w:rsid w:val="00F07012"/>
    <w:rsid w:val="00F0768F"/>
    <w:rsid w:val="00F11B02"/>
    <w:rsid w:val="00F12863"/>
    <w:rsid w:val="00F20152"/>
    <w:rsid w:val="00F207ED"/>
    <w:rsid w:val="00F21639"/>
    <w:rsid w:val="00F24BF5"/>
    <w:rsid w:val="00F25776"/>
    <w:rsid w:val="00F25A58"/>
    <w:rsid w:val="00F277DF"/>
    <w:rsid w:val="00F27A52"/>
    <w:rsid w:val="00F3018A"/>
    <w:rsid w:val="00F301F2"/>
    <w:rsid w:val="00F30E8B"/>
    <w:rsid w:val="00F31C8E"/>
    <w:rsid w:val="00F31D50"/>
    <w:rsid w:val="00F31F02"/>
    <w:rsid w:val="00F32C13"/>
    <w:rsid w:val="00F36E8B"/>
    <w:rsid w:val="00F37161"/>
    <w:rsid w:val="00F379C1"/>
    <w:rsid w:val="00F413A0"/>
    <w:rsid w:val="00F41774"/>
    <w:rsid w:val="00F4327B"/>
    <w:rsid w:val="00F44575"/>
    <w:rsid w:val="00F4520D"/>
    <w:rsid w:val="00F45CB4"/>
    <w:rsid w:val="00F4627A"/>
    <w:rsid w:val="00F508BA"/>
    <w:rsid w:val="00F51A89"/>
    <w:rsid w:val="00F52905"/>
    <w:rsid w:val="00F53D22"/>
    <w:rsid w:val="00F54C70"/>
    <w:rsid w:val="00F56B86"/>
    <w:rsid w:val="00F57D94"/>
    <w:rsid w:val="00F60FFB"/>
    <w:rsid w:val="00F61CAD"/>
    <w:rsid w:val="00F62019"/>
    <w:rsid w:val="00F63840"/>
    <w:rsid w:val="00F64832"/>
    <w:rsid w:val="00F671E3"/>
    <w:rsid w:val="00F67F13"/>
    <w:rsid w:val="00F718FE"/>
    <w:rsid w:val="00F71C21"/>
    <w:rsid w:val="00F71CD4"/>
    <w:rsid w:val="00F72C71"/>
    <w:rsid w:val="00F72DE8"/>
    <w:rsid w:val="00F738C9"/>
    <w:rsid w:val="00F806C3"/>
    <w:rsid w:val="00F82510"/>
    <w:rsid w:val="00F82C9C"/>
    <w:rsid w:val="00F83A3C"/>
    <w:rsid w:val="00F83C31"/>
    <w:rsid w:val="00F87A58"/>
    <w:rsid w:val="00F90B18"/>
    <w:rsid w:val="00F92C34"/>
    <w:rsid w:val="00F92F44"/>
    <w:rsid w:val="00F956A9"/>
    <w:rsid w:val="00F9693A"/>
    <w:rsid w:val="00F97345"/>
    <w:rsid w:val="00F97C79"/>
    <w:rsid w:val="00FA03C6"/>
    <w:rsid w:val="00FA0442"/>
    <w:rsid w:val="00FA242B"/>
    <w:rsid w:val="00FA4393"/>
    <w:rsid w:val="00FA48F1"/>
    <w:rsid w:val="00FA4E5F"/>
    <w:rsid w:val="00FA52B4"/>
    <w:rsid w:val="00FA6E4A"/>
    <w:rsid w:val="00FB0115"/>
    <w:rsid w:val="00FB1758"/>
    <w:rsid w:val="00FB1C00"/>
    <w:rsid w:val="00FB1CA6"/>
    <w:rsid w:val="00FB1DB3"/>
    <w:rsid w:val="00FB22D2"/>
    <w:rsid w:val="00FB2B2E"/>
    <w:rsid w:val="00FB38A6"/>
    <w:rsid w:val="00FB411A"/>
    <w:rsid w:val="00FB5B82"/>
    <w:rsid w:val="00FB5CAB"/>
    <w:rsid w:val="00FB6279"/>
    <w:rsid w:val="00FB7D63"/>
    <w:rsid w:val="00FC04CD"/>
    <w:rsid w:val="00FC233D"/>
    <w:rsid w:val="00FC28DC"/>
    <w:rsid w:val="00FC5DE4"/>
    <w:rsid w:val="00FC7979"/>
    <w:rsid w:val="00FD2279"/>
    <w:rsid w:val="00FD4D62"/>
    <w:rsid w:val="00FD54D3"/>
    <w:rsid w:val="00FD5A34"/>
    <w:rsid w:val="00FE101D"/>
    <w:rsid w:val="00FE2179"/>
    <w:rsid w:val="00FE6B04"/>
    <w:rsid w:val="00FF139D"/>
    <w:rsid w:val="00FF1759"/>
    <w:rsid w:val="00FF18AC"/>
    <w:rsid w:val="00FF1DCD"/>
    <w:rsid w:val="00FF2B00"/>
    <w:rsid w:val="00FF2CAD"/>
    <w:rsid w:val="00FF3257"/>
    <w:rsid w:val="00FF3E8A"/>
    <w:rsid w:val="00FF546B"/>
    <w:rsid w:val="00FF5F41"/>
    <w:rsid w:val="00FF6ADC"/>
    <w:rsid w:val="033C89C4"/>
    <w:rsid w:val="0A3087B5"/>
    <w:rsid w:val="0EDC9EC5"/>
    <w:rsid w:val="12AAA020"/>
    <w:rsid w:val="162A8409"/>
    <w:rsid w:val="199ACC31"/>
    <w:rsid w:val="202124AF"/>
    <w:rsid w:val="20838971"/>
    <w:rsid w:val="2439D125"/>
    <w:rsid w:val="2B4E9BBA"/>
    <w:rsid w:val="2FE41A7A"/>
    <w:rsid w:val="373970FB"/>
    <w:rsid w:val="39A7EE6C"/>
    <w:rsid w:val="3FA9FEDA"/>
    <w:rsid w:val="464A96FB"/>
    <w:rsid w:val="483C2759"/>
    <w:rsid w:val="4AFAF53B"/>
    <w:rsid w:val="506E90D3"/>
    <w:rsid w:val="6630BF46"/>
    <w:rsid w:val="6BC90E50"/>
    <w:rsid w:val="6E88B459"/>
    <w:rsid w:val="7B52F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A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B5C"/>
    <w:pPr>
      <w:spacing w:before="120" w:after="200" w:line="276" w:lineRule="auto"/>
    </w:pPr>
  </w:style>
  <w:style w:type="paragraph" w:styleId="Heading1">
    <w:name w:val="heading 1"/>
    <w:basedOn w:val="Normal"/>
    <w:next w:val="Normal"/>
    <w:link w:val="Heading1Char"/>
    <w:uiPriority w:val="9"/>
    <w:qFormat/>
    <w:rsid w:val="00286BCC"/>
    <w:pPr>
      <w:keepNext/>
      <w:keepLines/>
      <w:spacing w:before="600"/>
      <w:outlineLvl w:val="0"/>
    </w:pPr>
    <w:rPr>
      <w:b/>
      <w:sz w:val="32"/>
    </w:rPr>
  </w:style>
  <w:style w:type="paragraph" w:styleId="Heading2">
    <w:name w:val="heading 2"/>
    <w:basedOn w:val="Normal"/>
    <w:next w:val="Normal"/>
    <w:link w:val="Heading2Char"/>
    <w:uiPriority w:val="9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E3727A"/>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6BCC"/>
    <w:pPr>
      <w:spacing w:before="480" w:after="240"/>
      <w:jc w:val="center"/>
    </w:pPr>
    <w:rPr>
      <w:b/>
      <w:sz w:val="40"/>
      <w:szCs w:val="40"/>
    </w:rPr>
  </w:style>
  <w:style w:type="character" w:customStyle="1" w:styleId="TitleChar">
    <w:name w:val="Title Char"/>
    <w:basedOn w:val="DefaultParagraphFont"/>
    <w:link w:val="Title"/>
    <w:uiPriority w:val="10"/>
    <w:rsid w:val="00286BCC"/>
    <w:rPr>
      <w:b/>
      <w:sz w:val="40"/>
      <w:szCs w:val="40"/>
    </w:rPr>
  </w:style>
  <w:style w:type="paragraph" w:styleId="Subtitle">
    <w:name w:val="Subtitle"/>
    <w:basedOn w:val="Normal"/>
    <w:next w:val="Normal"/>
    <w:link w:val="SubtitleChar"/>
    <w:uiPriority w:val="11"/>
    <w:qFormat/>
    <w:rsid w:val="001A6E8E"/>
    <w:pPr>
      <w:jc w:val="center"/>
    </w:pPr>
    <w:rPr>
      <w:rFonts w:cs="Arial"/>
      <w:b/>
      <w:w w:val="105"/>
      <w:sz w:val="36"/>
      <w:szCs w:val="36"/>
    </w:rPr>
  </w:style>
  <w:style w:type="character" w:customStyle="1" w:styleId="SubtitleChar">
    <w:name w:val="Subtitle Char"/>
    <w:basedOn w:val="DefaultParagraphFont"/>
    <w:link w:val="Subtitle"/>
    <w:uiPriority w:val="11"/>
    <w:rsid w:val="001A6E8E"/>
    <w:rPr>
      <w:rFonts w:cs="Arial"/>
      <w:b/>
      <w:w w:val="105"/>
      <w:sz w:val="36"/>
      <w:szCs w:val="36"/>
    </w:rPr>
  </w:style>
  <w:style w:type="character" w:customStyle="1" w:styleId="Heading1Char">
    <w:name w:val="Heading 1 Char"/>
    <w:basedOn w:val="DefaultParagraphFont"/>
    <w:link w:val="Heading1"/>
    <w:uiPriority w:val="9"/>
    <w:rsid w:val="00286BCC"/>
    <w:rPr>
      <w:b/>
      <w:sz w:val="32"/>
    </w:rPr>
  </w:style>
  <w:style w:type="character" w:customStyle="1" w:styleId="Heading2Char">
    <w:name w:val="Heading 2 Char"/>
    <w:basedOn w:val="DefaultParagraphFont"/>
    <w:link w:val="Heading2"/>
    <w:uiPriority w:val="99"/>
    <w:rsid w:val="00895F20"/>
    <w:rPr>
      <w:b/>
      <w:sz w:val="28"/>
    </w:rPr>
  </w:style>
  <w:style w:type="character" w:customStyle="1" w:styleId="Heading3Char">
    <w:name w:val="Heading 3 Char"/>
    <w:basedOn w:val="DefaultParagraphFont"/>
    <w:link w:val="Heading3"/>
    <w:uiPriority w:val="9"/>
    <w:rsid w:val="00E3727A"/>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3303EF"/>
    <w:pPr>
      <w:numPr>
        <w:numId w:val="1"/>
      </w:numPr>
      <w:spacing w:before="0"/>
    </w:pPr>
    <w:rPr>
      <w:rFonts w:cs="Arial"/>
    </w:r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table" w:customStyle="1" w:styleId="TableGrid2">
    <w:name w:val="Table Grid2"/>
    <w:basedOn w:val="TableNormal"/>
    <w:next w:val="TableGrid"/>
    <w:uiPriority w:val="59"/>
    <w:rsid w:val="00A13810"/>
    <w:rPr>
      <w:rFonts w:asciiTheme="minorHAnsi" w:eastAsia="Calibr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381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13810"/>
    <w:pPr>
      <w:spacing w:before="0" w:after="0"/>
    </w:pPr>
    <w:rPr>
      <w:rFonts w:eastAsiaTheme="minorEastAsia" w:cs="Arial"/>
      <w:sz w:val="20"/>
      <w:szCs w:val="20"/>
    </w:rPr>
  </w:style>
  <w:style w:type="character" w:customStyle="1" w:styleId="FootnoteTextChar">
    <w:name w:val="Footnote Text Char"/>
    <w:basedOn w:val="DefaultParagraphFont"/>
    <w:link w:val="FootnoteText"/>
    <w:uiPriority w:val="99"/>
    <w:rsid w:val="00A13810"/>
    <w:rPr>
      <w:rFonts w:eastAsiaTheme="minorEastAsia" w:cs="Arial"/>
      <w:sz w:val="20"/>
      <w:szCs w:val="20"/>
    </w:rPr>
  </w:style>
  <w:style w:type="character" w:styleId="FootnoteReference">
    <w:name w:val="footnote reference"/>
    <w:basedOn w:val="DefaultParagraphFont"/>
    <w:uiPriority w:val="99"/>
    <w:unhideWhenUsed/>
    <w:rsid w:val="00A13810"/>
    <w:rPr>
      <w:vertAlign w:val="superscript"/>
    </w:rPr>
  </w:style>
  <w:style w:type="paragraph" w:customStyle="1" w:styleId="Tablecaption">
    <w:name w:val="Table caption"/>
    <w:basedOn w:val="Normal"/>
    <w:qFormat/>
    <w:rsid w:val="00052839"/>
    <w:pPr>
      <w:keepNext/>
      <w:keepLines/>
    </w:pPr>
    <w:rPr>
      <w:rFonts w:eastAsia="Calibri" w:cs="Arial"/>
      <w:b/>
    </w:rPr>
  </w:style>
  <w:style w:type="paragraph" w:styleId="BalloonText">
    <w:name w:val="Balloon Text"/>
    <w:basedOn w:val="Normal"/>
    <w:link w:val="BalloonTextChar"/>
    <w:uiPriority w:val="99"/>
    <w:semiHidden/>
    <w:unhideWhenUsed/>
    <w:rsid w:val="00BD5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C56"/>
    <w:rPr>
      <w:rFonts w:ascii="Tahoma" w:hAnsi="Tahoma" w:cs="Tahoma"/>
      <w:sz w:val="16"/>
      <w:szCs w:val="16"/>
    </w:rPr>
  </w:style>
  <w:style w:type="paragraph" w:styleId="BodyText">
    <w:name w:val="Body Text"/>
    <w:basedOn w:val="Normal"/>
    <w:link w:val="BodyTextChar"/>
    <w:uiPriority w:val="1"/>
    <w:qFormat/>
    <w:rsid w:val="001A6E8E"/>
    <w:pPr>
      <w:widowControl w:val="0"/>
      <w:spacing w:before="0" w:after="0"/>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1A6E8E"/>
    <w:rPr>
      <w:rFonts w:ascii="Calibri" w:eastAsia="Calibri" w:hAnsi="Calibri" w:cs="Calibri"/>
      <w:sz w:val="20"/>
      <w:szCs w:val="20"/>
      <w:lang w:val="en-US"/>
    </w:rPr>
  </w:style>
  <w:style w:type="character" w:styleId="Hyperlink">
    <w:name w:val="Hyperlink"/>
    <w:basedOn w:val="DefaultParagraphFont"/>
    <w:uiPriority w:val="99"/>
    <w:unhideWhenUsed/>
    <w:rsid w:val="005F1E01"/>
    <w:rPr>
      <w:color w:val="0000FF" w:themeColor="hyperlink"/>
      <w:u w:val="single"/>
    </w:rPr>
  </w:style>
  <w:style w:type="paragraph" w:styleId="ListParagraph">
    <w:name w:val="List Paragraph"/>
    <w:aliases w:val="NFP GP Bulleted List,List Paragraph1,Recommendation,#List Paragraph,List Paragraph11,L,Table Dots,List Paragraph - bullets,Use Case List Paragraph,Bullet point,Bullet Level 1,Bullet Point,Bulletr List Paragraph,Content descriptions,リスト段落"/>
    <w:basedOn w:val="Normal"/>
    <w:link w:val="ListParagraphChar"/>
    <w:uiPriority w:val="34"/>
    <w:qFormat/>
    <w:rsid w:val="00353786"/>
    <w:pPr>
      <w:ind w:left="720"/>
      <w:contextualSpacing/>
    </w:pPr>
  </w:style>
  <w:style w:type="paragraph" w:customStyle="1" w:styleId="ACSAANormal">
    <w:name w:val="ACSAA Normal"/>
    <w:basedOn w:val="Normal"/>
    <w:rsid w:val="00353786"/>
    <w:pPr>
      <w:spacing w:before="0" w:after="0"/>
    </w:pPr>
    <w:rPr>
      <w:rFonts w:cs="Arial"/>
    </w:rPr>
  </w:style>
  <w:style w:type="character" w:styleId="Emphasis">
    <w:name w:val="Emphasis"/>
    <w:uiPriority w:val="20"/>
    <w:qFormat/>
    <w:rsid w:val="00353786"/>
    <w:rPr>
      <w:rFonts w:ascii="Arial" w:hAnsi="Arial" w:cs="Arial"/>
      <w:b/>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Bullet point Char,Bullet Level 1 Char"/>
    <w:basedOn w:val="DefaultParagraphFont"/>
    <w:link w:val="ListParagraph"/>
    <w:uiPriority w:val="34"/>
    <w:qFormat/>
    <w:locked/>
    <w:rsid w:val="00353786"/>
    <w:rPr>
      <w:sz w:val="24"/>
    </w:rPr>
  </w:style>
  <w:style w:type="character" w:styleId="CommentReference">
    <w:name w:val="annotation reference"/>
    <w:basedOn w:val="DefaultParagraphFont"/>
    <w:uiPriority w:val="99"/>
    <w:semiHidden/>
    <w:unhideWhenUsed/>
    <w:rsid w:val="00846920"/>
    <w:rPr>
      <w:sz w:val="16"/>
      <w:szCs w:val="16"/>
    </w:rPr>
  </w:style>
  <w:style w:type="paragraph" w:styleId="CommentText">
    <w:name w:val="annotation text"/>
    <w:basedOn w:val="Normal"/>
    <w:link w:val="CommentTextChar"/>
    <w:uiPriority w:val="99"/>
    <w:unhideWhenUsed/>
    <w:rsid w:val="00846920"/>
    <w:pPr>
      <w:spacing w:line="240" w:lineRule="auto"/>
    </w:pPr>
    <w:rPr>
      <w:sz w:val="20"/>
      <w:szCs w:val="20"/>
    </w:rPr>
  </w:style>
  <w:style w:type="character" w:customStyle="1" w:styleId="CommentTextChar">
    <w:name w:val="Comment Text Char"/>
    <w:basedOn w:val="DefaultParagraphFont"/>
    <w:link w:val="CommentText"/>
    <w:uiPriority w:val="99"/>
    <w:rsid w:val="00846920"/>
    <w:rPr>
      <w:sz w:val="20"/>
      <w:szCs w:val="20"/>
    </w:rPr>
  </w:style>
  <w:style w:type="paragraph" w:styleId="CommentSubject">
    <w:name w:val="annotation subject"/>
    <w:basedOn w:val="CommentText"/>
    <w:next w:val="CommentText"/>
    <w:link w:val="CommentSubjectChar"/>
    <w:uiPriority w:val="99"/>
    <w:semiHidden/>
    <w:unhideWhenUsed/>
    <w:rsid w:val="00846920"/>
    <w:rPr>
      <w:b/>
      <w:bCs/>
    </w:rPr>
  </w:style>
  <w:style w:type="character" w:customStyle="1" w:styleId="CommentSubjectChar">
    <w:name w:val="Comment Subject Char"/>
    <w:basedOn w:val="CommentTextChar"/>
    <w:link w:val="CommentSubject"/>
    <w:uiPriority w:val="99"/>
    <w:semiHidden/>
    <w:rsid w:val="00846920"/>
    <w:rPr>
      <w:b/>
      <w:bCs/>
      <w:sz w:val="20"/>
      <w:szCs w:val="20"/>
    </w:rPr>
  </w:style>
  <w:style w:type="character" w:styleId="FollowedHyperlink">
    <w:name w:val="FollowedHyperlink"/>
    <w:basedOn w:val="DefaultParagraphFont"/>
    <w:uiPriority w:val="99"/>
    <w:semiHidden/>
    <w:unhideWhenUsed/>
    <w:rsid w:val="00846920"/>
    <w:rPr>
      <w:color w:val="800080" w:themeColor="followedHyperlink"/>
      <w:u w:val="single"/>
    </w:rPr>
  </w:style>
  <w:style w:type="paragraph" w:customStyle="1" w:styleId="Default">
    <w:name w:val="Default"/>
    <w:rsid w:val="00641531"/>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DF70F1"/>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4D3E18"/>
    <w:rPr>
      <w:b/>
      <w:bCs/>
    </w:rPr>
  </w:style>
  <w:style w:type="character" w:customStyle="1" w:styleId="UnresolvedMention1">
    <w:name w:val="Unresolved Mention1"/>
    <w:basedOn w:val="DefaultParagraphFont"/>
    <w:uiPriority w:val="99"/>
    <w:semiHidden/>
    <w:unhideWhenUsed/>
    <w:rsid w:val="0062294E"/>
    <w:rPr>
      <w:color w:val="605E5C"/>
      <w:shd w:val="clear" w:color="auto" w:fill="E1DFDD"/>
    </w:rPr>
  </w:style>
  <w:style w:type="character" w:customStyle="1" w:styleId="UnresolvedMention2">
    <w:name w:val="Unresolved Mention2"/>
    <w:basedOn w:val="DefaultParagraphFont"/>
    <w:uiPriority w:val="99"/>
    <w:unhideWhenUsed/>
    <w:rsid w:val="00F24BF5"/>
    <w:rPr>
      <w:color w:val="605E5C"/>
      <w:shd w:val="clear" w:color="auto" w:fill="E1DFDD"/>
    </w:rPr>
  </w:style>
  <w:style w:type="paragraph" w:customStyle="1" w:styleId="Heading2-FiraSans">
    <w:name w:val="Heading 2 - Fira Sans"/>
    <w:basedOn w:val="Normal"/>
    <w:link w:val="Heading2-FiraSansChar"/>
    <w:qFormat/>
    <w:rsid w:val="00396831"/>
    <w:pPr>
      <w:keepNext/>
      <w:keepLines/>
      <w:spacing w:before="240" w:after="120"/>
      <w:outlineLvl w:val="1"/>
    </w:pPr>
    <w:rPr>
      <w:rFonts w:ascii="Fira Sans" w:eastAsiaTheme="minorEastAsia" w:hAnsi="Fira Sans" w:cstheme="minorBidi"/>
      <w:b/>
      <w:color w:val="00577D"/>
      <w:sz w:val="26"/>
      <w:szCs w:val="26"/>
    </w:rPr>
  </w:style>
  <w:style w:type="character" w:customStyle="1" w:styleId="Heading2-FiraSansChar">
    <w:name w:val="Heading 2 - Fira Sans Char"/>
    <w:basedOn w:val="DefaultParagraphFont"/>
    <w:link w:val="Heading2-FiraSans"/>
    <w:rsid w:val="00396831"/>
    <w:rPr>
      <w:rFonts w:ascii="Fira Sans" w:eastAsiaTheme="minorEastAsia" w:hAnsi="Fira Sans" w:cstheme="minorBidi"/>
      <w:b/>
      <w:color w:val="00577D"/>
      <w:sz w:val="26"/>
      <w:szCs w:val="26"/>
    </w:rPr>
  </w:style>
  <w:style w:type="paragraph" w:customStyle="1" w:styleId="section9">
    <w:name w:val="section 9"/>
    <w:basedOn w:val="Normal"/>
    <w:link w:val="section9Char"/>
    <w:rsid w:val="00996A92"/>
    <w:pPr>
      <w:spacing w:after="120"/>
      <w:ind w:left="720" w:hanging="360"/>
      <w:outlineLvl w:val="1"/>
    </w:pPr>
    <w:rPr>
      <w:rFonts w:ascii="Fira Sans Light" w:eastAsia="Times New Roman" w:hAnsi="Fira Sans Light"/>
      <w:b/>
      <w:bCs/>
      <w:sz w:val="24"/>
    </w:rPr>
  </w:style>
  <w:style w:type="character" w:customStyle="1" w:styleId="section9Char">
    <w:name w:val="section 9 Char"/>
    <w:basedOn w:val="DefaultParagraphFont"/>
    <w:link w:val="section9"/>
    <w:rsid w:val="00996A92"/>
    <w:rPr>
      <w:rFonts w:ascii="Fira Sans Light" w:eastAsia="Times New Roman" w:hAnsi="Fira Sans Light"/>
      <w:b/>
      <w:bCs/>
      <w:sz w:val="24"/>
    </w:rPr>
  </w:style>
  <w:style w:type="paragraph" w:customStyle="1" w:styleId="Paragraph1">
    <w:name w:val="Paragraph 1"/>
    <w:basedOn w:val="Normal"/>
    <w:qFormat/>
    <w:rsid w:val="009E62F8"/>
    <w:pPr>
      <w:keepLines/>
      <w:spacing w:before="240" w:after="0" w:line="240" w:lineRule="auto"/>
    </w:pPr>
    <w:rPr>
      <w:rFonts w:cstheme="minorBidi"/>
    </w:rPr>
  </w:style>
  <w:style w:type="character" w:customStyle="1" w:styleId="normaltextrun">
    <w:name w:val="normaltextrun"/>
    <w:basedOn w:val="DefaultParagraphFont"/>
    <w:rsid w:val="00DE08F5"/>
  </w:style>
  <w:style w:type="character" w:customStyle="1" w:styleId="UnresolvedMention3">
    <w:name w:val="Unresolved Mention3"/>
    <w:basedOn w:val="DefaultParagraphFont"/>
    <w:uiPriority w:val="99"/>
    <w:semiHidden/>
    <w:unhideWhenUsed/>
    <w:rsid w:val="00E552DB"/>
    <w:rPr>
      <w:color w:val="605E5C"/>
      <w:shd w:val="clear" w:color="auto" w:fill="E1DFDD"/>
    </w:rPr>
  </w:style>
  <w:style w:type="character" w:styleId="UnresolvedMention">
    <w:name w:val="Unresolved Mention"/>
    <w:basedOn w:val="DefaultParagraphFont"/>
    <w:uiPriority w:val="99"/>
    <w:semiHidden/>
    <w:unhideWhenUsed/>
    <w:rsid w:val="008D28D1"/>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9891">
      <w:bodyDiv w:val="1"/>
      <w:marLeft w:val="0"/>
      <w:marRight w:val="0"/>
      <w:marTop w:val="0"/>
      <w:marBottom w:val="0"/>
      <w:divBdr>
        <w:top w:val="none" w:sz="0" w:space="0" w:color="auto"/>
        <w:left w:val="none" w:sz="0" w:space="0" w:color="auto"/>
        <w:bottom w:val="none" w:sz="0" w:space="0" w:color="auto"/>
        <w:right w:val="none" w:sz="0" w:space="0" w:color="auto"/>
      </w:divBdr>
    </w:div>
    <w:div w:id="92553225">
      <w:bodyDiv w:val="1"/>
      <w:marLeft w:val="0"/>
      <w:marRight w:val="0"/>
      <w:marTop w:val="0"/>
      <w:marBottom w:val="0"/>
      <w:divBdr>
        <w:top w:val="none" w:sz="0" w:space="0" w:color="auto"/>
        <w:left w:val="none" w:sz="0" w:space="0" w:color="auto"/>
        <w:bottom w:val="none" w:sz="0" w:space="0" w:color="auto"/>
        <w:right w:val="none" w:sz="0" w:space="0" w:color="auto"/>
      </w:divBdr>
    </w:div>
    <w:div w:id="223948416">
      <w:bodyDiv w:val="1"/>
      <w:marLeft w:val="0"/>
      <w:marRight w:val="0"/>
      <w:marTop w:val="0"/>
      <w:marBottom w:val="0"/>
      <w:divBdr>
        <w:top w:val="none" w:sz="0" w:space="0" w:color="auto"/>
        <w:left w:val="none" w:sz="0" w:space="0" w:color="auto"/>
        <w:bottom w:val="none" w:sz="0" w:space="0" w:color="auto"/>
        <w:right w:val="none" w:sz="0" w:space="0" w:color="auto"/>
      </w:divBdr>
    </w:div>
    <w:div w:id="261766526">
      <w:bodyDiv w:val="1"/>
      <w:marLeft w:val="0"/>
      <w:marRight w:val="0"/>
      <w:marTop w:val="0"/>
      <w:marBottom w:val="0"/>
      <w:divBdr>
        <w:top w:val="none" w:sz="0" w:space="0" w:color="auto"/>
        <w:left w:val="none" w:sz="0" w:space="0" w:color="auto"/>
        <w:bottom w:val="none" w:sz="0" w:space="0" w:color="auto"/>
        <w:right w:val="none" w:sz="0" w:space="0" w:color="auto"/>
      </w:divBdr>
    </w:div>
    <w:div w:id="326785252">
      <w:bodyDiv w:val="1"/>
      <w:marLeft w:val="0"/>
      <w:marRight w:val="0"/>
      <w:marTop w:val="0"/>
      <w:marBottom w:val="0"/>
      <w:divBdr>
        <w:top w:val="none" w:sz="0" w:space="0" w:color="auto"/>
        <w:left w:val="none" w:sz="0" w:space="0" w:color="auto"/>
        <w:bottom w:val="none" w:sz="0" w:space="0" w:color="auto"/>
        <w:right w:val="none" w:sz="0" w:space="0" w:color="auto"/>
      </w:divBdr>
    </w:div>
    <w:div w:id="501749219">
      <w:bodyDiv w:val="1"/>
      <w:marLeft w:val="0"/>
      <w:marRight w:val="0"/>
      <w:marTop w:val="0"/>
      <w:marBottom w:val="0"/>
      <w:divBdr>
        <w:top w:val="none" w:sz="0" w:space="0" w:color="auto"/>
        <w:left w:val="none" w:sz="0" w:space="0" w:color="auto"/>
        <w:bottom w:val="none" w:sz="0" w:space="0" w:color="auto"/>
        <w:right w:val="none" w:sz="0" w:space="0" w:color="auto"/>
      </w:divBdr>
    </w:div>
    <w:div w:id="709458631">
      <w:bodyDiv w:val="1"/>
      <w:marLeft w:val="0"/>
      <w:marRight w:val="0"/>
      <w:marTop w:val="0"/>
      <w:marBottom w:val="0"/>
      <w:divBdr>
        <w:top w:val="none" w:sz="0" w:space="0" w:color="auto"/>
        <w:left w:val="none" w:sz="0" w:space="0" w:color="auto"/>
        <w:bottom w:val="none" w:sz="0" w:space="0" w:color="auto"/>
        <w:right w:val="none" w:sz="0" w:space="0" w:color="auto"/>
      </w:divBdr>
    </w:div>
    <w:div w:id="718014768">
      <w:bodyDiv w:val="1"/>
      <w:marLeft w:val="0"/>
      <w:marRight w:val="0"/>
      <w:marTop w:val="0"/>
      <w:marBottom w:val="0"/>
      <w:divBdr>
        <w:top w:val="none" w:sz="0" w:space="0" w:color="auto"/>
        <w:left w:val="none" w:sz="0" w:space="0" w:color="auto"/>
        <w:bottom w:val="none" w:sz="0" w:space="0" w:color="auto"/>
        <w:right w:val="none" w:sz="0" w:space="0" w:color="auto"/>
      </w:divBdr>
    </w:div>
    <w:div w:id="782386818">
      <w:bodyDiv w:val="1"/>
      <w:marLeft w:val="0"/>
      <w:marRight w:val="0"/>
      <w:marTop w:val="0"/>
      <w:marBottom w:val="0"/>
      <w:divBdr>
        <w:top w:val="none" w:sz="0" w:space="0" w:color="auto"/>
        <w:left w:val="none" w:sz="0" w:space="0" w:color="auto"/>
        <w:bottom w:val="none" w:sz="0" w:space="0" w:color="auto"/>
        <w:right w:val="none" w:sz="0" w:space="0" w:color="auto"/>
      </w:divBdr>
    </w:div>
    <w:div w:id="915700718">
      <w:bodyDiv w:val="1"/>
      <w:marLeft w:val="0"/>
      <w:marRight w:val="0"/>
      <w:marTop w:val="0"/>
      <w:marBottom w:val="0"/>
      <w:divBdr>
        <w:top w:val="none" w:sz="0" w:space="0" w:color="auto"/>
        <w:left w:val="none" w:sz="0" w:space="0" w:color="auto"/>
        <w:bottom w:val="none" w:sz="0" w:space="0" w:color="auto"/>
        <w:right w:val="none" w:sz="0" w:space="0" w:color="auto"/>
      </w:divBdr>
    </w:div>
    <w:div w:id="1434781676">
      <w:bodyDiv w:val="1"/>
      <w:marLeft w:val="0"/>
      <w:marRight w:val="0"/>
      <w:marTop w:val="0"/>
      <w:marBottom w:val="0"/>
      <w:divBdr>
        <w:top w:val="none" w:sz="0" w:space="0" w:color="auto"/>
        <w:left w:val="none" w:sz="0" w:space="0" w:color="auto"/>
        <w:bottom w:val="none" w:sz="0" w:space="0" w:color="auto"/>
        <w:right w:val="none" w:sz="0" w:space="0" w:color="auto"/>
      </w:divBdr>
    </w:div>
    <w:div w:id="1466316746">
      <w:bodyDiv w:val="1"/>
      <w:marLeft w:val="0"/>
      <w:marRight w:val="0"/>
      <w:marTop w:val="0"/>
      <w:marBottom w:val="0"/>
      <w:divBdr>
        <w:top w:val="none" w:sz="0" w:space="0" w:color="auto"/>
        <w:left w:val="none" w:sz="0" w:space="0" w:color="auto"/>
        <w:bottom w:val="none" w:sz="0" w:space="0" w:color="auto"/>
        <w:right w:val="none" w:sz="0" w:space="0" w:color="auto"/>
      </w:divBdr>
    </w:div>
    <w:div w:id="1566721217">
      <w:bodyDiv w:val="1"/>
      <w:marLeft w:val="0"/>
      <w:marRight w:val="0"/>
      <w:marTop w:val="0"/>
      <w:marBottom w:val="0"/>
      <w:divBdr>
        <w:top w:val="none" w:sz="0" w:space="0" w:color="auto"/>
        <w:left w:val="none" w:sz="0" w:space="0" w:color="auto"/>
        <w:bottom w:val="none" w:sz="0" w:space="0" w:color="auto"/>
        <w:right w:val="none" w:sz="0" w:space="0" w:color="auto"/>
      </w:divBdr>
    </w:div>
    <w:div w:id="1578904223">
      <w:bodyDiv w:val="1"/>
      <w:marLeft w:val="0"/>
      <w:marRight w:val="0"/>
      <w:marTop w:val="0"/>
      <w:marBottom w:val="0"/>
      <w:divBdr>
        <w:top w:val="none" w:sz="0" w:space="0" w:color="auto"/>
        <w:left w:val="none" w:sz="0" w:space="0" w:color="auto"/>
        <w:bottom w:val="none" w:sz="0" w:space="0" w:color="auto"/>
        <w:right w:val="none" w:sz="0" w:space="0" w:color="auto"/>
      </w:divBdr>
    </w:div>
    <w:div w:id="1586260700">
      <w:bodyDiv w:val="1"/>
      <w:marLeft w:val="0"/>
      <w:marRight w:val="0"/>
      <w:marTop w:val="0"/>
      <w:marBottom w:val="0"/>
      <w:divBdr>
        <w:top w:val="none" w:sz="0" w:space="0" w:color="auto"/>
        <w:left w:val="none" w:sz="0" w:space="0" w:color="auto"/>
        <w:bottom w:val="none" w:sz="0" w:space="0" w:color="auto"/>
        <w:right w:val="none" w:sz="0" w:space="0" w:color="auto"/>
      </w:divBdr>
      <w:divsChild>
        <w:div w:id="83189943">
          <w:marLeft w:val="0"/>
          <w:marRight w:val="0"/>
          <w:marTop w:val="0"/>
          <w:marBottom w:val="0"/>
          <w:divBdr>
            <w:top w:val="none" w:sz="0" w:space="0" w:color="auto"/>
            <w:left w:val="none" w:sz="0" w:space="0" w:color="auto"/>
            <w:bottom w:val="none" w:sz="0" w:space="0" w:color="auto"/>
            <w:right w:val="none" w:sz="0" w:space="0" w:color="auto"/>
          </w:divBdr>
          <w:divsChild>
            <w:div w:id="1900556495">
              <w:marLeft w:val="0"/>
              <w:marRight w:val="0"/>
              <w:marTop w:val="0"/>
              <w:marBottom w:val="0"/>
              <w:divBdr>
                <w:top w:val="none" w:sz="0" w:space="0" w:color="auto"/>
                <w:left w:val="none" w:sz="0" w:space="0" w:color="auto"/>
                <w:bottom w:val="none" w:sz="0" w:space="0" w:color="auto"/>
                <w:right w:val="none" w:sz="0" w:space="0" w:color="auto"/>
              </w:divBdr>
              <w:divsChild>
                <w:div w:id="1228682280">
                  <w:marLeft w:val="0"/>
                  <w:marRight w:val="0"/>
                  <w:marTop w:val="0"/>
                  <w:marBottom w:val="0"/>
                  <w:divBdr>
                    <w:top w:val="none" w:sz="0" w:space="0" w:color="auto"/>
                    <w:left w:val="none" w:sz="0" w:space="0" w:color="auto"/>
                    <w:bottom w:val="none" w:sz="0" w:space="0" w:color="auto"/>
                    <w:right w:val="none" w:sz="0" w:space="0" w:color="auto"/>
                  </w:divBdr>
                  <w:divsChild>
                    <w:div w:id="822164813">
                      <w:marLeft w:val="0"/>
                      <w:marRight w:val="0"/>
                      <w:marTop w:val="0"/>
                      <w:marBottom w:val="0"/>
                      <w:divBdr>
                        <w:top w:val="none" w:sz="0" w:space="0" w:color="auto"/>
                        <w:left w:val="none" w:sz="0" w:space="0" w:color="auto"/>
                        <w:bottom w:val="none" w:sz="0" w:space="0" w:color="auto"/>
                        <w:right w:val="none" w:sz="0" w:space="0" w:color="auto"/>
                      </w:divBdr>
                      <w:divsChild>
                        <w:div w:id="2046370743">
                          <w:marLeft w:val="0"/>
                          <w:marRight w:val="0"/>
                          <w:marTop w:val="0"/>
                          <w:marBottom w:val="0"/>
                          <w:divBdr>
                            <w:top w:val="none" w:sz="0" w:space="0" w:color="auto"/>
                            <w:left w:val="none" w:sz="0" w:space="0" w:color="auto"/>
                            <w:bottom w:val="none" w:sz="0" w:space="0" w:color="auto"/>
                            <w:right w:val="none" w:sz="0" w:space="0" w:color="auto"/>
                          </w:divBdr>
                          <w:divsChild>
                            <w:div w:id="282004187">
                              <w:marLeft w:val="0"/>
                              <w:marRight w:val="0"/>
                              <w:marTop w:val="0"/>
                              <w:marBottom w:val="0"/>
                              <w:divBdr>
                                <w:top w:val="none" w:sz="0" w:space="0" w:color="auto"/>
                                <w:left w:val="none" w:sz="0" w:space="0" w:color="auto"/>
                                <w:bottom w:val="none" w:sz="0" w:space="0" w:color="auto"/>
                                <w:right w:val="none" w:sz="0" w:space="0" w:color="auto"/>
                              </w:divBdr>
                              <w:divsChild>
                                <w:div w:id="920912369">
                                  <w:marLeft w:val="0"/>
                                  <w:marRight w:val="0"/>
                                  <w:marTop w:val="0"/>
                                  <w:marBottom w:val="0"/>
                                  <w:divBdr>
                                    <w:top w:val="none" w:sz="0" w:space="0" w:color="auto"/>
                                    <w:left w:val="none" w:sz="0" w:space="0" w:color="auto"/>
                                    <w:bottom w:val="none" w:sz="0" w:space="0" w:color="auto"/>
                                    <w:right w:val="none" w:sz="0" w:space="0" w:color="auto"/>
                                  </w:divBdr>
                                  <w:divsChild>
                                    <w:div w:id="742799712">
                                      <w:marLeft w:val="0"/>
                                      <w:marRight w:val="0"/>
                                      <w:marTop w:val="0"/>
                                      <w:marBottom w:val="0"/>
                                      <w:divBdr>
                                        <w:top w:val="none" w:sz="0" w:space="0" w:color="auto"/>
                                        <w:left w:val="none" w:sz="0" w:space="0" w:color="auto"/>
                                        <w:bottom w:val="none" w:sz="0" w:space="0" w:color="auto"/>
                                        <w:right w:val="none" w:sz="0" w:space="0" w:color="auto"/>
                                      </w:divBdr>
                                      <w:divsChild>
                                        <w:div w:id="1262567329">
                                          <w:marLeft w:val="0"/>
                                          <w:marRight w:val="0"/>
                                          <w:marTop w:val="0"/>
                                          <w:marBottom w:val="0"/>
                                          <w:divBdr>
                                            <w:top w:val="none" w:sz="0" w:space="0" w:color="auto"/>
                                            <w:left w:val="none" w:sz="0" w:space="0" w:color="auto"/>
                                            <w:bottom w:val="none" w:sz="0" w:space="0" w:color="auto"/>
                                            <w:right w:val="none" w:sz="0" w:space="0" w:color="auto"/>
                                          </w:divBdr>
                                          <w:divsChild>
                                            <w:div w:id="1274169681">
                                              <w:marLeft w:val="0"/>
                                              <w:marRight w:val="0"/>
                                              <w:marTop w:val="0"/>
                                              <w:marBottom w:val="0"/>
                                              <w:divBdr>
                                                <w:top w:val="none" w:sz="0" w:space="0" w:color="auto"/>
                                                <w:left w:val="none" w:sz="0" w:space="0" w:color="auto"/>
                                                <w:bottom w:val="none" w:sz="0" w:space="0" w:color="auto"/>
                                                <w:right w:val="none" w:sz="0" w:space="0" w:color="auto"/>
                                              </w:divBdr>
                                              <w:divsChild>
                                                <w:div w:id="112286338">
                                                  <w:marLeft w:val="0"/>
                                                  <w:marRight w:val="0"/>
                                                  <w:marTop w:val="0"/>
                                                  <w:marBottom w:val="0"/>
                                                  <w:divBdr>
                                                    <w:top w:val="none" w:sz="0" w:space="0" w:color="auto"/>
                                                    <w:left w:val="none" w:sz="0" w:space="0" w:color="auto"/>
                                                    <w:bottom w:val="none" w:sz="0" w:space="0" w:color="auto"/>
                                                    <w:right w:val="none" w:sz="0" w:space="0" w:color="auto"/>
                                                  </w:divBdr>
                                                  <w:divsChild>
                                                    <w:div w:id="872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664024">
      <w:bodyDiv w:val="1"/>
      <w:marLeft w:val="0"/>
      <w:marRight w:val="0"/>
      <w:marTop w:val="0"/>
      <w:marBottom w:val="0"/>
      <w:divBdr>
        <w:top w:val="none" w:sz="0" w:space="0" w:color="auto"/>
        <w:left w:val="none" w:sz="0" w:space="0" w:color="auto"/>
        <w:bottom w:val="none" w:sz="0" w:space="0" w:color="auto"/>
        <w:right w:val="none" w:sz="0" w:space="0" w:color="auto"/>
      </w:divBdr>
    </w:div>
    <w:div w:id="1664161210">
      <w:bodyDiv w:val="1"/>
      <w:marLeft w:val="0"/>
      <w:marRight w:val="0"/>
      <w:marTop w:val="0"/>
      <w:marBottom w:val="0"/>
      <w:divBdr>
        <w:top w:val="none" w:sz="0" w:space="0" w:color="auto"/>
        <w:left w:val="none" w:sz="0" w:space="0" w:color="auto"/>
        <w:bottom w:val="none" w:sz="0" w:space="0" w:color="auto"/>
        <w:right w:val="none" w:sz="0" w:space="0" w:color="auto"/>
      </w:divBdr>
      <w:divsChild>
        <w:div w:id="281963163">
          <w:marLeft w:val="0"/>
          <w:marRight w:val="0"/>
          <w:marTop w:val="0"/>
          <w:marBottom w:val="0"/>
          <w:divBdr>
            <w:top w:val="none" w:sz="0" w:space="0" w:color="auto"/>
            <w:left w:val="none" w:sz="0" w:space="0" w:color="auto"/>
            <w:bottom w:val="none" w:sz="0" w:space="0" w:color="auto"/>
            <w:right w:val="none" w:sz="0" w:space="0" w:color="auto"/>
          </w:divBdr>
        </w:div>
        <w:div w:id="357387819">
          <w:marLeft w:val="0"/>
          <w:marRight w:val="0"/>
          <w:marTop w:val="0"/>
          <w:marBottom w:val="0"/>
          <w:divBdr>
            <w:top w:val="none" w:sz="0" w:space="0" w:color="auto"/>
            <w:left w:val="none" w:sz="0" w:space="0" w:color="auto"/>
            <w:bottom w:val="none" w:sz="0" w:space="0" w:color="auto"/>
            <w:right w:val="none" w:sz="0" w:space="0" w:color="auto"/>
          </w:divBdr>
        </w:div>
      </w:divsChild>
    </w:div>
    <w:div w:id="1882939849">
      <w:bodyDiv w:val="1"/>
      <w:marLeft w:val="0"/>
      <w:marRight w:val="0"/>
      <w:marTop w:val="0"/>
      <w:marBottom w:val="0"/>
      <w:divBdr>
        <w:top w:val="none" w:sz="0" w:space="0" w:color="auto"/>
        <w:left w:val="none" w:sz="0" w:space="0" w:color="auto"/>
        <w:bottom w:val="none" w:sz="0" w:space="0" w:color="auto"/>
        <w:right w:val="none" w:sz="0" w:space="0" w:color="auto"/>
      </w:divBdr>
    </w:div>
    <w:div w:id="1940991176">
      <w:bodyDiv w:val="1"/>
      <w:marLeft w:val="0"/>
      <w:marRight w:val="0"/>
      <w:marTop w:val="0"/>
      <w:marBottom w:val="0"/>
      <w:divBdr>
        <w:top w:val="none" w:sz="0" w:space="0" w:color="auto"/>
        <w:left w:val="none" w:sz="0" w:space="0" w:color="auto"/>
        <w:bottom w:val="none" w:sz="0" w:space="0" w:color="auto"/>
        <w:right w:val="none" w:sz="0" w:space="0" w:color="auto"/>
      </w:divBdr>
    </w:div>
    <w:div w:id="1964194938">
      <w:bodyDiv w:val="1"/>
      <w:marLeft w:val="0"/>
      <w:marRight w:val="0"/>
      <w:marTop w:val="0"/>
      <w:marBottom w:val="0"/>
      <w:divBdr>
        <w:top w:val="none" w:sz="0" w:space="0" w:color="auto"/>
        <w:left w:val="none" w:sz="0" w:space="0" w:color="auto"/>
        <w:bottom w:val="none" w:sz="0" w:space="0" w:color="auto"/>
        <w:right w:val="none" w:sz="0" w:space="0" w:color="auto"/>
      </w:divBdr>
    </w:div>
    <w:div w:id="1964850614">
      <w:bodyDiv w:val="1"/>
      <w:marLeft w:val="0"/>
      <w:marRight w:val="0"/>
      <w:marTop w:val="0"/>
      <w:marBottom w:val="0"/>
      <w:divBdr>
        <w:top w:val="none" w:sz="0" w:space="0" w:color="auto"/>
        <w:left w:val="none" w:sz="0" w:space="0" w:color="auto"/>
        <w:bottom w:val="none" w:sz="0" w:space="0" w:color="auto"/>
        <w:right w:val="none" w:sz="0" w:space="0" w:color="auto"/>
      </w:divBdr>
    </w:div>
    <w:div w:id="2045590350">
      <w:bodyDiv w:val="1"/>
      <w:marLeft w:val="0"/>
      <w:marRight w:val="0"/>
      <w:marTop w:val="0"/>
      <w:marBottom w:val="0"/>
      <w:divBdr>
        <w:top w:val="none" w:sz="0" w:space="0" w:color="auto"/>
        <w:left w:val="none" w:sz="0" w:space="0" w:color="auto"/>
        <w:bottom w:val="none" w:sz="0" w:space="0" w:color="auto"/>
        <w:right w:val="none" w:sz="0" w:space="0" w:color="auto"/>
      </w:divBdr>
    </w:div>
    <w:div w:id="21351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edcarequality.gov.au/providers/assessment-processes/continuous-improvement" TargetMode="External"/><Relationship Id="rId18" Type="http://schemas.openxmlformats.org/officeDocument/2006/relationships/hyperlink" Target="https://www.agedcarequality.gov.au/resources/rb-2020-11-publication-provider-performance-informa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gedcarequality.gov.au/about-us/corporate-documents/aged-care-quality-and-safety-commission-glossary" TargetMode="External"/><Relationship Id="rId17" Type="http://schemas.openxmlformats.org/officeDocument/2006/relationships/hyperlink" Target="https://www.health.gov.au/resources/publications/service-compliance-ratings-information-for-residential-aged-care-service-providers" TargetMode="External"/><Relationship Id="rId2" Type="http://schemas.openxmlformats.org/officeDocument/2006/relationships/numbering" Target="numbering.xml"/><Relationship Id="rId16" Type="http://schemas.openxmlformats.org/officeDocument/2006/relationships/hyperlink" Target="https://www.agedcarequality.gov.au/providers/assessment-processes/self-assess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providers/assessment-processes/self-assess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gedcarequality.gov.au/resources/regulatory-bulletin-2020-1.0" TargetMode="External"/><Relationship Id="rId23" Type="http://schemas.openxmlformats.org/officeDocument/2006/relationships/fontTable" Target="fontTable.xml"/><Relationship Id="rId10" Type="http://schemas.openxmlformats.org/officeDocument/2006/relationships/hyperlink" Target="https://www.agedcarequality.gov.au/resources/regulatory-bulletin-2019-4" TargetMode="External"/><Relationship Id="rId19" Type="http://schemas.openxmlformats.org/officeDocument/2006/relationships/hyperlink" Target="mailto:info@agedcarequality.gov.au" TargetMode="External"/><Relationship Id="rId4" Type="http://schemas.openxmlformats.org/officeDocument/2006/relationships/settings" Target="settings.xml"/><Relationship Id="rId9" Type="http://schemas.openxmlformats.org/officeDocument/2006/relationships/hyperlink" Target="https://www.agedcarequality.gov.au/media/89299" TargetMode="External"/><Relationship Id="rId14" Type="http://schemas.openxmlformats.org/officeDocument/2006/relationships/hyperlink" Target="https://www.agedcarequality.gov.au/providers/assessment-processes/self-assessmen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gedcarequality.gov.au/resources/rb-2020-11-publication-provider-performance-information" TargetMode="External"/><Relationship Id="rId3" Type="http://schemas.openxmlformats.org/officeDocument/2006/relationships/hyperlink" Target="https://www.agedcarequality.gov.au/providers/assessment-processes/self-assessment" TargetMode="External"/><Relationship Id="rId7" Type="http://schemas.openxmlformats.org/officeDocument/2006/relationships/hyperlink" Target="https://www.health.gov.au/resources/publications/service-compliance-ratings-information-for-residential-aged-care-service-providers" TargetMode="External"/><Relationship Id="rId2" Type="http://schemas.openxmlformats.org/officeDocument/2006/relationships/hyperlink" Target="https://www.agedcarequality.gov.au/resources/regulatory-bulletin-2019-4" TargetMode="External"/><Relationship Id="rId1" Type="http://schemas.openxmlformats.org/officeDocument/2006/relationships/hyperlink" Target="https://www.agedcarequality.gov.au/media/89299" TargetMode="External"/><Relationship Id="rId6" Type="http://schemas.openxmlformats.org/officeDocument/2006/relationships/hyperlink" Target="https://www.agedcarequality.gov.au/providers/assessment-processes/self-assessment" TargetMode="External"/><Relationship Id="rId5" Type="http://schemas.openxmlformats.org/officeDocument/2006/relationships/hyperlink" Target="https://www.agedcarequality.gov.au/providers/assessment-processes/self-assessment" TargetMode="External"/><Relationship Id="rId4" Type="http://schemas.openxmlformats.org/officeDocument/2006/relationships/hyperlink" Target="https://www.agedcarequality.gov.au/providers/assessment-processes/continuous-improvement" TargetMode="External"/><Relationship Id="rId9" Type="http://schemas.openxmlformats.org/officeDocument/2006/relationships/hyperlink" Target="https://www.agedcarequality.gov.au/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F500F-6789-4947-951E-04B714DB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Links>
    <vt:vector size="108" baseType="variant">
      <vt:variant>
        <vt:i4>3080267</vt:i4>
      </vt:variant>
      <vt:variant>
        <vt:i4>27</vt:i4>
      </vt:variant>
      <vt:variant>
        <vt:i4>0</vt:i4>
      </vt:variant>
      <vt:variant>
        <vt:i4>5</vt:i4>
      </vt:variant>
      <vt:variant>
        <vt:lpwstr>mailto:regulatorybulletin@agedcarequality.gov.au</vt:lpwstr>
      </vt:variant>
      <vt:variant>
        <vt:lpwstr/>
      </vt:variant>
      <vt:variant>
        <vt:i4>5308492</vt:i4>
      </vt:variant>
      <vt:variant>
        <vt:i4>24</vt:i4>
      </vt:variant>
      <vt:variant>
        <vt:i4>0</vt:i4>
      </vt:variant>
      <vt:variant>
        <vt:i4>5</vt:i4>
      </vt:variant>
      <vt:variant>
        <vt:lpwstr>https://www.agedcarequality.gov.au/resources/rb-2020-11-publication-provider-performance-information</vt:lpwstr>
      </vt:variant>
      <vt:variant>
        <vt:lpwstr/>
      </vt:variant>
      <vt:variant>
        <vt:i4>7143544</vt:i4>
      </vt:variant>
      <vt:variant>
        <vt:i4>21</vt:i4>
      </vt:variant>
      <vt:variant>
        <vt:i4>0</vt:i4>
      </vt:variant>
      <vt:variant>
        <vt:i4>5</vt:i4>
      </vt:variant>
      <vt:variant>
        <vt:lpwstr>https://www.health.gov.au/resources/publications/service-compliance-ratings-information-for-residential-aged-care-service-providers</vt:lpwstr>
      </vt:variant>
      <vt:variant>
        <vt:lpwstr/>
      </vt:variant>
      <vt:variant>
        <vt:i4>917569</vt:i4>
      </vt:variant>
      <vt:variant>
        <vt:i4>18</vt:i4>
      </vt:variant>
      <vt:variant>
        <vt:i4>0</vt:i4>
      </vt:variant>
      <vt:variant>
        <vt:i4>5</vt:i4>
      </vt:variant>
      <vt:variant>
        <vt:lpwstr>https://www.agedcarequality.gov.au/resources/regulatory-bulletin-2020-1.0</vt:lpwstr>
      </vt:variant>
      <vt:variant>
        <vt:lpwstr/>
      </vt:variant>
      <vt:variant>
        <vt:i4>6160395</vt:i4>
      </vt:variant>
      <vt:variant>
        <vt:i4>15</vt:i4>
      </vt:variant>
      <vt:variant>
        <vt:i4>0</vt:i4>
      </vt:variant>
      <vt:variant>
        <vt:i4>5</vt:i4>
      </vt:variant>
      <vt:variant>
        <vt:lpwstr>https://www.agedcarequality.gov.au/providers/assessment-processes/self-assessment</vt:lpwstr>
      </vt:variant>
      <vt:variant>
        <vt:lpwstr/>
      </vt:variant>
      <vt:variant>
        <vt:i4>5505050</vt:i4>
      </vt:variant>
      <vt:variant>
        <vt:i4>12</vt:i4>
      </vt:variant>
      <vt:variant>
        <vt:i4>0</vt:i4>
      </vt:variant>
      <vt:variant>
        <vt:i4>5</vt:i4>
      </vt:variant>
      <vt:variant>
        <vt:lpwstr>https://www.agedcarequality.gov.au/providers/assessment-processes/continuous-improvement</vt:lpwstr>
      </vt:variant>
      <vt:variant>
        <vt:lpwstr/>
      </vt:variant>
      <vt:variant>
        <vt:i4>1572949</vt:i4>
      </vt:variant>
      <vt:variant>
        <vt:i4>9</vt:i4>
      </vt:variant>
      <vt:variant>
        <vt:i4>0</vt:i4>
      </vt:variant>
      <vt:variant>
        <vt:i4>5</vt:i4>
      </vt:variant>
      <vt:variant>
        <vt:lpwstr>https://www.agedcarequality.gov.au/about-us/corporate-documents/aged-care-quality-and-safety-commission-glossary</vt:lpwstr>
      </vt:variant>
      <vt:variant>
        <vt:lpwstr/>
      </vt:variant>
      <vt:variant>
        <vt:i4>6160395</vt:i4>
      </vt:variant>
      <vt:variant>
        <vt:i4>6</vt:i4>
      </vt:variant>
      <vt:variant>
        <vt:i4>0</vt:i4>
      </vt:variant>
      <vt:variant>
        <vt:i4>5</vt:i4>
      </vt:variant>
      <vt:variant>
        <vt:lpwstr>https://www.agedcarequality.gov.au/providers/assessment-processes/self-assessment</vt:lpwstr>
      </vt:variant>
      <vt:variant>
        <vt:lpwstr/>
      </vt:variant>
      <vt:variant>
        <vt:i4>2293881</vt:i4>
      </vt:variant>
      <vt:variant>
        <vt:i4>3</vt:i4>
      </vt:variant>
      <vt:variant>
        <vt:i4>0</vt:i4>
      </vt:variant>
      <vt:variant>
        <vt:i4>5</vt:i4>
      </vt:variant>
      <vt:variant>
        <vt:lpwstr>https://www.agedcarequality.gov.au/resources/regulatory-bulletin-2019-4</vt:lpwstr>
      </vt:variant>
      <vt:variant>
        <vt:lpwstr/>
      </vt:variant>
      <vt:variant>
        <vt:i4>6488105</vt:i4>
      </vt:variant>
      <vt:variant>
        <vt:i4>0</vt:i4>
      </vt:variant>
      <vt:variant>
        <vt:i4>0</vt:i4>
      </vt:variant>
      <vt:variant>
        <vt:i4>5</vt:i4>
      </vt:variant>
      <vt:variant>
        <vt:lpwstr>https://www.agedcarequality.gov.au/media/89299</vt:lpwstr>
      </vt:variant>
      <vt:variant>
        <vt:lpwstr/>
      </vt:variant>
      <vt:variant>
        <vt:i4>4587548</vt:i4>
      </vt:variant>
      <vt:variant>
        <vt:i4>21</vt:i4>
      </vt:variant>
      <vt:variant>
        <vt:i4>0</vt:i4>
      </vt:variant>
      <vt:variant>
        <vt:i4>5</vt:i4>
      </vt:variant>
      <vt:variant>
        <vt:lpwstr>https://www.agedcarequality.gov.au/subscribe</vt:lpwstr>
      </vt:variant>
      <vt:variant>
        <vt:lpwstr/>
      </vt:variant>
      <vt:variant>
        <vt:i4>5308492</vt:i4>
      </vt:variant>
      <vt:variant>
        <vt:i4>18</vt:i4>
      </vt:variant>
      <vt:variant>
        <vt:i4>0</vt:i4>
      </vt:variant>
      <vt:variant>
        <vt:i4>5</vt:i4>
      </vt:variant>
      <vt:variant>
        <vt:lpwstr>https://www.agedcarequality.gov.au/resources/rb-2020-11-publication-provider-performance-information</vt:lpwstr>
      </vt:variant>
      <vt:variant>
        <vt:lpwstr/>
      </vt:variant>
      <vt:variant>
        <vt:i4>7143544</vt:i4>
      </vt:variant>
      <vt:variant>
        <vt:i4>15</vt:i4>
      </vt:variant>
      <vt:variant>
        <vt:i4>0</vt:i4>
      </vt:variant>
      <vt:variant>
        <vt:i4>5</vt:i4>
      </vt:variant>
      <vt:variant>
        <vt:lpwstr>https://www.health.gov.au/resources/publications/service-compliance-ratings-information-for-residential-aged-care-service-providers</vt:lpwstr>
      </vt:variant>
      <vt:variant>
        <vt:lpwstr/>
      </vt:variant>
      <vt:variant>
        <vt:i4>6160395</vt:i4>
      </vt:variant>
      <vt:variant>
        <vt:i4>12</vt:i4>
      </vt:variant>
      <vt:variant>
        <vt:i4>0</vt:i4>
      </vt:variant>
      <vt:variant>
        <vt:i4>5</vt:i4>
      </vt:variant>
      <vt:variant>
        <vt:lpwstr>https://www.agedcarequality.gov.au/providers/assessment-processes/self-assessment</vt:lpwstr>
      </vt:variant>
      <vt:variant>
        <vt:lpwstr/>
      </vt:variant>
      <vt:variant>
        <vt:i4>5505050</vt:i4>
      </vt:variant>
      <vt:variant>
        <vt:i4>9</vt:i4>
      </vt:variant>
      <vt:variant>
        <vt:i4>0</vt:i4>
      </vt:variant>
      <vt:variant>
        <vt:i4>5</vt:i4>
      </vt:variant>
      <vt:variant>
        <vt:lpwstr>https://www.agedcarequality.gov.au/providers/assessment-processes/continuous-improvement</vt:lpwstr>
      </vt:variant>
      <vt:variant>
        <vt:lpwstr/>
      </vt:variant>
      <vt:variant>
        <vt:i4>6160395</vt:i4>
      </vt:variant>
      <vt:variant>
        <vt:i4>6</vt:i4>
      </vt:variant>
      <vt:variant>
        <vt:i4>0</vt:i4>
      </vt:variant>
      <vt:variant>
        <vt:i4>5</vt:i4>
      </vt:variant>
      <vt:variant>
        <vt:lpwstr>https://www.agedcarequality.gov.au/providers/assessment-processes/self-assessment</vt:lpwstr>
      </vt:variant>
      <vt:variant>
        <vt:lpwstr/>
      </vt:variant>
      <vt:variant>
        <vt:i4>2293881</vt:i4>
      </vt:variant>
      <vt:variant>
        <vt:i4>3</vt:i4>
      </vt:variant>
      <vt:variant>
        <vt:i4>0</vt:i4>
      </vt:variant>
      <vt:variant>
        <vt:i4>5</vt:i4>
      </vt:variant>
      <vt:variant>
        <vt:lpwstr>https://www.agedcarequality.gov.au/resources/regulatory-bulletin-2019-4</vt:lpwstr>
      </vt:variant>
      <vt:variant>
        <vt:lpwstr/>
      </vt:variant>
      <vt:variant>
        <vt:i4>6488105</vt:i4>
      </vt:variant>
      <vt:variant>
        <vt:i4>0</vt:i4>
      </vt:variant>
      <vt:variant>
        <vt:i4>0</vt:i4>
      </vt:variant>
      <vt:variant>
        <vt:i4>5</vt:i4>
      </vt:variant>
      <vt:variant>
        <vt:lpwstr>https://www.agedcarequality.gov.au/media/89299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2025-09-11T05:36:00Z</dcterms:created>
  <dcterms:modified xsi:type="dcterms:W3CDTF">2025-09-11T05:36:00Z</dcterms:modified>
</cp:coreProperties>
</file>