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46A2B" w14:textId="77777777" w:rsidR="00D41C65" w:rsidRPr="003C6EC2" w:rsidRDefault="00D41C65" w:rsidP="00D41C6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1584" behindDoc="1" locked="0" layoutInCell="1" allowOverlap="1" wp14:anchorId="764C0417" wp14:editId="5D45D0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79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2608" behindDoc="1" locked="0" layoutInCell="1" allowOverlap="1" wp14:anchorId="5A4994B2" wp14:editId="28AC538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793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Rosary Gardens</w:t>
      </w:r>
      <w:r w:rsidRPr="003C6EC2">
        <w:rPr>
          <w:rFonts w:ascii="Arial Black" w:hAnsi="Arial Black"/>
        </w:rPr>
        <w:t xml:space="preserve"> </w:t>
      </w:r>
    </w:p>
    <w:p w14:paraId="3199D9F9" w14:textId="77777777" w:rsidR="00D41C65" w:rsidRPr="003C6EC2" w:rsidRDefault="00D41C65" w:rsidP="00D41C65">
      <w:pPr>
        <w:pStyle w:val="Title"/>
        <w:spacing w:before="360" w:after="480"/>
      </w:pPr>
      <w:r w:rsidRPr="003C6EC2">
        <w:rPr>
          <w:rFonts w:ascii="Arial Black" w:eastAsia="Calibri" w:hAnsi="Arial Black"/>
          <w:sz w:val="56"/>
        </w:rPr>
        <w:t>Performance Report</w:t>
      </w:r>
    </w:p>
    <w:p w14:paraId="0AF1CD9C" w14:textId="77777777" w:rsidR="008B2757" w:rsidRPr="003C6EC2" w:rsidRDefault="008B2757" w:rsidP="008B27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Creek Road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6144 5200</w:t>
      </w:r>
    </w:p>
    <w:p w14:paraId="796983C7" w14:textId="77777777" w:rsidR="008B2757" w:rsidRDefault="008B2757" w:rsidP="008B27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8416 </w:t>
      </w:r>
    </w:p>
    <w:p w14:paraId="5FF16CA4" w14:textId="77777777" w:rsidR="008B2757" w:rsidRPr="003C6EC2" w:rsidRDefault="008B2757" w:rsidP="008B27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4BE1B974" w14:textId="77777777" w:rsidR="008B2757" w:rsidRPr="003C6EC2" w:rsidRDefault="008B2757" w:rsidP="008B275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May 2022 to 5 May 2022</w:t>
      </w:r>
    </w:p>
    <w:p w14:paraId="77250FF8" w14:textId="3F43F5EA" w:rsidR="001E6954" w:rsidRPr="003C6EC2" w:rsidRDefault="008B2757" w:rsidP="008B2757">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bookmarkEnd w:id="0"/>
      <w:r w:rsidR="00C64C4B">
        <w:rPr>
          <w:color w:val="FFFFFF" w:themeColor="background1"/>
          <w:sz w:val="28"/>
        </w:rPr>
        <w:t>2</w:t>
      </w:r>
      <w:r w:rsidRPr="004B6FFE">
        <w:rPr>
          <w:color w:val="FFFFFF" w:themeColor="background1"/>
          <w:sz w:val="28"/>
        </w:rPr>
        <w:t xml:space="preserve"> June</w:t>
      </w:r>
      <w:r>
        <w:rPr>
          <w:color w:val="FFFFFF" w:themeColor="background1"/>
          <w:sz w:val="28"/>
        </w:rPr>
        <w:t xml:space="preserve"> </w:t>
      </w:r>
      <w:r w:rsidRPr="004B6FFE">
        <w:rPr>
          <w:color w:val="FFFFFF" w:themeColor="background1"/>
          <w:sz w:val="28"/>
        </w:rPr>
        <w:t>2022</w:t>
      </w: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072B29" w14:textId="24E56574" w:rsidR="006761DF" w:rsidRDefault="006761DF" w:rsidP="0094564F">
      <w:pPr>
        <w:pStyle w:val="Heading1"/>
      </w:pPr>
      <w:bookmarkStart w:id="1" w:name="_Hlk32477662"/>
      <w:r>
        <w:lastRenderedPageBreak/>
        <w:t xml:space="preserve">Performance report prepared by </w:t>
      </w:r>
    </w:p>
    <w:p w14:paraId="0F71CBA4" w14:textId="042EF839" w:rsidR="006761DF" w:rsidRPr="006761DF" w:rsidRDefault="006761DF" w:rsidP="006761DF">
      <w:r>
        <w:t>Catherine Spiller, delegate of the Aged Care Quality and Safety Commissioner.</w:t>
      </w:r>
    </w:p>
    <w:p w14:paraId="202F42C3" w14:textId="00EC3703" w:rsidR="00A30BEC" w:rsidRDefault="00A30BEC" w:rsidP="0094564F">
      <w:pPr>
        <w:pStyle w:val="Heading1"/>
      </w:pPr>
      <w:r>
        <w:t>Publication of report</w:t>
      </w:r>
    </w:p>
    <w:p w14:paraId="2258EB89" w14:textId="37A71B94" w:rsidR="00A30BEC" w:rsidRPr="006B166B" w:rsidRDefault="00A30BEC" w:rsidP="006A65E7">
      <w:r w:rsidRPr="0010469B">
        <w:t xml:space="preserve">This </w:t>
      </w:r>
      <w:r>
        <w:t>Performance</w:t>
      </w:r>
      <w:r w:rsidRPr="0010469B">
        <w:t xml:space="preserve"> Report </w:t>
      </w:r>
      <w:r w:rsidR="00EF329E">
        <w:rPr>
          <w:b/>
        </w:rPr>
        <w:t>will</w:t>
      </w:r>
      <w:bookmarkStart w:id="2" w:name="_GoBack"/>
      <w:bookmarkEnd w:id="2"/>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76F2" w14:paraId="5640DE42" w14:textId="77777777" w:rsidTr="00F778A6">
        <w:trPr>
          <w:trHeight w:val="227"/>
        </w:trPr>
        <w:tc>
          <w:tcPr>
            <w:tcW w:w="3942" w:type="pct"/>
            <w:shd w:val="clear" w:color="auto" w:fill="auto"/>
          </w:tcPr>
          <w:p w14:paraId="78668CBF" w14:textId="77777777" w:rsidR="00D376F2" w:rsidRPr="001E6954" w:rsidRDefault="00D376F2" w:rsidP="00F778A6">
            <w:pPr>
              <w:keepNext/>
              <w:spacing w:before="40" w:after="40" w:line="240" w:lineRule="auto"/>
              <w:ind w:right="-109"/>
              <w:rPr>
                <w:b/>
              </w:rPr>
            </w:pPr>
            <w:bookmarkStart w:id="3" w:name="_Hlk27119087"/>
            <w:r w:rsidRPr="001E6954">
              <w:rPr>
                <w:b/>
              </w:rPr>
              <w:t>Standard 2 Ongoing assessment and planning with consumers</w:t>
            </w:r>
          </w:p>
        </w:tc>
        <w:tc>
          <w:tcPr>
            <w:tcW w:w="1058" w:type="pct"/>
            <w:shd w:val="clear" w:color="auto" w:fill="auto"/>
          </w:tcPr>
          <w:p w14:paraId="11326B08" w14:textId="77777777" w:rsidR="00D376F2" w:rsidRPr="001E6954" w:rsidRDefault="00D376F2" w:rsidP="00F778A6">
            <w:pPr>
              <w:keepNext/>
              <w:spacing w:before="40" w:after="40" w:line="240" w:lineRule="auto"/>
              <w:jc w:val="right"/>
              <w:rPr>
                <w:b/>
                <w:color w:val="0000FF"/>
              </w:rPr>
            </w:pPr>
          </w:p>
        </w:tc>
      </w:tr>
      <w:tr w:rsidR="00D376F2" w14:paraId="2E63A9D6" w14:textId="77777777" w:rsidTr="00F778A6">
        <w:trPr>
          <w:trHeight w:val="227"/>
        </w:trPr>
        <w:tc>
          <w:tcPr>
            <w:tcW w:w="3942" w:type="pct"/>
            <w:shd w:val="clear" w:color="auto" w:fill="auto"/>
          </w:tcPr>
          <w:p w14:paraId="119B6757" w14:textId="77777777" w:rsidR="00D376F2" w:rsidRPr="001E6954" w:rsidRDefault="00D376F2" w:rsidP="00F778A6">
            <w:pPr>
              <w:spacing w:before="40" w:after="40" w:line="240" w:lineRule="auto"/>
              <w:ind w:left="318" w:hanging="7"/>
            </w:pPr>
            <w:r w:rsidRPr="001E6954">
              <w:t>Requirement 2(3)(a)</w:t>
            </w:r>
          </w:p>
        </w:tc>
        <w:tc>
          <w:tcPr>
            <w:tcW w:w="1058" w:type="pct"/>
            <w:shd w:val="clear" w:color="auto" w:fill="auto"/>
          </w:tcPr>
          <w:p w14:paraId="11D83486" w14:textId="77777777" w:rsidR="00D376F2" w:rsidRPr="001E6954" w:rsidRDefault="00D376F2" w:rsidP="00F778A6">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tr w:rsidR="00D376F2" w14:paraId="7B592218" w14:textId="77777777" w:rsidTr="00F778A6">
        <w:trPr>
          <w:trHeight w:val="227"/>
        </w:trPr>
        <w:tc>
          <w:tcPr>
            <w:tcW w:w="3942" w:type="pct"/>
            <w:shd w:val="clear" w:color="auto" w:fill="auto"/>
          </w:tcPr>
          <w:p w14:paraId="40773036" w14:textId="77777777" w:rsidR="00D376F2" w:rsidRPr="001E6954" w:rsidRDefault="00D376F2" w:rsidP="00F778A6">
            <w:pPr>
              <w:keepNext/>
              <w:spacing w:before="40" w:after="40" w:line="240" w:lineRule="auto"/>
              <w:rPr>
                <w:b/>
              </w:rPr>
            </w:pPr>
            <w:r w:rsidRPr="001E6954">
              <w:rPr>
                <w:b/>
              </w:rPr>
              <w:t>Standard 3 Personal care and clinical care</w:t>
            </w:r>
          </w:p>
        </w:tc>
        <w:tc>
          <w:tcPr>
            <w:tcW w:w="1058" w:type="pct"/>
            <w:shd w:val="clear" w:color="auto" w:fill="auto"/>
          </w:tcPr>
          <w:p w14:paraId="37816DAC" w14:textId="77777777" w:rsidR="00D376F2" w:rsidRPr="001E6954" w:rsidRDefault="00D376F2" w:rsidP="00F778A6">
            <w:pPr>
              <w:keepNext/>
              <w:spacing w:before="40" w:after="40" w:line="240" w:lineRule="auto"/>
              <w:jc w:val="right"/>
              <w:rPr>
                <w:b/>
                <w:color w:val="0000FF"/>
              </w:rPr>
            </w:pPr>
          </w:p>
        </w:tc>
      </w:tr>
      <w:tr w:rsidR="00D376F2" w14:paraId="18B4135E" w14:textId="77777777" w:rsidTr="00F778A6">
        <w:trPr>
          <w:trHeight w:val="227"/>
        </w:trPr>
        <w:tc>
          <w:tcPr>
            <w:tcW w:w="3942" w:type="pct"/>
            <w:shd w:val="clear" w:color="auto" w:fill="auto"/>
          </w:tcPr>
          <w:p w14:paraId="257DDEEB" w14:textId="77777777" w:rsidR="00D376F2" w:rsidRPr="002B4C72" w:rsidRDefault="00D376F2" w:rsidP="00F778A6">
            <w:pPr>
              <w:spacing w:before="40" w:after="40" w:line="240" w:lineRule="auto"/>
              <w:ind w:left="312"/>
            </w:pPr>
            <w:r w:rsidRPr="001E6954">
              <w:t>Requirement 3(3)(a)</w:t>
            </w:r>
          </w:p>
        </w:tc>
        <w:tc>
          <w:tcPr>
            <w:tcW w:w="1058" w:type="pct"/>
            <w:shd w:val="clear" w:color="auto" w:fill="auto"/>
          </w:tcPr>
          <w:p w14:paraId="68DD9BEF" w14:textId="77777777" w:rsidR="00D376F2" w:rsidRPr="001E6954" w:rsidRDefault="00D376F2" w:rsidP="00F778A6">
            <w:pPr>
              <w:spacing w:before="40" w:after="40" w:line="240" w:lineRule="auto"/>
              <w:ind w:left="-107"/>
              <w:jc w:val="right"/>
              <w:rPr>
                <w:color w:val="0000FF"/>
              </w:rPr>
            </w:pPr>
            <w:r w:rsidRPr="001E6954">
              <w:rPr>
                <w:bCs/>
                <w:iCs/>
                <w:color w:val="00577D"/>
                <w:szCs w:val="40"/>
              </w:rPr>
              <w:t>Compliant</w:t>
            </w:r>
            <w:r w:rsidRPr="005E5851">
              <w:rPr>
                <w:bCs/>
                <w:iCs/>
                <w:color w:val="00577D"/>
                <w:szCs w:val="40"/>
              </w:rPr>
              <w:br/>
            </w:r>
          </w:p>
        </w:tc>
      </w:tr>
      <w:tr w:rsidR="00D376F2" w14:paraId="171B6179" w14:textId="77777777" w:rsidTr="00F778A6">
        <w:trPr>
          <w:trHeight w:val="227"/>
        </w:trPr>
        <w:tc>
          <w:tcPr>
            <w:tcW w:w="3942" w:type="pct"/>
            <w:shd w:val="clear" w:color="auto" w:fill="auto"/>
          </w:tcPr>
          <w:p w14:paraId="4F57B412" w14:textId="77777777" w:rsidR="00D376F2" w:rsidRPr="001E6954" w:rsidRDefault="00D376F2" w:rsidP="00F778A6">
            <w:pPr>
              <w:keepNext/>
              <w:spacing w:before="40" w:after="40" w:line="240" w:lineRule="auto"/>
              <w:rPr>
                <w:b/>
              </w:rPr>
            </w:pPr>
            <w:r w:rsidRPr="001E6954">
              <w:rPr>
                <w:b/>
              </w:rPr>
              <w:t>Standard 8 Organisational governance</w:t>
            </w:r>
          </w:p>
        </w:tc>
        <w:tc>
          <w:tcPr>
            <w:tcW w:w="1058" w:type="pct"/>
            <w:shd w:val="clear" w:color="auto" w:fill="auto"/>
          </w:tcPr>
          <w:p w14:paraId="72A3F5D8" w14:textId="77777777" w:rsidR="00D376F2" w:rsidRPr="001E6954" w:rsidRDefault="00D376F2" w:rsidP="00F778A6">
            <w:pPr>
              <w:keepNext/>
              <w:spacing w:before="40" w:after="40" w:line="240" w:lineRule="auto"/>
              <w:jc w:val="right"/>
              <w:rPr>
                <w:b/>
                <w:color w:val="0000FF"/>
              </w:rPr>
            </w:pPr>
          </w:p>
        </w:tc>
      </w:tr>
      <w:tr w:rsidR="00D376F2" w14:paraId="54A668B7" w14:textId="77777777" w:rsidTr="00F778A6">
        <w:trPr>
          <w:trHeight w:val="227"/>
        </w:trPr>
        <w:tc>
          <w:tcPr>
            <w:tcW w:w="3942" w:type="pct"/>
            <w:shd w:val="clear" w:color="auto" w:fill="auto"/>
          </w:tcPr>
          <w:p w14:paraId="10771821" w14:textId="77777777" w:rsidR="00D376F2" w:rsidRPr="001E6954" w:rsidRDefault="00D376F2" w:rsidP="00F778A6">
            <w:pPr>
              <w:spacing w:before="40" w:after="40" w:line="240" w:lineRule="auto"/>
              <w:ind w:left="318" w:hanging="7"/>
            </w:pPr>
            <w:r w:rsidRPr="001E6954">
              <w:t>Requirement 8(3)(d)</w:t>
            </w:r>
          </w:p>
        </w:tc>
        <w:tc>
          <w:tcPr>
            <w:tcW w:w="1058" w:type="pct"/>
            <w:shd w:val="clear" w:color="auto" w:fill="auto"/>
          </w:tcPr>
          <w:p w14:paraId="43E5742B" w14:textId="77777777" w:rsidR="00D376F2" w:rsidRPr="001E6954" w:rsidRDefault="00D376F2" w:rsidP="00F778A6">
            <w:pPr>
              <w:spacing w:before="40" w:after="40" w:line="240" w:lineRule="auto"/>
              <w:jc w:val="right"/>
              <w:rPr>
                <w:color w:val="0000FF"/>
              </w:rPr>
            </w:pPr>
            <w:r w:rsidRPr="001E6954">
              <w:rPr>
                <w:bCs/>
                <w:iCs/>
                <w:color w:val="00577D"/>
                <w:szCs w:val="40"/>
              </w:rPr>
              <w:t>Compliant</w:t>
            </w:r>
            <w:r w:rsidRPr="005E5851">
              <w:rPr>
                <w:bCs/>
                <w:iCs/>
                <w:color w:val="00577D"/>
                <w:szCs w:val="40"/>
              </w:rPr>
              <w:br/>
            </w:r>
          </w:p>
        </w:tc>
      </w:tr>
      <w:bookmarkEnd w:id="3"/>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587CB75F" w14:textId="77777777" w:rsidR="00123BD5" w:rsidRPr="00D63989" w:rsidRDefault="00123BD5" w:rsidP="00123BD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93983F" w14:textId="77777777" w:rsidR="00123BD5" w:rsidRPr="001E6954" w:rsidRDefault="00123BD5" w:rsidP="00123BD5">
      <w:pPr>
        <w:rPr>
          <w:color w:val="auto"/>
        </w:rPr>
      </w:pPr>
      <w:r w:rsidRPr="00D63989">
        <w:t>The report also specifies areas in which improvements must be made to ensure the Quality Standards are complied with.</w:t>
      </w:r>
    </w:p>
    <w:p w14:paraId="10446F79" w14:textId="77777777" w:rsidR="00123BD5" w:rsidRPr="00D63989" w:rsidRDefault="00123BD5" w:rsidP="00123BD5">
      <w:r w:rsidRPr="00D63989">
        <w:t>The following information has been taken into account in developing this performance report:</w:t>
      </w:r>
    </w:p>
    <w:p w14:paraId="2C752C7B" w14:textId="060D7904" w:rsidR="00123BD5" w:rsidRPr="00993B8D" w:rsidRDefault="00123BD5" w:rsidP="00123BD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93B8D">
        <w:t>a site assessment, observations at the service, review of documents and interviews with staff, consumers/representatives and others</w:t>
      </w:r>
      <w:r w:rsidR="00257486">
        <w:t>.</w:t>
      </w:r>
    </w:p>
    <w:p w14:paraId="26383504" w14:textId="4DE84693" w:rsidR="00123BD5" w:rsidRDefault="00123BD5" w:rsidP="00123BD5">
      <w:pPr>
        <w:pStyle w:val="ListBullet"/>
        <w:spacing w:after="160" w:line="259" w:lineRule="auto"/>
      </w:pPr>
      <w:r w:rsidRPr="00993B8D">
        <w:t xml:space="preserve">The provider </w:t>
      </w:r>
      <w:r>
        <w:t xml:space="preserve">opted not to </w:t>
      </w:r>
      <w:r w:rsidRPr="00993B8D">
        <w:t>provide a response</w:t>
      </w:r>
      <w:r w:rsidR="00257486">
        <w:t>.</w:t>
      </w:r>
      <w:r w:rsidRPr="00993B8D">
        <w:t xml:space="preserv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D847D14" w14:textId="2D3DD931" w:rsidR="00CB3BA9" w:rsidRDefault="00ED6B57"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EEAEB2" w14:textId="77777777" w:rsidR="00CB0C84" w:rsidRDefault="00CB0C84" w:rsidP="00CB0C84">
      <w:pPr>
        <w:pStyle w:val="Heading2"/>
      </w:pPr>
      <w:r>
        <w:t xml:space="preserve">Assessment </w:t>
      </w:r>
      <w:r w:rsidRPr="002B2C0F">
        <w:t>of Standard</w:t>
      </w:r>
      <w:r>
        <w:t xml:space="preserve"> 2</w:t>
      </w:r>
    </w:p>
    <w:p w14:paraId="74B09217" w14:textId="77777777" w:rsidR="00CB0C84" w:rsidRDefault="00CB0C84" w:rsidP="00CB0C84">
      <w:pPr>
        <w:rPr>
          <w:rFonts w:eastAsiaTheme="minorHAnsi"/>
        </w:rPr>
      </w:pPr>
      <w:bookmarkStart w:id="5" w:name="_Hlk104384925"/>
      <w:r>
        <w:t>The purpose of this site assessment was to assess the service’s performance against a requirement that was previously found non-compliant.</w:t>
      </w:r>
    </w:p>
    <w:p w14:paraId="34E17BBC" w14:textId="77777777" w:rsidR="00CB0C84" w:rsidRPr="006A7F7E" w:rsidRDefault="00CB0C84" w:rsidP="00CB0C84">
      <w:pPr>
        <w:rPr>
          <w:rFonts w:ascii="Calibri" w:hAnsi="Calibri" w:cs="Calibri"/>
          <w:color w:val="auto"/>
          <w:sz w:val="22"/>
          <w:szCs w:val="22"/>
        </w:rPr>
      </w:pPr>
      <w:r>
        <w:t>Not all requirements were assessed and therefore an overall rating for the Quality Standard is not provided.</w:t>
      </w:r>
    </w:p>
    <w:bookmarkEnd w:id="5"/>
    <w:p w14:paraId="4954AD0B" w14:textId="77777777" w:rsidR="00CB0C84" w:rsidRDefault="00CB0C84" w:rsidP="00CB0C84">
      <w:pPr>
        <w:pStyle w:val="Heading2"/>
      </w:pPr>
      <w:r>
        <w:t>Assessment of Standard 2 Requirements</w:t>
      </w:r>
      <w:r w:rsidRPr="0066387A">
        <w:rPr>
          <w:i/>
          <w:color w:val="0000FF"/>
          <w:sz w:val="24"/>
          <w:szCs w:val="24"/>
        </w:rPr>
        <w:t xml:space="preserve"> </w:t>
      </w:r>
    </w:p>
    <w:p w14:paraId="507F5F5A" w14:textId="77777777" w:rsidR="00CB0C84" w:rsidRDefault="00CB0C84" w:rsidP="00CB0C84">
      <w:pPr>
        <w:pStyle w:val="Heading3"/>
      </w:pPr>
      <w:r w:rsidRPr="00051035">
        <w:t xml:space="preserve">Requirement </w:t>
      </w:r>
      <w:r>
        <w:t>2</w:t>
      </w:r>
      <w:r w:rsidRPr="00051035">
        <w:t>(3)(a)</w:t>
      </w:r>
      <w:r w:rsidRPr="00051035">
        <w:tab/>
        <w:t>Compliant</w:t>
      </w:r>
    </w:p>
    <w:p w14:paraId="4179F02A" w14:textId="77777777" w:rsidR="00CB0C84" w:rsidRPr="008D114F" w:rsidRDefault="00CB0C84" w:rsidP="00CB0C84">
      <w:pPr>
        <w:rPr>
          <w:i/>
        </w:rPr>
      </w:pPr>
      <w:r w:rsidRPr="008D114F">
        <w:rPr>
          <w:i/>
        </w:rPr>
        <w:t>Assessment and planning, including consideration of risks to the consumer’s health and well-being, informs the delivery of safe and effective care and services.</w:t>
      </w:r>
    </w:p>
    <w:p w14:paraId="7DFF4762" w14:textId="1ADDE1D3" w:rsidR="00CB0C84" w:rsidRDefault="00CB0C84" w:rsidP="00257486">
      <w:r w:rsidRPr="00CD7AEB">
        <w:t>The</w:t>
      </w:r>
      <w:r>
        <w:t xml:space="preserve"> previous </w:t>
      </w:r>
      <w:r w:rsidRPr="00CD7AEB">
        <w:t xml:space="preserve">non-compliance identified that care assessment information did not </w:t>
      </w:r>
      <w:r>
        <w:t xml:space="preserve">consider risk to consumers health and well-being specifically related </w:t>
      </w:r>
      <w:r w:rsidRPr="00CD7AEB">
        <w:t xml:space="preserve">to </w:t>
      </w:r>
      <w:r>
        <w:t xml:space="preserve">when consumers take day or social leave. </w:t>
      </w:r>
    </w:p>
    <w:p w14:paraId="6B732095" w14:textId="77777777" w:rsidR="00CB0C84" w:rsidRPr="00D62CA9" w:rsidRDefault="00CB0C84" w:rsidP="00257486">
      <w:r>
        <w:t xml:space="preserve">The Assessment Team found that the </w:t>
      </w:r>
      <w:r w:rsidRPr="00CD7AEB">
        <w:t xml:space="preserve">service has implemented improved </w:t>
      </w:r>
      <w:r>
        <w:t xml:space="preserve">policies and risk assessments </w:t>
      </w:r>
      <w:r w:rsidRPr="00CD7AEB">
        <w:t xml:space="preserve">to include identified risks for consumers and is conducting ongoing </w:t>
      </w:r>
      <w:r>
        <w:t xml:space="preserve">reviews </w:t>
      </w:r>
      <w:r w:rsidRPr="00CD7AEB">
        <w:t>to ensure these practices have been embedded</w:t>
      </w:r>
      <w:r>
        <w:t xml:space="preserve"> across all aspects of consumers health and well-being. </w:t>
      </w:r>
      <w:r w:rsidRPr="00CD7AEB">
        <w:t xml:space="preserve">The Assessment Team tested the effectiveness of the changes through consumer interviews, staff interviews and file review which demonstrate that the changes have been effective. </w:t>
      </w:r>
    </w:p>
    <w:p w14:paraId="3AB5F7DA" w14:textId="6234771C" w:rsidR="00CB0C84" w:rsidRDefault="00CB0C84" w:rsidP="00CB0C84">
      <w:r>
        <w:t>One consumers’ care planning documents were reviewed by the Assessment Team in regard to accessing day leave. The Assessment Team found that this consumer likes to leave the service unaccompanied. There are number of strategies that have been discussed and agreed between the consumer and the service on managing the risks with this day leave</w:t>
      </w:r>
      <w:r w:rsidR="00C64C4B">
        <w:t>, such as;</w:t>
      </w:r>
      <w:r>
        <w:t xml:space="preserve"> </w:t>
      </w:r>
      <w:r w:rsidR="00C64C4B">
        <w:t xml:space="preserve">the </w:t>
      </w:r>
      <w:r>
        <w:t>consumer carrying an identification card, providing an estimate of the time of return, and carrying a mobile phone.</w:t>
      </w:r>
    </w:p>
    <w:p w14:paraId="71F24C9F" w14:textId="5B6A6F80" w:rsidR="00CB0C84" w:rsidRDefault="00C64C4B" w:rsidP="00CB0C84">
      <w:r>
        <w:t>For a</w:t>
      </w:r>
      <w:r w:rsidR="00CB0C84">
        <w:t xml:space="preserve">nother consumer </w:t>
      </w:r>
      <w:r w:rsidR="00CB0C84" w:rsidRPr="006A7F7E">
        <w:t>who</w:t>
      </w:r>
      <w:r w:rsidR="00CB0C84">
        <w:t xml:space="preserve"> also</w:t>
      </w:r>
      <w:r w:rsidR="00CB0C84" w:rsidRPr="006A7F7E">
        <w:t xml:space="preserve"> chooses to access the community unaccompanied</w:t>
      </w:r>
      <w:r w:rsidR="00CB0C84">
        <w:t>, t</w:t>
      </w:r>
      <w:r w:rsidR="00CB0C84" w:rsidRPr="006A7F7E">
        <w:t>he Assessment Team found</w:t>
      </w:r>
      <w:r w:rsidR="00CB0C84">
        <w:t xml:space="preserve"> </w:t>
      </w:r>
      <w:r w:rsidR="00CB0C84" w:rsidRPr="006A7F7E">
        <w:t xml:space="preserve">a risk enablement form </w:t>
      </w:r>
      <w:r w:rsidR="00CB0C84">
        <w:t xml:space="preserve">was </w:t>
      </w:r>
      <w:r w:rsidR="00CB0C84" w:rsidRPr="006A7F7E">
        <w:t>completed</w:t>
      </w:r>
      <w:r w:rsidR="00CB0C84">
        <w:t xml:space="preserve"> which documented </w:t>
      </w:r>
      <w:r w:rsidR="00CB0C84" w:rsidRPr="006A7F7E">
        <w:t xml:space="preserve">the strategies </w:t>
      </w:r>
      <w:r w:rsidR="00CB0C84">
        <w:t>to ensure this consumers safety during day leave. These strategies have been discussed and agreed with the consumer and included booking taxi times for return, signing in an out of the service and carrying a card with the consumers details on.</w:t>
      </w:r>
      <w:r w:rsidR="00CB0C84" w:rsidRPr="00AD79AE">
        <w:t xml:space="preserve"> </w:t>
      </w:r>
      <w:r w:rsidR="00CB0C84">
        <w:t>The consumers representative confirmed in interview with the Assessment Team, that all the risks had been discussed and was grateful that the unaccompanied visits were supported by the service.</w:t>
      </w:r>
    </w:p>
    <w:p w14:paraId="77725536" w14:textId="77777777" w:rsidR="00CB0C84" w:rsidRDefault="00CB0C84" w:rsidP="00CB0C84">
      <w:r>
        <w:t xml:space="preserve">Another consumer, who had been refusing food supplements, and had experienced some weight loss, had a risk enablement form completed that assessed the risks and documented the consumers preferences in regard to food intake. A dietician had reviewed the consumer and made recommendation based on the consumers preferences. The Assessment Team found this information was clearly documented in the consumers care plan. </w:t>
      </w:r>
    </w:p>
    <w:p w14:paraId="783BF6B8" w14:textId="5664181A" w:rsidR="00CB0C84" w:rsidRDefault="00CB0C84" w:rsidP="00CB0C84">
      <w:r>
        <w:t xml:space="preserve">The Assessment Team found that management had appointed a nurse advisor to assist with the service making ongoing improvements in clinical assessment and planning care for consumers. The service is using an assessment form for </w:t>
      </w:r>
      <w:r w:rsidR="00C64C4B">
        <w:t xml:space="preserve">all </w:t>
      </w:r>
      <w:r>
        <w:t>consumer</w:t>
      </w:r>
      <w:r w:rsidR="00C64C4B">
        <w:t>s</w:t>
      </w:r>
      <w:r>
        <w:t xml:space="preserve"> on entry to the service to capture dietary needs, medication and complex care needs. Specific risk tools are routinely used to conduct a head to toe assessment to identify any skin integrity risks. </w:t>
      </w:r>
    </w:p>
    <w:p w14:paraId="2F74E5A9" w14:textId="5D77C80D" w:rsidR="00CB0C84" w:rsidRDefault="00CB0C84" w:rsidP="00CB0C84">
      <w:pPr>
        <w:pStyle w:val="ListBullet"/>
        <w:numPr>
          <w:ilvl w:val="0"/>
          <w:numId w:val="0"/>
        </w:numPr>
      </w:pPr>
      <w:r>
        <w:t xml:space="preserve">The Assessment team found that care plans are generated alongside assessments and consultation occurs throughout the process with consumers and their representatives. Case conferences are conducted post admission, upon request and as care needs change. </w:t>
      </w:r>
      <w:r w:rsidR="00C64C4B">
        <w:t xml:space="preserve">The Assessment Team found there </w:t>
      </w:r>
      <w:r>
        <w:t xml:space="preserve">is input from consumers and representatives during 3 monthly care plan evaluations, annual reassessments and care plan reviews. A copy of the summary care plan is available upon request. </w:t>
      </w:r>
      <w:r w:rsidRPr="00AE57CC">
        <w:t xml:space="preserve">Ongoing assessments and </w:t>
      </w:r>
      <w:r>
        <w:t xml:space="preserve">care plans are </w:t>
      </w:r>
      <w:r w:rsidRPr="00AE57CC">
        <w:t>updated in between with any changes.</w:t>
      </w:r>
    </w:p>
    <w:p w14:paraId="329B3EC4" w14:textId="7E287C0C" w:rsidR="00CB0C84" w:rsidRPr="003B5D15" w:rsidRDefault="00CB0C84" w:rsidP="00CB0C84">
      <w:bookmarkStart w:id="6" w:name="_Hlk105412538"/>
      <w:r>
        <w:t xml:space="preserve">In making my decision, I have considered the improvements implemented and </w:t>
      </w:r>
      <w:r w:rsidRPr="009A0517">
        <w:t>actions taken in response to the non-compliance under Standard 2, requirement 2 (</w:t>
      </w:r>
      <w:r w:rsidR="00186F31">
        <w:t>3</w:t>
      </w:r>
      <w:r w:rsidRPr="009A0517">
        <w:t xml:space="preserve">)(a). </w:t>
      </w:r>
      <w:bookmarkEnd w:id="6"/>
      <w:r w:rsidRPr="009A0517">
        <w:t xml:space="preserve">The Assessment Team found that these improvements have been made at the service as a result of the non-compliance and these changes are </w:t>
      </w:r>
      <w:r w:rsidR="00C64C4B">
        <w:t xml:space="preserve">now </w:t>
      </w:r>
      <w:r w:rsidRPr="009A0517">
        <w:t>embedded into staff practice</w:t>
      </w:r>
      <w:r>
        <w:t>s</w:t>
      </w:r>
      <w:r w:rsidRPr="009A0517">
        <w:t>.</w:t>
      </w:r>
    </w:p>
    <w:p w14:paraId="08C3ABCA" w14:textId="5036DB5D" w:rsidR="00CB0C84" w:rsidRDefault="00CB0C84" w:rsidP="00CB0C84">
      <w:r>
        <w:t>I am satisfied that the service had put in place systems and processes that ensure ongoing assessment and planning occurs for consumers. Consumers wishes are taken into account and appropriate risk mi</w:t>
      </w:r>
      <w:r w:rsidR="00186F31">
        <w:t>tig</w:t>
      </w:r>
      <w:r>
        <w:t>ation strategies put in place. I find the service compliant with this requirement.</w:t>
      </w: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1706223E" w14:textId="36E7C6F9"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BAB46F" w14:textId="77777777" w:rsidR="00CF38FD" w:rsidRDefault="00CF38FD" w:rsidP="00CF38FD">
      <w:pPr>
        <w:numPr>
          <w:ilvl w:val="0"/>
          <w:numId w:val="3"/>
        </w:numPr>
        <w:shd w:val="clear" w:color="auto" w:fill="F2F2F2" w:themeFill="background1" w:themeFillShade="F2"/>
      </w:pPr>
      <w:r>
        <w:t>and preferences to optimise health and well-being.</w:t>
      </w:r>
    </w:p>
    <w:p w14:paraId="50A8F465" w14:textId="77777777" w:rsidR="00CF38FD" w:rsidRDefault="00CF38FD" w:rsidP="00CF38FD">
      <w:pPr>
        <w:pStyle w:val="Heading2"/>
      </w:pPr>
      <w:r>
        <w:t>Assessment of Standard 3</w:t>
      </w:r>
    </w:p>
    <w:p w14:paraId="7CB49A15" w14:textId="77777777" w:rsidR="00CF38FD" w:rsidRDefault="00CF38FD" w:rsidP="00CF38FD">
      <w:pPr>
        <w:rPr>
          <w:rFonts w:eastAsiaTheme="minorHAnsi"/>
        </w:rPr>
      </w:pPr>
      <w:r>
        <w:t>The purpose of this site assessment was to assess the service’s performance against a requirement that was previously found non-compliant.</w:t>
      </w:r>
    </w:p>
    <w:p w14:paraId="37881E33" w14:textId="77777777" w:rsidR="00CF38FD" w:rsidRPr="006A7F7E" w:rsidRDefault="00CF38FD" w:rsidP="00CF38FD">
      <w:pPr>
        <w:rPr>
          <w:rFonts w:ascii="Calibri" w:hAnsi="Calibri" w:cs="Calibri"/>
          <w:color w:val="auto"/>
          <w:sz w:val="22"/>
          <w:szCs w:val="22"/>
        </w:rPr>
      </w:pPr>
      <w:r>
        <w:t>Not all requirements were assessed and therefore an overall rating for the Quality Standard is not provided.</w:t>
      </w:r>
    </w:p>
    <w:p w14:paraId="7BFB6D0E" w14:textId="77777777" w:rsidR="00CF38FD" w:rsidRDefault="00CF38FD" w:rsidP="00CF38F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93ACD1" w14:textId="77777777" w:rsidR="00CF38FD" w:rsidRPr="00853601" w:rsidRDefault="00CF38FD" w:rsidP="00CF38FD">
      <w:pPr>
        <w:pStyle w:val="Heading3"/>
      </w:pPr>
      <w:r w:rsidRPr="00853601">
        <w:t>Requirement 3(3)(a)</w:t>
      </w:r>
      <w:r>
        <w:tab/>
        <w:t>Compliant</w:t>
      </w:r>
    </w:p>
    <w:p w14:paraId="7759BC24" w14:textId="77777777" w:rsidR="00CF38FD" w:rsidRPr="008D114F" w:rsidRDefault="00CF38FD" w:rsidP="00CF38FD">
      <w:pPr>
        <w:rPr>
          <w:i/>
        </w:rPr>
      </w:pPr>
      <w:r w:rsidRPr="008D114F">
        <w:rPr>
          <w:i/>
        </w:rPr>
        <w:t>Each consumer gets safe and effective personal care, clinical care, or both personal care and clinical care, that:</w:t>
      </w:r>
    </w:p>
    <w:p w14:paraId="4893B8C6" w14:textId="77777777" w:rsidR="00CF38FD" w:rsidRPr="008D114F" w:rsidRDefault="00CF38FD" w:rsidP="00CF38FD">
      <w:pPr>
        <w:numPr>
          <w:ilvl w:val="0"/>
          <w:numId w:val="24"/>
        </w:numPr>
        <w:tabs>
          <w:tab w:val="right" w:pos="9026"/>
        </w:tabs>
        <w:spacing w:before="0" w:after="0"/>
        <w:ind w:left="567" w:hanging="425"/>
        <w:outlineLvl w:val="4"/>
        <w:rPr>
          <w:i/>
        </w:rPr>
      </w:pPr>
      <w:r w:rsidRPr="008D114F">
        <w:rPr>
          <w:i/>
        </w:rPr>
        <w:t>is best practice; and</w:t>
      </w:r>
    </w:p>
    <w:p w14:paraId="66245BF8" w14:textId="77777777" w:rsidR="00CF38FD" w:rsidRPr="008D114F" w:rsidRDefault="00CF38FD" w:rsidP="00CF38FD">
      <w:pPr>
        <w:numPr>
          <w:ilvl w:val="0"/>
          <w:numId w:val="24"/>
        </w:numPr>
        <w:tabs>
          <w:tab w:val="right" w:pos="9026"/>
        </w:tabs>
        <w:spacing w:before="0" w:after="0"/>
        <w:ind w:left="567" w:hanging="425"/>
        <w:outlineLvl w:val="4"/>
        <w:rPr>
          <w:i/>
        </w:rPr>
      </w:pPr>
      <w:r w:rsidRPr="008D114F">
        <w:rPr>
          <w:i/>
        </w:rPr>
        <w:t>is tailored to their needs; and</w:t>
      </w:r>
    </w:p>
    <w:p w14:paraId="1BE92358" w14:textId="77777777" w:rsidR="00CF38FD" w:rsidRPr="008D114F" w:rsidRDefault="00CF38FD" w:rsidP="00CF38FD">
      <w:pPr>
        <w:numPr>
          <w:ilvl w:val="0"/>
          <w:numId w:val="24"/>
        </w:numPr>
        <w:tabs>
          <w:tab w:val="right" w:pos="9026"/>
        </w:tabs>
        <w:spacing w:before="0" w:after="0"/>
        <w:ind w:left="567" w:hanging="425"/>
        <w:outlineLvl w:val="4"/>
        <w:rPr>
          <w:i/>
        </w:rPr>
      </w:pPr>
      <w:r w:rsidRPr="008D114F">
        <w:rPr>
          <w:i/>
        </w:rPr>
        <w:t>optimises their health and well-being.</w:t>
      </w:r>
    </w:p>
    <w:p w14:paraId="745C7394" w14:textId="28052134" w:rsidR="00CF38FD" w:rsidRDefault="00CF38FD" w:rsidP="00CF38FD">
      <w:r w:rsidRPr="00CD7AEB">
        <w:t xml:space="preserve">The non-compliance identified that </w:t>
      </w:r>
      <w:r w:rsidRPr="009A0517">
        <w:t>consumers did not always receive safe</w:t>
      </w:r>
      <w:r>
        <w:t xml:space="preserve"> and effective clinical care that is tailored to their individual need, is best practice and optimises their health and well-being. The service did not always demonstrate that consumers at high risk of pressure injuries were effectively managed.</w:t>
      </w:r>
    </w:p>
    <w:p w14:paraId="19CAEEAD" w14:textId="77777777" w:rsidR="00CF38FD" w:rsidRPr="00A46150" w:rsidRDefault="00CF38FD" w:rsidP="00CF38FD">
      <w:r>
        <w:t>The Assessment Team found t</w:t>
      </w:r>
      <w:r w:rsidRPr="00CD7AEB">
        <w:t xml:space="preserve">he service has </w:t>
      </w:r>
      <w:r>
        <w:t xml:space="preserve">reviewed and </w:t>
      </w:r>
      <w:r w:rsidRPr="00CD7AEB">
        <w:t xml:space="preserve">implemented </w:t>
      </w:r>
      <w:r>
        <w:t xml:space="preserve">improved skin and wound management policies, wound assessment and management </w:t>
      </w:r>
      <w:r w:rsidRPr="009A0517">
        <w:t>plan</w:t>
      </w:r>
      <w:r>
        <w:t>s</w:t>
      </w:r>
      <w:r w:rsidRPr="009A0517">
        <w:t xml:space="preserve">. Staff have been provided with improved training and resources related to skin, wounds and pressure injury management for consumers. Management is conducting </w:t>
      </w:r>
      <w:r w:rsidRPr="008A4B90">
        <w:t>ongoing</w:t>
      </w:r>
      <w:r w:rsidRPr="001A6D32">
        <w:t xml:space="preserve"> </w:t>
      </w:r>
      <w:r w:rsidRPr="00CD7AEB">
        <w:t xml:space="preserve">spot checks and audits to </w:t>
      </w:r>
      <w:r>
        <w:t xml:space="preserve">confirm staff knowledge and </w:t>
      </w:r>
      <w:r w:rsidRPr="00CD7AEB">
        <w:t xml:space="preserve">ensure these practices have been </w:t>
      </w:r>
      <w:r w:rsidRPr="008A4B90">
        <w:t>embedded. The</w:t>
      </w:r>
      <w:r w:rsidRPr="00CD7AEB">
        <w:t xml:space="preserve"> Assessment Team tested the effectiveness of the changes through consumer </w:t>
      </w:r>
      <w:r>
        <w:t xml:space="preserve">representative </w:t>
      </w:r>
      <w:r w:rsidRPr="00CD7AEB">
        <w:t xml:space="preserve">interviews, staff interviews and file review which demonstrate that the changes have been effective. </w:t>
      </w:r>
    </w:p>
    <w:p w14:paraId="19332AB5" w14:textId="2AA1B689" w:rsidR="00CF38FD" w:rsidRDefault="00CF38FD" w:rsidP="00A46150">
      <w:r>
        <w:t xml:space="preserve">One </w:t>
      </w:r>
      <w:r w:rsidRPr="008A4B90">
        <w:t>consumers’</w:t>
      </w:r>
      <w:r>
        <w:t xml:space="preserve"> </w:t>
      </w:r>
      <w:r w:rsidRPr="008A4B90">
        <w:t>current</w:t>
      </w:r>
      <w:r>
        <w:t xml:space="preserve"> behavioural support plan include descriptions of the consumers behaviours, plus the known triggers and interventions to support this consumer’s care needs effectively. In addition, this consumer, has a restraint authorisation and assessment form completed which contains evidence of informed consent, medication prescribed with associated side- effects, and alternative strategies to trial. The Assessment Team found progress notes that demonstrated the use of alternative measures before medication had been used. Care staff were very knowledgeable about the strategies that suited this consumers care needs</w:t>
      </w:r>
      <w:r w:rsidR="00F34FD3">
        <w:t>.</w:t>
      </w:r>
    </w:p>
    <w:p w14:paraId="4829DD4D" w14:textId="742F803F" w:rsidR="00CF38FD" w:rsidRDefault="00CF38FD" w:rsidP="00A46150">
      <w:r>
        <w:t>One consumer had an initial assessment indicating th</w:t>
      </w:r>
      <w:r w:rsidR="00F34FD3">
        <w:t>ey were</w:t>
      </w:r>
      <w:r>
        <w:t xml:space="preserve"> at high risk of pressures injuries and a stage 1 wound was documented. The Assessment Team found regular assessment and monitoring had occurred, all aspects of wound charting and dressing changes had occurred consistently for this consumer. This consumer was experiencing pain due to the wound and a nutrition assessment indicating malnourishment. The Assessment Team found pain charts were completed regular</w:t>
      </w:r>
      <w:r w:rsidR="00F34FD3">
        <w:t>ly</w:t>
      </w:r>
      <w:r>
        <w:t xml:space="preserve"> with appropriate treatment given and a referral to the dietician. This consumer care needs were discussed with the consumers</w:t>
      </w:r>
      <w:r w:rsidR="00251753">
        <w:t>’</w:t>
      </w:r>
      <w:r>
        <w:t xml:space="preserve"> representative and documented in the care plan. The consumer stated they were satisfied with the care given for the management of their wound and pain management.</w:t>
      </w:r>
    </w:p>
    <w:p w14:paraId="07C9C1D5" w14:textId="69A8D68B" w:rsidR="00CF38FD" w:rsidRDefault="00CF38FD" w:rsidP="00CF38FD">
      <w:r>
        <w:t>During interviews with care staff, the Assessment Team found</w:t>
      </w:r>
      <w:r w:rsidR="00251753">
        <w:t xml:space="preserve"> </w:t>
      </w:r>
      <w:r>
        <w:t>the service has identified wound management as an area for improvement, and have implemented a range of interventions including; staff training, wound audits, and updated the wound assessment and management planning documents.</w:t>
      </w:r>
    </w:p>
    <w:p w14:paraId="621DAA65" w14:textId="7DED3B51" w:rsidR="00CF38FD" w:rsidRDefault="00CF38FD" w:rsidP="00CF38FD">
      <w:pPr>
        <w:sectPr w:rsidR="00CF38FD" w:rsidSect="00CB3BA9">
          <w:type w:val="continuous"/>
          <w:pgSz w:w="11906" w:h="16838"/>
          <w:pgMar w:top="1701" w:right="1418" w:bottom="1418" w:left="1418" w:header="709" w:footer="397" w:gutter="0"/>
          <w:cols w:space="708"/>
          <w:titlePg/>
          <w:docGrid w:linePitch="360"/>
        </w:sectPr>
      </w:pPr>
      <w:r>
        <w:t xml:space="preserve">In making this decision, the service has demonstrated that they deliver safe and effective care in accordance with consumers’ needs and preferences. I note the improvements implemented and actions taken in response to the </w:t>
      </w:r>
      <w:r w:rsidRPr="00D62CA9">
        <w:t>non-compliance under Standard 3, requirement 3 (3)(a)</w:t>
      </w:r>
      <w:r>
        <w:t>. I</w:t>
      </w:r>
      <w:r w:rsidRPr="00A6699F">
        <w:t>mprovements have been made at the service as a result of the non-compliance and these changes are embed</w:t>
      </w:r>
      <w:r>
        <w:t>ded</w:t>
      </w:r>
      <w:r w:rsidRPr="00A6699F">
        <w:t xml:space="preserve"> into staff practice</w:t>
      </w:r>
      <w:r w:rsidRPr="00D62CA9">
        <w:t>.</w:t>
      </w:r>
      <w:r>
        <w:t xml:space="preserve"> Therefore, I find the service compl</w:t>
      </w:r>
      <w:r w:rsidR="00C86F5C">
        <w:t>ia</w:t>
      </w:r>
      <w:r>
        <w:t>nt with this requirement.</w:t>
      </w:r>
    </w:p>
    <w:p w14:paraId="18E72354" w14:textId="77777777" w:rsidR="00032B17" w:rsidRDefault="00032B17" w:rsidP="00095CD4"/>
    <w:p w14:paraId="3E3E1DB6" w14:textId="1BF81FC2" w:rsidR="00853601" w:rsidRDefault="00853601"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17EE3839" w14:textId="4725E601" w:rsidR="00ED71F6" w:rsidRDefault="00ED71F6" w:rsidP="00ED71F6">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drawing>
          <wp:anchor distT="0" distB="0" distL="114300" distR="114300" simplePos="0" relativeHeight="251667456" behindDoc="1" locked="0" layoutInCell="1" allowOverlap="1" wp14:anchorId="74726A60" wp14:editId="6467E5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90766"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8EF956F" w14:textId="77777777" w:rsidR="00ED71F6" w:rsidRPr="00FD1B02" w:rsidRDefault="00ED71F6" w:rsidP="00ED71F6">
      <w:pPr>
        <w:pStyle w:val="Heading3"/>
        <w:shd w:val="clear" w:color="auto" w:fill="F2F2F2" w:themeFill="background1" w:themeFillShade="F2"/>
      </w:pPr>
      <w:r w:rsidRPr="008312AC">
        <w:t>Consumer</w:t>
      </w:r>
      <w:r w:rsidRPr="00FD1B02">
        <w:t xml:space="preserve"> outcome:</w:t>
      </w:r>
    </w:p>
    <w:p w14:paraId="0A449C0B" w14:textId="77777777" w:rsidR="00ED71F6" w:rsidRDefault="00ED71F6" w:rsidP="00ED71F6">
      <w:pPr>
        <w:numPr>
          <w:ilvl w:val="0"/>
          <w:numId w:val="8"/>
        </w:numPr>
        <w:shd w:val="clear" w:color="auto" w:fill="F2F2F2" w:themeFill="background1" w:themeFillShade="F2"/>
      </w:pPr>
      <w:r>
        <w:t>I am confident the organisation is well run. I can partner in improving the delivery of care and services.</w:t>
      </w:r>
    </w:p>
    <w:p w14:paraId="052307E0" w14:textId="77777777" w:rsidR="00ED71F6" w:rsidRDefault="00ED71F6" w:rsidP="00ED71F6">
      <w:pPr>
        <w:pStyle w:val="Heading3"/>
        <w:shd w:val="clear" w:color="auto" w:fill="F2F2F2" w:themeFill="background1" w:themeFillShade="F2"/>
      </w:pPr>
      <w:r>
        <w:t>Organisation statement:</w:t>
      </w:r>
    </w:p>
    <w:p w14:paraId="64A41FF1" w14:textId="64BD5901" w:rsidR="00ED71F6" w:rsidRDefault="00ED71F6" w:rsidP="00782F81">
      <w:pPr>
        <w:numPr>
          <w:ilvl w:val="0"/>
          <w:numId w:val="8"/>
        </w:numPr>
        <w:shd w:val="clear" w:color="auto" w:fill="F2F2F2" w:themeFill="background1" w:themeFillShade="F2"/>
      </w:pPr>
      <w:r>
        <w:t>The organisation’s governing body is accountable for the delivery of safe and quality care and services.</w:t>
      </w:r>
    </w:p>
    <w:p w14:paraId="29677191" w14:textId="04C069B6" w:rsidR="00782F81" w:rsidRDefault="00782F81" w:rsidP="00782F81">
      <w:pPr>
        <w:pStyle w:val="Heading2"/>
      </w:pPr>
      <w:r>
        <w:t>Assessment of Standard 8</w:t>
      </w:r>
    </w:p>
    <w:p w14:paraId="007C9A7A" w14:textId="77777777" w:rsidR="00782F81" w:rsidRDefault="00782F81" w:rsidP="00782F81">
      <w:pPr>
        <w:rPr>
          <w:rFonts w:eastAsiaTheme="minorHAnsi"/>
        </w:rPr>
      </w:pPr>
      <w:r>
        <w:t>The purpose of this site assessment was to assess the service’s performance against a requirement that was previously found non-compliant.</w:t>
      </w:r>
    </w:p>
    <w:p w14:paraId="473EE2C8" w14:textId="77777777" w:rsidR="00782F81" w:rsidRDefault="00782F81" w:rsidP="00782F81">
      <w:r>
        <w:t>Not all requirements were assessed and therefore an overall rating for the Quality Standard is not provided.</w:t>
      </w:r>
    </w:p>
    <w:p w14:paraId="528EEFCB" w14:textId="77777777" w:rsidR="00782F81" w:rsidRDefault="00782F81" w:rsidP="00782F81">
      <w:pPr>
        <w:rPr>
          <w:rFonts w:eastAsia="Calibri"/>
          <w:lang w:eastAsia="en-US"/>
        </w:rPr>
      </w:pPr>
      <w:r w:rsidRPr="00ED780B">
        <w:t>The service was found non-compliant in one of the 5 specific requirements under this Quality Standard at the previous Assessment contact on 9 September 2021.</w:t>
      </w:r>
      <w:r>
        <w:t xml:space="preserve"> </w:t>
      </w:r>
    </w:p>
    <w:p w14:paraId="1038FEFF" w14:textId="77777777" w:rsidR="00782F81" w:rsidRDefault="00782F81" w:rsidP="00782F81">
      <w:pPr>
        <w:pStyle w:val="Heading2"/>
      </w:pPr>
      <w:r>
        <w:t>Assessment of Standard 8 Requirements</w:t>
      </w:r>
      <w:r w:rsidRPr="0066387A">
        <w:rPr>
          <w:i/>
          <w:color w:val="0000FF"/>
          <w:sz w:val="24"/>
          <w:szCs w:val="24"/>
        </w:rPr>
        <w:t xml:space="preserve"> </w:t>
      </w:r>
    </w:p>
    <w:p w14:paraId="759B2445" w14:textId="77777777" w:rsidR="00782F81" w:rsidRPr="00506F7F" w:rsidRDefault="00782F81" w:rsidP="00782F81">
      <w:pPr>
        <w:pStyle w:val="Heading3"/>
      </w:pPr>
      <w:r w:rsidRPr="00506F7F">
        <w:t>Requirement 8(3)(d)</w:t>
      </w:r>
      <w:r>
        <w:tab/>
        <w:t>Compliant</w:t>
      </w:r>
    </w:p>
    <w:p w14:paraId="5BCB6EA4" w14:textId="77777777" w:rsidR="00782F81" w:rsidRPr="008D114F" w:rsidRDefault="00782F81" w:rsidP="00782F81">
      <w:pPr>
        <w:rPr>
          <w:i/>
        </w:rPr>
      </w:pPr>
      <w:r w:rsidRPr="008D114F">
        <w:rPr>
          <w:i/>
        </w:rPr>
        <w:t>Effective risk management systems and practices, including but not limited to the following:</w:t>
      </w:r>
    </w:p>
    <w:p w14:paraId="266061EC" w14:textId="77777777" w:rsidR="00782F81" w:rsidRPr="008D114F" w:rsidRDefault="00782F81" w:rsidP="00782F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995421" w14:textId="77777777" w:rsidR="00782F81" w:rsidRPr="008D114F" w:rsidRDefault="00782F81" w:rsidP="00782F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73D5512" w14:textId="77777777" w:rsidR="00782F81" w:rsidRDefault="00782F81" w:rsidP="00782F81">
      <w:pPr>
        <w:numPr>
          <w:ilvl w:val="0"/>
          <w:numId w:val="29"/>
        </w:numPr>
        <w:tabs>
          <w:tab w:val="right" w:pos="9026"/>
        </w:tabs>
        <w:spacing w:before="0" w:after="0"/>
        <w:ind w:left="567" w:hanging="425"/>
        <w:outlineLvl w:val="4"/>
        <w:rPr>
          <w:i/>
        </w:rPr>
      </w:pPr>
      <w:r w:rsidRPr="008D114F">
        <w:rPr>
          <w:i/>
        </w:rPr>
        <w:t>supporting consumers to live the best life they can</w:t>
      </w:r>
    </w:p>
    <w:p w14:paraId="16F580A3" w14:textId="77777777" w:rsidR="00782F81" w:rsidRPr="008D114F" w:rsidRDefault="00782F81" w:rsidP="00782F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354B2AC" w14:textId="77777777" w:rsidR="00782F81" w:rsidRDefault="00782F81" w:rsidP="00782F81">
      <w:r>
        <w:t xml:space="preserve">The focus of this Assessment contact visit was to assess the service’s progress in returning to compliance in this requirement. </w:t>
      </w:r>
    </w:p>
    <w:p w14:paraId="435758EF" w14:textId="77777777" w:rsidR="00782F81" w:rsidRPr="008557A5" w:rsidRDefault="00782F81" w:rsidP="00782F81">
      <w:r w:rsidRPr="00ED780B">
        <w:t>The service was able to demonstrate that improvements have been made and the deficits previously identified have been addressed.</w:t>
      </w:r>
    </w:p>
    <w:p w14:paraId="08FBAA9C" w14:textId="458EF5D5" w:rsidR="00782F81" w:rsidRDefault="00782F81" w:rsidP="00782F81">
      <w:pPr>
        <w:rPr>
          <w:rFonts w:eastAsia="Calibri"/>
          <w:color w:val="000000" w:themeColor="text1"/>
          <w:lang w:eastAsia="en-US"/>
        </w:rPr>
      </w:pPr>
      <w:r>
        <w:rPr>
          <w:rFonts w:eastAsia="Calibri"/>
          <w:color w:val="auto"/>
          <w:lang w:eastAsia="en-US"/>
        </w:rPr>
        <w:t xml:space="preserve">The Assessment Team found that the service has a risk management framework which includes supportive polices for management of high impact and high prevalence risks, abuse and neglect, incident management and prevention and </w:t>
      </w:r>
      <w:r w:rsidRPr="00831EE8">
        <w:rPr>
          <w:rFonts w:eastAsia="Calibri"/>
          <w:color w:val="auto"/>
          <w:lang w:eastAsia="en-US"/>
        </w:rPr>
        <w:t xml:space="preserve">supporting </w:t>
      </w:r>
      <w:r w:rsidRPr="00831EE8">
        <w:rPr>
          <w:rFonts w:eastAsia="Calibri"/>
          <w:color w:val="000000" w:themeColor="text1"/>
          <w:lang w:eastAsia="en-US"/>
        </w:rPr>
        <w:t>consumers to live the best life they can. Staff confirmed that they were aware of these polices had been educated about how to use them in their work. The service has introduced incident awareness and risk and SIRS education</w:t>
      </w:r>
      <w:r w:rsidR="00251753">
        <w:rPr>
          <w:rFonts w:eastAsia="Calibri"/>
          <w:color w:val="000000" w:themeColor="text1"/>
          <w:lang w:eastAsia="en-US"/>
        </w:rPr>
        <w:t>. S</w:t>
      </w:r>
      <w:r w:rsidRPr="00831EE8">
        <w:rPr>
          <w:rFonts w:eastAsia="Calibri"/>
          <w:color w:val="000000" w:themeColor="text1"/>
          <w:lang w:eastAsia="en-US"/>
        </w:rPr>
        <w:t>taff confi</w:t>
      </w:r>
      <w:r>
        <w:rPr>
          <w:rFonts w:eastAsia="Calibri"/>
          <w:color w:val="000000" w:themeColor="text1"/>
          <w:lang w:eastAsia="en-US"/>
        </w:rPr>
        <w:t>r</w:t>
      </w:r>
      <w:r w:rsidRPr="00831EE8">
        <w:rPr>
          <w:rFonts w:eastAsia="Calibri"/>
          <w:color w:val="000000" w:themeColor="text1"/>
          <w:lang w:eastAsia="en-US"/>
        </w:rPr>
        <w:t xml:space="preserve">med that they were given the opportunity to discuss scenarios and </w:t>
      </w:r>
      <w:r>
        <w:rPr>
          <w:rFonts w:eastAsia="Calibri"/>
          <w:color w:val="000000" w:themeColor="text1"/>
          <w:lang w:eastAsia="en-US"/>
        </w:rPr>
        <w:t>preventative strategies. The Assessment Team found documentation to confirm staff attendance at this training.</w:t>
      </w:r>
    </w:p>
    <w:p w14:paraId="39CCD7B9" w14:textId="77777777" w:rsidR="00782F81" w:rsidRDefault="00782F81" w:rsidP="00782F81">
      <w:pPr>
        <w:rPr>
          <w:rFonts w:eastAsia="Calibri"/>
          <w:color w:val="000000" w:themeColor="text1"/>
          <w:lang w:eastAsia="en-US"/>
        </w:rPr>
      </w:pPr>
      <w:r w:rsidRPr="00B44E43">
        <w:rPr>
          <w:rFonts w:eastAsia="Calibri"/>
          <w:color w:val="000000" w:themeColor="text1"/>
          <w:lang w:eastAsia="en-US"/>
        </w:rPr>
        <w:t>The service has implemented a social leave management plan and consent form, to ensure these risk are effectively managed. In addition, there is a r</w:t>
      </w:r>
      <w:r>
        <w:rPr>
          <w:rFonts w:eastAsia="Calibri"/>
          <w:color w:val="000000" w:themeColor="text1"/>
          <w:lang w:eastAsia="en-US"/>
        </w:rPr>
        <w:t>e</w:t>
      </w:r>
      <w:r w:rsidRPr="00B44E43">
        <w:rPr>
          <w:rFonts w:eastAsia="Calibri"/>
          <w:color w:val="000000" w:themeColor="text1"/>
          <w:lang w:eastAsia="en-US"/>
        </w:rPr>
        <w:t>sident leave policy and risk enablement assessment form. The Assessment Team found these assessment h</w:t>
      </w:r>
      <w:r>
        <w:rPr>
          <w:rFonts w:eastAsia="Calibri"/>
          <w:color w:val="000000" w:themeColor="text1"/>
          <w:lang w:eastAsia="en-US"/>
        </w:rPr>
        <w:t>a</w:t>
      </w:r>
      <w:r w:rsidRPr="00B44E43">
        <w:rPr>
          <w:rFonts w:eastAsia="Calibri"/>
          <w:color w:val="000000" w:themeColor="text1"/>
          <w:lang w:eastAsia="en-US"/>
        </w:rPr>
        <w:t>d been</w:t>
      </w:r>
      <w:r>
        <w:rPr>
          <w:rFonts w:eastAsia="Calibri"/>
          <w:color w:val="000000" w:themeColor="text1"/>
          <w:lang w:eastAsia="en-US"/>
        </w:rPr>
        <w:t xml:space="preserve"> discussed and</w:t>
      </w:r>
      <w:r w:rsidRPr="00B44E43">
        <w:rPr>
          <w:rFonts w:eastAsia="Calibri"/>
          <w:color w:val="000000" w:themeColor="text1"/>
          <w:lang w:eastAsia="en-US"/>
        </w:rPr>
        <w:t xml:space="preserve"> completed for the c</w:t>
      </w:r>
      <w:r>
        <w:rPr>
          <w:rFonts w:eastAsia="Calibri"/>
          <w:color w:val="000000" w:themeColor="text1"/>
          <w:lang w:eastAsia="en-US"/>
        </w:rPr>
        <w:t>onsumers</w:t>
      </w:r>
      <w:r w:rsidRPr="00B44E43">
        <w:rPr>
          <w:rFonts w:eastAsia="Calibri"/>
          <w:color w:val="000000" w:themeColor="text1"/>
          <w:lang w:eastAsia="en-US"/>
        </w:rPr>
        <w:t xml:space="preserve"> sampled</w:t>
      </w:r>
      <w:r>
        <w:rPr>
          <w:rFonts w:eastAsia="Calibri"/>
          <w:color w:val="000000" w:themeColor="text1"/>
          <w:lang w:eastAsia="en-US"/>
        </w:rPr>
        <w:t>.</w:t>
      </w:r>
    </w:p>
    <w:p w14:paraId="027C9EC4" w14:textId="77777777" w:rsidR="00782F81" w:rsidRDefault="00782F81" w:rsidP="00782F81">
      <w:pPr>
        <w:rPr>
          <w:rFonts w:eastAsia="Calibri"/>
          <w:color w:val="000000" w:themeColor="text1"/>
          <w:lang w:eastAsia="en-US"/>
        </w:rPr>
      </w:pPr>
      <w:r>
        <w:rPr>
          <w:rFonts w:eastAsia="Calibri"/>
          <w:color w:val="000000" w:themeColor="text1"/>
          <w:lang w:eastAsia="en-US"/>
        </w:rPr>
        <w:t xml:space="preserve">The service had introduced a SIRs flow chart to support staff manage reporting of these incidents. The service has reviewed the incident management policy to provide specific information to staff on how to manage incidents. The Assessment Team found staff could describe abuse and neglect, and recall the processes to follow for reporting abuse and neglect. One consumer with a pressure injury had an incident report lodged and the Assessment Team found that this incident was reported, documented and communicated to the consumers representative appropriately. </w:t>
      </w:r>
    </w:p>
    <w:p w14:paraId="01E36E6B" w14:textId="1879D20F" w:rsidR="00782F81" w:rsidRDefault="00782F81" w:rsidP="00782F81">
      <w:pPr>
        <w:rPr>
          <w:rFonts w:eastAsia="Calibri"/>
          <w:color w:val="000000" w:themeColor="text1"/>
          <w:lang w:eastAsia="en-US"/>
        </w:rPr>
      </w:pPr>
      <w:r>
        <w:rPr>
          <w:rFonts w:eastAsia="Calibri"/>
          <w:color w:val="000000" w:themeColor="text1"/>
          <w:lang w:eastAsia="en-US"/>
        </w:rPr>
        <w:t>The Assessment Team found that for the sampled consumers, appropriate discussions and risk assessments had been completed and documented to ensure these consumers were able to engage in activities that they enjoyed such as going on day leave. The service had recently updated the ‘dignity and respect policy ‘ to guide staff in supporting consumer with choice and decision making.</w:t>
      </w:r>
    </w:p>
    <w:p w14:paraId="0D0FAE9B" w14:textId="14D6EFEE" w:rsidR="00782F81" w:rsidRPr="00B44E43" w:rsidRDefault="00782F81" w:rsidP="00782F81">
      <w:pPr>
        <w:rPr>
          <w:rFonts w:eastAsia="Calibri"/>
          <w:color w:val="000000" w:themeColor="text1"/>
          <w:lang w:eastAsia="en-US"/>
        </w:rPr>
      </w:pPr>
      <w:r>
        <w:rPr>
          <w:rFonts w:eastAsia="Calibri"/>
          <w:color w:val="000000" w:themeColor="text1"/>
          <w:lang w:eastAsia="en-US"/>
        </w:rPr>
        <w:t>The Assessment Team found the service had updated the entry assessment process to prompt discussion around day leave and ensure appropriate risk management strategies are in place. The service has an electronic sign in/out system to monitor consumers leaving and returning to the service.</w:t>
      </w:r>
    </w:p>
    <w:p w14:paraId="74EBE587" w14:textId="14BF4432" w:rsidR="00782F81" w:rsidRDefault="00782F81" w:rsidP="00782F81">
      <w:pPr>
        <w:tabs>
          <w:tab w:val="right" w:pos="9026"/>
        </w:tabs>
        <w:rPr>
          <w:rFonts w:eastAsia="Calibri"/>
        </w:rPr>
      </w:pPr>
      <w:r>
        <w:rPr>
          <w:rFonts w:eastAsia="Calibri"/>
          <w:lang w:eastAsia="en-US"/>
        </w:rPr>
        <w:t>In making this decision, I note t</w:t>
      </w:r>
      <w:r w:rsidRPr="00831EE8">
        <w:rPr>
          <w:rFonts w:eastAsia="Calibri"/>
          <w:lang w:eastAsia="en-US"/>
        </w:rPr>
        <w:t xml:space="preserve">he service has improved existing systems and developed and implemented new risk management systems, policies and processes, to </w:t>
      </w:r>
      <w:r w:rsidRPr="00831EE8">
        <w:rPr>
          <w:rFonts w:eastAsia="Calibri"/>
          <w:color w:val="000000" w:themeColor="text1"/>
          <w:lang w:eastAsia="en-US"/>
        </w:rPr>
        <w:t>manage</w:t>
      </w:r>
      <w:r w:rsidRPr="00831EE8">
        <w:rPr>
          <w:rFonts w:eastAsia="Calibri"/>
          <w:lang w:eastAsia="en-US"/>
        </w:rPr>
        <w:t xml:space="preserve"> high impact and high prevalence risks</w:t>
      </w:r>
      <w:r w:rsidRPr="00831EE8">
        <w:rPr>
          <w:rFonts w:eastAsia="Calibri"/>
          <w:color w:val="auto"/>
          <w:lang w:eastAsia="en-US"/>
        </w:rPr>
        <w:t>. Staff were able to describe their obligation in relation to recognising, reporting and recording incidents. Care planning documents reviewed reflects that incidents are managed promptly, appropriately and escalated as required.</w:t>
      </w:r>
    </w:p>
    <w:p w14:paraId="18D158FE" w14:textId="77777777" w:rsidR="00782F81" w:rsidRPr="00D64680" w:rsidRDefault="00782F81" w:rsidP="00782F81">
      <w:pPr>
        <w:tabs>
          <w:tab w:val="right" w:pos="9026"/>
        </w:tabs>
        <w:rPr>
          <w:rFonts w:eastAsia="Calibri"/>
        </w:rPr>
      </w:pPr>
      <w:r>
        <w:rPr>
          <w:rFonts w:eastAsia="Calibri"/>
        </w:rPr>
        <w:t xml:space="preserve">I note the improvements implemented and actions taken in response to the </w:t>
      </w:r>
      <w:r w:rsidRPr="001C12B1">
        <w:rPr>
          <w:rFonts w:eastAsia="Fira Sans Light"/>
          <w:color w:val="000000" w:themeColor="text1"/>
          <w:szCs w:val="22"/>
          <w:lang w:eastAsia="en-US"/>
        </w:rPr>
        <w:t>non-compliance under Standard 8, Requirement 8(3)(d)</w:t>
      </w:r>
      <w:r>
        <w:rPr>
          <w:rFonts w:eastAsia="Calibri"/>
        </w:rPr>
        <w:t>.</w:t>
      </w:r>
      <w:r>
        <w:rPr>
          <w:rFonts w:eastAsiaTheme="minorHAnsi"/>
          <w:color w:val="auto"/>
          <w:lang w:eastAsia="en-US"/>
        </w:rPr>
        <w:t xml:space="preserve"> I</w:t>
      </w:r>
      <w:r w:rsidRPr="00A6699F">
        <w:rPr>
          <w:rFonts w:eastAsiaTheme="minorHAnsi"/>
          <w:color w:val="auto"/>
          <w:lang w:eastAsia="en-US"/>
        </w:rPr>
        <w:t>mprovements</w:t>
      </w:r>
      <w:r>
        <w:rPr>
          <w:rFonts w:eastAsiaTheme="minorHAnsi"/>
          <w:color w:val="auto"/>
          <w:lang w:eastAsia="en-US"/>
        </w:rPr>
        <w:t xml:space="preserve"> </w:t>
      </w:r>
      <w:r w:rsidRPr="00A6699F">
        <w:rPr>
          <w:rFonts w:eastAsiaTheme="minorHAnsi"/>
          <w:color w:val="auto"/>
          <w:lang w:eastAsia="en-US"/>
        </w:rPr>
        <w:t>have been made at the service as a result of the non-compliance and these changes are embed into staff practice</w:t>
      </w:r>
      <w:r w:rsidRPr="00A6699F">
        <w:rPr>
          <w:rFonts w:eastAsia="Fira Sans Light"/>
          <w:szCs w:val="22"/>
          <w:lang w:eastAsia="en-US"/>
        </w:rPr>
        <w:t>.</w:t>
      </w:r>
      <w:r>
        <w:rPr>
          <w:rFonts w:eastAsia="Fira Sans Light"/>
          <w:szCs w:val="22"/>
          <w:lang w:eastAsia="en-US"/>
        </w:rPr>
        <w:t xml:space="preserve"> Therefore, I find the service compliant with this requirement.</w:t>
      </w:r>
    </w:p>
    <w:p w14:paraId="38837F2E" w14:textId="77777777" w:rsidR="00782F81" w:rsidRPr="00154403" w:rsidRDefault="00782F81" w:rsidP="00782F81"/>
    <w:p w14:paraId="27B2E081" w14:textId="77777777" w:rsidR="00782F81" w:rsidRDefault="00782F81" w:rsidP="00782F81">
      <w:pPr>
        <w:tabs>
          <w:tab w:val="right" w:pos="9026"/>
        </w:tabs>
        <w:sectPr w:rsidR="00782F81" w:rsidSect="008D7780">
          <w:type w:val="continuous"/>
          <w:pgSz w:w="11906" w:h="16838"/>
          <w:pgMar w:top="1701" w:right="1418" w:bottom="1418" w:left="1418" w:header="709" w:footer="397" w:gutter="0"/>
          <w:cols w:space="708"/>
          <w:docGrid w:linePitch="360"/>
        </w:sectPr>
      </w:pPr>
    </w:p>
    <w:p w14:paraId="145B71B5" w14:textId="77777777" w:rsidR="00782F81" w:rsidRDefault="00782F81" w:rsidP="00782F81">
      <w:pPr>
        <w:pStyle w:val="Heading1"/>
      </w:pPr>
      <w:r>
        <w:t>Areas for improvement</w:t>
      </w:r>
    </w:p>
    <w:p w14:paraId="1325F31D" w14:textId="77777777" w:rsidR="00782F81" w:rsidRPr="00E830C7" w:rsidRDefault="00782F81" w:rsidP="00782F8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782F81"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F681" w14:textId="77777777" w:rsidR="0072180B" w:rsidRDefault="0072180B" w:rsidP="00603E0E">
      <w:pPr>
        <w:spacing w:after="0" w:line="240" w:lineRule="auto"/>
      </w:pPr>
      <w:r>
        <w:separator/>
      </w:r>
    </w:p>
  </w:endnote>
  <w:endnote w:type="continuationSeparator" w:id="0">
    <w:p w14:paraId="35AEA607" w14:textId="77777777" w:rsidR="0072180B" w:rsidRDefault="0072180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76D9" w14:textId="77777777" w:rsidR="009C7EEA" w:rsidRPr="009A1F1B" w:rsidRDefault="009C7EEA" w:rsidP="009C7E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E72E36" w14:textId="77777777" w:rsidR="009C7EEA" w:rsidRPr="00C72FFB" w:rsidRDefault="009C7EEA" w:rsidP="009C7E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Rosary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E49D1F" w14:textId="77777777" w:rsidR="009C7EEA" w:rsidRPr="00C72FFB" w:rsidRDefault="009C7EEA" w:rsidP="009C7E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12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C0C89" w14:textId="77777777" w:rsidR="0072180B" w:rsidRDefault="0072180B" w:rsidP="00603E0E">
      <w:pPr>
        <w:spacing w:after="0" w:line="240" w:lineRule="auto"/>
      </w:pPr>
      <w:r>
        <w:separator/>
      </w:r>
    </w:p>
  </w:footnote>
  <w:footnote w:type="continuationSeparator" w:id="0">
    <w:p w14:paraId="67E76B61" w14:textId="77777777" w:rsidR="0072180B" w:rsidRDefault="0072180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08351BCB" w:rsidR="00FB0086" w:rsidRPr="00CE287F" w:rsidRDefault="000C4FDF" w:rsidP="00CE287F">
    <w:pPr>
      <w:pStyle w:val="Header"/>
    </w:pPr>
    <w:r>
      <w:rPr>
        <w:noProof/>
        <w:color w:val="auto"/>
        <w:sz w:val="20"/>
        <w:lang w:val="en-US" w:eastAsia="en-US"/>
      </w:rPr>
      <w:drawing>
        <wp:anchor distT="0" distB="0" distL="114300" distR="114300" simplePos="0" relativeHeight="251665920" behindDoc="1" locked="0" layoutInCell="1" allowOverlap="1" wp14:anchorId="7877EFB8" wp14:editId="2BE89851">
          <wp:simplePos x="0" y="0"/>
          <wp:positionH relativeFrom="page">
            <wp:align>left</wp:align>
          </wp:positionH>
          <wp:positionV relativeFrom="paragraph">
            <wp:posOffset>-391160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6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66A5" w14:textId="77777777" w:rsidR="00506F7F" w:rsidRDefault="00AE4989"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32AC1CDB" wp14:editId="0FDBBC0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11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44B3161B" w:rsidR="00FB0086" w:rsidRPr="000C4FDF" w:rsidRDefault="00991B39" w:rsidP="000C4FDF">
    <w:pPr>
      <w:pStyle w:val="Header"/>
    </w:pPr>
    <w:r>
      <w:rPr>
        <w:noProof/>
        <w:color w:val="auto"/>
        <w:sz w:val="20"/>
        <w:lang w:val="en-US" w:eastAsia="en-US"/>
      </w:rPr>
      <w:drawing>
        <wp:anchor distT="0" distB="0" distL="114300" distR="114300" simplePos="0" relativeHeight="251666944" behindDoc="1" locked="0" layoutInCell="1" allowOverlap="1" wp14:anchorId="2563E779" wp14:editId="5ECEA149">
          <wp:simplePos x="0" y="0"/>
          <wp:positionH relativeFrom="column">
            <wp:posOffset>-876300</wp:posOffset>
          </wp:positionH>
          <wp:positionV relativeFrom="paragraph">
            <wp:posOffset>-400685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6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4FDF"/>
    <w:rsid w:val="000E1859"/>
    <w:rsid w:val="000E654D"/>
    <w:rsid w:val="000F01D0"/>
    <w:rsid w:val="000F6EBE"/>
    <w:rsid w:val="0010469B"/>
    <w:rsid w:val="00106C3D"/>
    <w:rsid w:val="00111BAB"/>
    <w:rsid w:val="00114B51"/>
    <w:rsid w:val="001237C3"/>
    <w:rsid w:val="00123BD5"/>
    <w:rsid w:val="00130077"/>
    <w:rsid w:val="0013147D"/>
    <w:rsid w:val="0013259D"/>
    <w:rsid w:val="001347F9"/>
    <w:rsid w:val="001416E6"/>
    <w:rsid w:val="001427C5"/>
    <w:rsid w:val="00147A25"/>
    <w:rsid w:val="00152896"/>
    <w:rsid w:val="00153251"/>
    <w:rsid w:val="00154403"/>
    <w:rsid w:val="00173F30"/>
    <w:rsid w:val="00175740"/>
    <w:rsid w:val="00176254"/>
    <w:rsid w:val="00186F31"/>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1753"/>
    <w:rsid w:val="00257486"/>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8726C"/>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26689"/>
    <w:rsid w:val="00531864"/>
    <w:rsid w:val="00534120"/>
    <w:rsid w:val="00540A5B"/>
    <w:rsid w:val="0055136F"/>
    <w:rsid w:val="0055217D"/>
    <w:rsid w:val="005603F8"/>
    <w:rsid w:val="005677AF"/>
    <w:rsid w:val="005710E3"/>
    <w:rsid w:val="00572D76"/>
    <w:rsid w:val="00583F47"/>
    <w:rsid w:val="005851BF"/>
    <w:rsid w:val="0059076E"/>
    <w:rsid w:val="00592B7F"/>
    <w:rsid w:val="005A4677"/>
    <w:rsid w:val="005A7FF3"/>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61DF"/>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16626"/>
    <w:rsid w:val="0072180B"/>
    <w:rsid w:val="00724A1B"/>
    <w:rsid w:val="00726B26"/>
    <w:rsid w:val="00730442"/>
    <w:rsid w:val="00734ADE"/>
    <w:rsid w:val="007418CD"/>
    <w:rsid w:val="00750234"/>
    <w:rsid w:val="00751D7F"/>
    <w:rsid w:val="0075456B"/>
    <w:rsid w:val="00755BEF"/>
    <w:rsid w:val="0076141C"/>
    <w:rsid w:val="007721ED"/>
    <w:rsid w:val="00782605"/>
    <w:rsid w:val="007826A6"/>
    <w:rsid w:val="00782F81"/>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2757"/>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91B39"/>
    <w:rsid w:val="009A1F1B"/>
    <w:rsid w:val="009C5F28"/>
    <w:rsid w:val="009C6F30"/>
    <w:rsid w:val="009C7EEA"/>
    <w:rsid w:val="009D2609"/>
    <w:rsid w:val="009F435B"/>
    <w:rsid w:val="009F5685"/>
    <w:rsid w:val="00A075EF"/>
    <w:rsid w:val="00A1255D"/>
    <w:rsid w:val="00A30BEC"/>
    <w:rsid w:val="00A3716D"/>
    <w:rsid w:val="00A46150"/>
    <w:rsid w:val="00A463E2"/>
    <w:rsid w:val="00A516C7"/>
    <w:rsid w:val="00A5274E"/>
    <w:rsid w:val="00A60CB2"/>
    <w:rsid w:val="00A627C8"/>
    <w:rsid w:val="00A828BA"/>
    <w:rsid w:val="00A863C0"/>
    <w:rsid w:val="00A86EE6"/>
    <w:rsid w:val="00A922D9"/>
    <w:rsid w:val="00A93E3F"/>
    <w:rsid w:val="00AA0895"/>
    <w:rsid w:val="00AA42AE"/>
    <w:rsid w:val="00AA5ED0"/>
    <w:rsid w:val="00AB0027"/>
    <w:rsid w:val="00AB336B"/>
    <w:rsid w:val="00AB422D"/>
    <w:rsid w:val="00AB5960"/>
    <w:rsid w:val="00AB644D"/>
    <w:rsid w:val="00AD05ED"/>
    <w:rsid w:val="00AD13D8"/>
    <w:rsid w:val="00AD2A69"/>
    <w:rsid w:val="00AD659C"/>
    <w:rsid w:val="00AD7B12"/>
    <w:rsid w:val="00AE0857"/>
    <w:rsid w:val="00AE2AF0"/>
    <w:rsid w:val="00AE4565"/>
    <w:rsid w:val="00AE4989"/>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28FA"/>
    <w:rsid w:val="00C45C8B"/>
    <w:rsid w:val="00C51D13"/>
    <w:rsid w:val="00C631F8"/>
    <w:rsid w:val="00C645D2"/>
    <w:rsid w:val="00C64C4B"/>
    <w:rsid w:val="00C650DB"/>
    <w:rsid w:val="00C72FFB"/>
    <w:rsid w:val="00C81797"/>
    <w:rsid w:val="00C83441"/>
    <w:rsid w:val="00C86F5C"/>
    <w:rsid w:val="00C87528"/>
    <w:rsid w:val="00C87798"/>
    <w:rsid w:val="00C91B9D"/>
    <w:rsid w:val="00C95164"/>
    <w:rsid w:val="00C97A6C"/>
    <w:rsid w:val="00CA5E9E"/>
    <w:rsid w:val="00CA7DD4"/>
    <w:rsid w:val="00CB0C84"/>
    <w:rsid w:val="00CB15B4"/>
    <w:rsid w:val="00CB3BA9"/>
    <w:rsid w:val="00CB431C"/>
    <w:rsid w:val="00CB45DA"/>
    <w:rsid w:val="00CC2266"/>
    <w:rsid w:val="00CE287F"/>
    <w:rsid w:val="00CE2BDB"/>
    <w:rsid w:val="00CF216F"/>
    <w:rsid w:val="00CF38FD"/>
    <w:rsid w:val="00CF6AC7"/>
    <w:rsid w:val="00CF7866"/>
    <w:rsid w:val="00D02D17"/>
    <w:rsid w:val="00D15851"/>
    <w:rsid w:val="00D20635"/>
    <w:rsid w:val="00D21DCD"/>
    <w:rsid w:val="00D2235F"/>
    <w:rsid w:val="00D229E2"/>
    <w:rsid w:val="00D376F2"/>
    <w:rsid w:val="00D41C65"/>
    <w:rsid w:val="00D435F8"/>
    <w:rsid w:val="00D43E78"/>
    <w:rsid w:val="00D51BF1"/>
    <w:rsid w:val="00D57990"/>
    <w:rsid w:val="00D62E53"/>
    <w:rsid w:val="00D75344"/>
    <w:rsid w:val="00D7684B"/>
    <w:rsid w:val="00D8684F"/>
    <w:rsid w:val="00D97A23"/>
    <w:rsid w:val="00DA3981"/>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3C90"/>
    <w:rsid w:val="00EA592B"/>
    <w:rsid w:val="00EB0061"/>
    <w:rsid w:val="00EB1D71"/>
    <w:rsid w:val="00EC2305"/>
    <w:rsid w:val="00EC345E"/>
    <w:rsid w:val="00EC45FA"/>
    <w:rsid w:val="00EC5474"/>
    <w:rsid w:val="00EC77E5"/>
    <w:rsid w:val="00ED3CCF"/>
    <w:rsid w:val="00ED45D1"/>
    <w:rsid w:val="00ED6B57"/>
    <w:rsid w:val="00ED71F6"/>
    <w:rsid w:val="00EE01DF"/>
    <w:rsid w:val="00EE5FAC"/>
    <w:rsid w:val="00EF2995"/>
    <w:rsid w:val="00EF329E"/>
    <w:rsid w:val="00EF5801"/>
    <w:rsid w:val="00EF6825"/>
    <w:rsid w:val="00F00491"/>
    <w:rsid w:val="00F01AE0"/>
    <w:rsid w:val="00F07ACD"/>
    <w:rsid w:val="00F140DA"/>
    <w:rsid w:val="00F20CF7"/>
    <w:rsid w:val="00F30A4F"/>
    <w:rsid w:val="00F323B1"/>
    <w:rsid w:val="00F34FD3"/>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A27DF"/>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CB0C84"/>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8416</RACS_x0020_ID>
    <Approved_x0020_Provider xmlns="a8338b6e-77a6-4851-82b6-98166143ffdd">Southern Cross Care (Tas) Inc</Approved_x0020_Provider>
    <Management_x0020_Company_x0020_ID xmlns="a8338b6e-77a6-4851-82b6-98166143ffdd" xsi:nil="true"/>
    <Home xmlns="a8338b6e-77a6-4851-82b6-98166143ffdd">Rosary Gardens</Home>
    <Signed xmlns="a8338b6e-77a6-4851-82b6-98166143ffdd" xsi:nil="true"/>
    <Uploaded xmlns="a8338b6e-77a6-4851-82b6-98166143ffdd">true</Uploaded>
    <Management_x0020_Company xmlns="a8338b6e-77a6-4851-82b6-98166143ffdd" xsi:nil="true"/>
    <Doc_x0020_Date xmlns="a8338b6e-77a6-4851-82b6-98166143ffdd">2022-05-31T05:41:46+00:00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Doc_x0020_Type xmlns="a8338b6e-77a6-4851-82b6-98166143ffdd">Publication</Doc_x0020_Type>
    <Home_x0020_ID xmlns="a8338b6e-77a6-4851-82b6-98166143ffdd">8FFA2B92-7CF4-DC11-AD41-005056922186</Home_x0020_ID>
    <State xmlns="a8338b6e-77a6-4851-82b6-98166143ffdd">TAS</State>
    <Doc_x0020_Sent_Received_x0020_Date xmlns="a8338b6e-77a6-4851-82b6-98166143ffdd">2022-05-31T00:00:00+00:00</Doc_x0020_Sent_Received_x0020_Date>
    <Activity_x0020_ID xmlns="a8338b6e-77a6-4851-82b6-98166143ffdd">B4CAFE8A-F13C-EC11-B8F1-005056922186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A6A4-4BB8-42EC-B107-60EF21C25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0646D868-2E57-4ABA-AFA5-5A2C16E2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2022-06-07T03:26:00Z</dcterms:created>
  <dcterms:modified xsi:type="dcterms:W3CDTF">2022-06-07T03:27:00Z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