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F4F3"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5774D289" w14:textId="4032994C" w:rsidR="00ED41E5" w:rsidRPr="005B10DA" w:rsidRDefault="001A4CBC" w:rsidP="00ED41E5">
      <w:pPr>
        <w:spacing w:after="60"/>
        <w:rPr>
          <w:sz w:val="24"/>
          <w:szCs w:val="24"/>
        </w:rPr>
      </w:pPr>
      <w:r>
        <w:rPr>
          <w:sz w:val="24"/>
          <w:szCs w:val="24"/>
        </w:rPr>
        <w:t>Aged Care Quality and Safety Commission</w:t>
      </w:r>
    </w:p>
    <w:p w14:paraId="37BDBDD1" w14:textId="0CA277D7" w:rsidR="004B6E7B" w:rsidRPr="001A4CBC" w:rsidRDefault="005B10DA" w:rsidP="00167837">
      <w:pPr>
        <w:pStyle w:val="Title"/>
        <w:spacing w:before="0"/>
        <w:jc w:val="left"/>
        <w:rPr>
          <w:rFonts w:ascii="Arial" w:hAnsi="Arial" w:cs="Arial"/>
        </w:rPr>
      </w:pPr>
      <w:r>
        <w:rPr>
          <w:rFonts w:ascii="Arial" w:hAnsi="Arial" w:cs="Arial"/>
          <w:highlight w:val="yellow"/>
        </w:rPr>
        <w:br/>
      </w:r>
      <w:r w:rsidR="001A4CBC">
        <w:rPr>
          <w:rFonts w:ascii="Arial" w:hAnsi="Arial" w:cs="Arial"/>
        </w:rPr>
        <w:t>Sector Re</w:t>
      </w:r>
      <w:r w:rsidR="001A4CBC" w:rsidRPr="001A4CBC">
        <w:rPr>
          <w:rFonts w:ascii="Arial" w:hAnsi="Arial" w:cs="Arial"/>
        </w:rPr>
        <w:t>adiness Update</w:t>
      </w:r>
    </w:p>
    <w:p w14:paraId="0527D1EC" w14:textId="395EAC0E" w:rsidR="003F7A61" w:rsidRPr="001A4CBC" w:rsidRDefault="001A4CBC" w:rsidP="005B10DA">
      <w:pPr>
        <w:pStyle w:val="Title"/>
        <w:spacing w:before="0"/>
        <w:jc w:val="left"/>
        <w:rPr>
          <w:rFonts w:ascii="Arial" w:hAnsi="Arial" w:cs="Arial"/>
          <w:noProof/>
          <w:sz w:val="30"/>
          <w:szCs w:val="30"/>
        </w:rPr>
      </w:pPr>
      <w:r w:rsidRPr="001A4CBC">
        <w:rPr>
          <w:rFonts w:ascii="Arial" w:hAnsi="Arial" w:cs="Arial"/>
          <w:noProof/>
          <w:sz w:val="30"/>
          <w:szCs w:val="30"/>
        </w:rPr>
        <w:t>Episode 3</w:t>
      </w:r>
    </w:p>
    <w:p w14:paraId="63ACF9CA" w14:textId="47037996" w:rsidR="00E47C39" w:rsidRPr="002D3112" w:rsidRDefault="001A4CBC" w:rsidP="00510F53">
      <w:pPr>
        <w:spacing w:before="120" w:after="60"/>
        <w:rPr>
          <w:sz w:val="26"/>
          <w:szCs w:val="26"/>
        </w:rPr>
      </w:pPr>
      <w:r w:rsidRPr="001A4CBC">
        <w:rPr>
          <w:sz w:val="26"/>
          <w:szCs w:val="26"/>
        </w:rPr>
        <w:t>October 2025</w:t>
      </w:r>
    </w:p>
    <w:p w14:paraId="7DF796EA" w14:textId="77777777" w:rsidR="00E47C39" w:rsidRPr="00E47C39" w:rsidRDefault="00E47C39" w:rsidP="00E47C39"/>
    <w:p w14:paraId="1E659BBA"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3B13E6D8" w14:textId="77777777" w:rsidR="005B10DA" w:rsidRDefault="005B10DA" w:rsidP="00022037">
      <w:pPr>
        <w:spacing w:after="60"/>
        <w:rPr>
          <w:rFonts w:ascii="Arial Bold" w:hAnsi="Arial Bold"/>
          <w:b/>
          <w:smallCaps/>
          <w:noProof/>
          <w:sz w:val="28"/>
          <w:szCs w:val="28"/>
          <w:highlight w:val="yellow"/>
        </w:rPr>
      </w:pPr>
    </w:p>
    <w:p w14:paraId="5AE25D4C" w14:textId="77777777" w:rsidR="005B10DA" w:rsidRPr="001A4CBC" w:rsidRDefault="005B10DA" w:rsidP="00022037">
      <w:pPr>
        <w:spacing w:after="60"/>
        <w:rPr>
          <w:rFonts w:ascii="Arial Bold" w:hAnsi="Arial Bold"/>
          <w:b/>
          <w:smallCaps/>
          <w:noProof/>
          <w:sz w:val="28"/>
          <w:szCs w:val="28"/>
        </w:rPr>
      </w:pPr>
    </w:p>
    <w:p w14:paraId="6B38861C" w14:textId="47054196" w:rsidR="00CA6B8D" w:rsidRDefault="001A4CBC" w:rsidP="00FF1765">
      <w:pPr>
        <w:spacing w:after="60"/>
        <w:rPr>
          <w:sz w:val="22"/>
          <w:szCs w:val="22"/>
        </w:rPr>
      </w:pPr>
      <w:r w:rsidRPr="001A4CBC">
        <w:rPr>
          <w:sz w:val="22"/>
          <w:szCs w:val="22"/>
        </w:rPr>
        <w:t>Bronwen Jaggers</w:t>
      </w:r>
      <w:r w:rsidR="00311CE9">
        <w:rPr>
          <w:sz w:val="22"/>
          <w:szCs w:val="22"/>
        </w:rPr>
        <w:t xml:space="preserve"> </w:t>
      </w:r>
    </w:p>
    <w:p w14:paraId="727DC420" w14:textId="5476C759" w:rsidR="00CA6B8D" w:rsidRDefault="00342AF6" w:rsidP="00FF1765">
      <w:pPr>
        <w:spacing w:after="60"/>
        <w:rPr>
          <w:sz w:val="22"/>
          <w:szCs w:val="22"/>
        </w:rPr>
      </w:pPr>
      <w:r>
        <w:rPr>
          <w:sz w:val="22"/>
          <w:szCs w:val="22"/>
        </w:rPr>
        <w:t>Assistant Commissioner, Engagement, Education and Communications</w:t>
      </w:r>
    </w:p>
    <w:p w14:paraId="5AFB507C" w14:textId="77777777" w:rsidR="00603CC8" w:rsidRPr="00495409" w:rsidRDefault="00603CC8" w:rsidP="00FF1765">
      <w:pPr>
        <w:spacing w:after="60"/>
        <w:rPr>
          <w:rStyle w:val="MainTitle"/>
          <w:b w:val="0"/>
          <w:sz w:val="22"/>
          <w:szCs w:val="22"/>
        </w:rPr>
      </w:pPr>
    </w:p>
    <w:p w14:paraId="764B9104" w14:textId="77777777" w:rsidR="00E47C39" w:rsidRDefault="00000000" w:rsidP="0006709E">
      <w:r>
        <w:pict w14:anchorId="003960E8">
          <v:rect id="_x0000_i1025" style="width:0;height:1.5pt" o:hralign="center" o:hrstd="t" o:hr="t" fillcolor="#a0a0a0" stroked="f"/>
        </w:pict>
      </w:r>
    </w:p>
    <w:p w14:paraId="4C073CD7" w14:textId="77777777" w:rsidR="0006709E" w:rsidRPr="00616382" w:rsidRDefault="0006709E" w:rsidP="0006709E"/>
    <w:p w14:paraId="4CB5DDA5" w14:textId="77777777" w:rsidR="00DC7275" w:rsidRDefault="00DC7275" w:rsidP="00384250">
      <w:pPr>
        <w:pStyle w:val="NameandTitle"/>
      </w:pPr>
    </w:p>
    <w:p w14:paraId="6DEFD251" w14:textId="3400CF6E"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webinar are of </w:t>
      </w:r>
      <w:r w:rsidR="001A4CBC">
        <w:rPr>
          <w:sz w:val="22"/>
          <w:szCs w:val="22"/>
        </w:rPr>
        <w:t xml:space="preserve">Bronwen Jaggers </w:t>
      </w:r>
      <w:r w:rsidR="00342AF6">
        <w:rPr>
          <w:sz w:val="22"/>
          <w:szCs w:val="22"/>
        </w:rPr>
        <w:t>speaking to camera</w:t>
      </w:r>
      <w:r w:rsidR="00D809A8">
        <w:rPr>
          <w:sz w:val="22"/>
          <w:szCs w:val="22"/>
        </w:rPr>
        <w:t>, with a PowerPoint presentation being played on screen</w:t>
      </w:r>
      <w:r w:rsidRPr="00123BC7">
        <w:rPr>
          <w:i w:val="0"/>
          <w:sz w:val="22"/>
          <w:szCs w:val="22"/>
        </w:rPr>
        <w:t>]</w:t>
      </w:r>
    </w:p>
    <w:p w14:paraId="39DA61BD" w14:textId="009080D1" w:rsidR="00F57F05" w:rsidRPr="0093536E" w:rsidRDefault="00342AF6" w:rsidP="00F57F05">
      <w:pPr>
        <w:keepNext/>
        <w:spacing w:after="240" w:line="360" w:lineRule="auto"/>
        <w:rPr>
          <w:rStyle w:val="MainTitle"/>
          <w:b w:val="0"/>
          <w:sz w:val="22"/>
          <w:szCs w:val="22"/>
        </w:rPr>
      </w:pPr>
      <w:r>
        <w:rPr>
          <w:b/>
          <w:sz w:val="22"/>
          <w:szCs w:val="22"/>
        </w:rPr>
        <w:t>Bronwen Jaggers</w:t>
      </w:r>
      <w:r w:rsidR="00F57F05">
        <w:rPr>
          <w:b/>
          <w:sz w:val="22"/>
          <w:szCs w:val="22"/>
        </w:rPr>
        <w:t>:</w:t>
      </w:r>
    </w:p>
    <w:p w14:paraId="09E4642F" w14:textId="44C3AEE6" w:rsidR="00BC5088" w:rsidRDefault="00342AF6" w:rsidP="0066208C">
      <w:pPr>
        <w:spacing w:after="240" w:line="360" w:lineRule="auto"/>
        <w:rPr>
          <w:rStyle w:val="MainTitle"/>
          <w:b w:val="0"/>
          <w:bCs w:val="0"/>
          <w:sz w:val="22"/>
          <w:szCs w:val="22"/>
        </w:rPr>
      </w:pPr>
      <w:r>
        <w:rPr>
          <w:rStyle w:val="MainTitle"/>
          <w:b w:val="0"/>
          <w:bCs w:val="0"/>
          <w:sz w:val="22"/>
          <w:szCs w:val="22"/>
        </w:rPr>
        <w:t>Hi and welcome to our latest Sector Readiness Update where we give you a snapshot of our recently released resources to help you prepare for the new Aged Care Act. I’m Bronwen Jaggers. I’m the Assistant Commissioner for Engagement, Education and Communication here at the Commission</w:t>
      </w:r>
      <w:r w:rsidR="00476F18">
        <w:rPr>
          <w:rStyle w:val="MainTitle"/>
          <w:b w:val="0"/>
          <w:bCs w:val="0"/>
          <w:sz w:val="22"/>
          <w:szCs w:val="22"/>
        </w:rPr>
        <w:t>.</w:t>
      </w:r>
    </w:p>
    <w:p w14:paraId="47D68617" w14:textId="7F6579DD" w:rsidR="00476F18" w:rsidRDefault="00476F18" w:rsidP="0066208C">
      <w:pPr>
        <w:spacing w:after="240" w:line="360" w:lineRule="auto"/>
        <w:rPr>
          <w:rStyle w:val="MainTitle"/>
          <w:b w:val="0"/>
          <w:bCs w:val="0"/>
          <w:sz w:val="22"/>
          <w:szCs w:val="22"/>
        </w:rPr>
      </w:pPr>
      <w:r>
        <w:rPr>
          <w:rStyle w:val="MainTitle"/>
          <w:b w:val="0"/>
          <w:bCs w:val="0"/>
          <w:sz w:val="22"/>
          <w:szCs w:val="22"/>
        </w:rPr>
        <w:t>Our lates sector readiness plan is available now in a topic based format. We have grouped the materials published since January so you can quickly find what’s most relevant to the topic you’re interested in. We’ve also released some new materials. In this episode we’ll take a closer look at some of the newer resources.</w:t>
      </w:r>
    </w:p>
    <w:p w14:paraId="0A3EA0C8" w14:textId="2B5F4ABB" w:rsidR="00476F18" w:rsidRDefault="00476F18" w:rsidP="0066208C">
      <w:pPr>
        <w:spacing w:after="240" w:line="360" w:lineRule="auto"/>
        <w:rPr>
          <w:rStyle w:val="MainTitle"/>
          <w:b w:val="0"/>
          <w:bCs w:val="0"/>
          <w:sz w:val="22"/>
          <w:szCs w:val="22"/>
        </w:rPr>
      </w:pPr>
      <w:r>
        <w:rPr>
          <w:rStyle w:val="MainTitle"/>
          <w:b w:val="0"/>
          <w:bCs w:val="0"/>
          <w:sz w:val="22"/>
          <w:szCs w:val="22"/>
        </w:rPr>
        <w:t>A lot is changing on the provider registration front. We have a suite of resources to inform you about these changes. This includes our Public Consultation Summary Report on the new charging arrangements and a fee comparison table. There are also some new forms coming and we’ve published the drafts online to help you prepare for the changes.</w:t>
      </w:r>
    </w:p>
    <w:p w14:paraId="794ECBE3" w14:textId="77777777" w:rsidR="00FC239C" w:rsidRDefault="00476F18" w:rsidP="0066208C">
      <w:pPr>
        <w:spacing w:after="240" w:line="360" w:lineRule="auto"/>
        <w:rPr>
          <w:rStyle w:val="MainTitle"/>
          <w:b w:val="0"/>
          <w:bCs w:val="0"/>
          <w:sz w:val="22"/>
          <w:szCs w:val="22"/>
        </w:rPr>
      </w:pPr>
      <w:r>
        <w:rPr>
          <w:rStyle w:val="MainTitle"/>
          <w:b w:val="0"/>
          <w:bCs w:val="0"/>
          <w:sz w:val="22"/>
          <w:szCs w:val="22"/>
        </w:rPr>
        <w:t>From the 1</w:t>
      </w:r>
      <w:r w:rsidRPr="00476F18">
        <w:rPr>
          <w:rStyle w:val="MainTitle"/>
          <w:b w:val="0"/>
          <w:bCs w:val="0"/>
          <w:sz w:val="22"/>
          <w:szCs w:val="22"/>
          <w:vertAlign w:val="superscript"/>
        </w:rPr>
        <w:t>st</w:t>
      </w:r>
      <w:r>
        <w:rPr>
          <w:rStyle w:val="MainTitle"/>
          <w:b w:val="0"/>
          <w:bCs w:val="0"/>
          <w:sz w:val="22"/>
          <w:szCs w:val="22"/>
        </w:rPr>
        <w:t xml:space="preserve"> of November 2025 audits will be done when providers register, renew or vary their registration with us. Learn all about it through our new e-learning module on Alis. And we’ve also published a pre-audit readiness checklist and audit guides along with standard audit meeting agenda</w:t>
      </w:r>
      <w:r w:rsidR="00FC239C">
        <w:rPr>
          <w:rStyle w:val="MainTitle"/>
          <w:b w:val="0"/>
          <w:bCs w:val="0"/>
          <w:sz w:val="22"/>
          <w:szCs w:val="22"/>
        </w:rPr>
        <w:t>s to help you better prepare.</w:t>
      </w:r>
    </w:p>
    <w:p w14:paraId="26A4E535" w14:textId="29BC2F3E" w:rsidR="00476F18" w:rsidRDefault="00FC239C" w:rsidP="0066208C">
      <w:pPr>
        <w:spacing w:after="240" w:line="360" w:lineRule="auto"/>
        <w:rPr>
          <w:rStyle w:val="MainTitle"/>
          <w:b w:val="0"/>
          <w:bCs w:val="0"/>
          <w:sz w:val="22"/>
          <w:szCs w:val="22"/>
        </w:rPr>
      </w:pPr>
      <w:r>
        <w:rPr>
          <w:rStyle w:val="MainTitle"/>
          <w:b w:val="0"/>
          <w:bCs w:val="0"/>
          <w:sz w:val="22"/>
          <w:szCs w:val="22"/>
        </w:rPr>
        <w:lastRenderedPageBreak/>
        <w:t xml:space="preserve">The new Aged Care Act includes new </w:t>
      </w:r>
      <w:r w:rsidR="00D809A8">
        <w:rPr>
          <w:rStyle w:val="MainTitle"/>
          <w:b w:val="0"/>
          <w:bCs w:val="0"/>
          <w:sz w:val="22"/>
          <w:szCs w:val="22"/>
        </w:rPr>
        <w:t>Financial and Prudential Standards that every provider must meet. The final exposure draft is now available for review on our website. We’ve also published the summary report of our public consultation and a fact sheet for older people about what the new Financial and Prudential Standards mean for them and what they can do if a provider isn’t meeting the Standards.</w:t>
      </w:r>
    </w:p>
    <w:p w14:paraId="7E622E6E" w14:textId="26962393" w:rsidR="00D809A8" w:rsidRDefault="00D809A8" w:rsidP="0066208C">
      <w:pPr>
        <w:spacing w:after="240" w:line="360" w:lineRule="auto"/>
        <w:rPr>
          <w:rStyle w:val="MainTitle"/>
          <w:b w:val="0"/>
          <w:bCs w:val="0"/>
          <w:sz w:val="22"/>
          <w:szCs w:val="22"/>
        </w:rPr>
      </w:pPr>
      <w:r>
        <w:rPr>
          <w:rStyle w:val="MainTitle"/>
          <w:b w:val="0"/>
          <w:bCs w:val="0"/>
          <w:sz w:val="22"/>
          <w:szCs w:val="22"/>
        </w:rPr>
        <w:t>There’s been a lot of interest around how we will monitor compliance and handle complaints under the new Act. We’ve published a provider registration web page where here you can find videos, case studies and a comprehensive provider supervision model explaining how the Commission will assess providers and respond to risks in aged care. To support an effective complaint handling process we have released a complaints handling checklist, better practice guides, open disclosure video and a complaint decision review fact sheet.</w:t>
      </w:r>
    </w:p>
    <w:p w14:paraId="10C959BA" w14:textId="6E69AE58" w:rsidR="00D809A8" w:rsidRDefault="00D809A8" w:rsidP="0066208C">
      <w:pPr>
        <w:spacing w:after="240" w:line="360" w:lineRule="auto"/>
        <w:rPr>
          <w:rStyle w:val="MainTitle"/>
          <w:b w:val="0"/>
          <w:bCs w:val="0"/>
          <w:sz w:val="22"/>
          <w:szCs w:val="22"/>
        </w:rPr>
      </w:pPr>
      <w:r>
        <w:rPr>
          <w:rStyle w:val="MainTitle"/>
          <w:b w:val="0"/>
          <w:bCs w:val="0"/>
          <w:sz w:val="22"/>
          <w:szCs w:val="22"/>
        </w:rPr>
        <w:t>Clinical reforms are a key area of focus under the new Aged Care Act. We’ve published a new toolkit on how to conduct a food focus group to help improve the food, dining and nutrition experience for older people. You can also access our new e-learning modules on Alis about dementia care and infection outbreak management in aged care settings.</w:t>
      </w:r>
    </w:p>
    <w:p w14:paraId="5E885EC5" w14:textId="6D6F1A2E" w:rsidR="00D809A8" w:rsidRDefault="00D809A8" w:rsidP="0066208C">
      <w:pPr>
        <w:spacing w:after="240" w:line="360" w:lineRule="auto"/>
        <w:rPr>
          <w:rStyle w:val="MainTitle"/>
          <w:b w:val="0"/>
          <w:bCs w:val="0"/>
          <w:sz w:val="22"/>
          <w:szCs w:val="22"/>
        </w:rPr>
      </w:pPr>
      <w:r>
        <w:rPr>
          <w:rStyle w:val="MainTitle"/>
          <w:b w:val="0"/>
          <w:bCs w:val="0"/>
          <w:sz w:val="22"/>
          <w:szCs w:val="22"/>
        </w:rPr>
        <w:t>We’ve continued our efforts to develop materials to support the implementation of the strengthened Quality Standards and these include conversation cards to support understanding of the new Standards among older people. Our online Quality Standards Resource Centre connects you with supporting information and resources from in and outside the Commission. You can also download some case study packs and review our webinars, presentations and an e-learning module on Alis.</w:t>
      </w:r>
    </w:p>
    <w:p w14:paraId="3E0B1C9E" w14:textId="7014CA6F" w:rsidR="00D809A8" w:rsidRDefault="00D809A8" w:rsidP="0066208C">
      <w:pPr>
        <w:spacing w:after="240" w:line="360" w:lineRule="auto"/>
        <w:rPr>
          <w:rStyle w:val="MainTitle"/>
          <w:b w:val="0"/>
          <w:bCs w:val="0"/>
          <w:sz w:val="22"/>
          <w:szCs w:val="22"/>
        </w:rPr>
      </w:pPr>
      <w:r>
        <w:rPr>
          <w:rStyle w:val="MainTitle"/>
          <w:b w:val="0"/>
          <w:bCs w:val="0"/>
          <w:sz w:val="22"/>
          <w:szCs w:val="22"/>
        </w:rPr>
        <w:t>Finally our resources for First Nations and culturally and linguistically diverse groups are now live. These include videos, animations, posters, fact sheets and flip charts and they’re on our website.</w:t>
      </w:r>
    </w:p>
    <w:p w14:paraId="67380550" w14:textId="73E1C786" w:rsidR="00D809A8" w:rsidRDefault="00D809A8" w:rsidP="0066208C">
      <w:pPr>
        <w:spacing w:after="240" w:line="360" w:lineRule="auto"/>
        <w:rPr>
          <w:rStyle w:val="MainTitle"/>
          <w:b w:val="0"/>
          <w:bCs w:val="0"/>
          <w:sz w:val="22"/>
          <w:szCs w:val="22"/>
        </w:rPr>
      </w:pPr>
      <w:r>
        <w:rPr>
          <w:rStyle w:val="MainTitle"/>
          <w:b w:val="0"/>
          <w:bCs w:val="0"/>
          <w:sz w:val="22"/>
          <w:szCs w:val="22"/>
        </w:rPr>
        <w:t>That’s it for today. For a full list of all our resources by topic take a look at the Sector Readiness Plan on our website. And remember to subscribe to our monthly Quality Bulletin as this is another great way to stay up to date. And send us your feedback at any time on the resources we’ve released as we are committed to continuous improvement and supporting the sector to get ready for the new Act. Bye for now.</w:t>
      </w:r>
    </w:p>
    <w:p w14:paraId="211368AA" w14:textId="10D91502" w:rsidR="00D809A8" w:rsidRPr="00D809A8" w:rsidRDefault="00D809A8" w:rsidP="0066208C">
      <w:pPr>
        <w:spacing w:after="240" w:line="360" w:lineRule="auto"/>
        <w:rPr>
          <w:rStyle w:val="MainTitle"/>
          <w:b w:val="0"/>
          <w:bCs w:val="0"/>
          <w:iCs/>
          <w:sz w:val="22"/>
          <w:szCs w:val="22"/>
        </w:rPr>
      </w:pPr>
      <w:r>
        <w:rPr>
          <w:rStyle w:val="MainTitle"/>
          <w:b w:val="0"/>
          <w:bCs w:val="0"/>
          <w:sz w:val="22"/>
          <w:szCs w:val="22"/>
        </w:rPr>
        <w:t>[</w:t>
      </w:r>
      <w:r>
        <w:rPr>
          <w:rStyle w:val="MainTitle"/>
          <w:b w:val="0"/>
          <w:bCs w:val="0"/>
          <w:i/>
          <w:sz w:val="22"/>
          <w:szCs w:val="22"/>
        </w:rPr>
        <w:t>Visual of slide with text saying ‘Visit’, ‘agedcarequality.gov.au’</w:t>
      </w:r>
      <w:r>
        <w:rPr>
          <w:rStyle w:val="MainTitle"/>
          <w:b w:val="0"/>
          <w:bCs w:val="0"/>
          <w:iCs/>
          <w:sz w:val="22"/>
          <w:szCs w:val="22"/>
        </w:rPr>
        <w:t>]</w:t>
      </w:r>
    </w:p>
    <w:p w14:paraId="14E25F5E" w14:textId="7396ACD3" w:rsidR="009503C8" w:rsidRDefault="009503C8" w:rsidP="009503C8">
      <w:pPr>
        <w:keepNext/>
        <w:spacing w:after="240" w:line="360" w:lineRule="auto"/>
        <w:rPr>
          <w:color w:val="000000" w:themeColor="text1"/>
          <w:sz w:val="22"/>
          <w:szCs w:val="22"/>
        </w:rPr>
      </w:pPr>
      <w:r w:rsidRPr="00424695">
        <w:rPr>
          <w:color w:val="000000" w:themeColor="text1"/>
          <w:sz w:val="22"/>
          <w:szCs w:val="22"/>
        </w:rPr>
        <w:lastRenderedPageBreak/>
        <w:t>[</w:t>
      </w:r>
      <w:r w:rsidR="001D0BE1">
        <w:rPr>
          <w:i/>
          <w:color w:val="000000" w:themeColor="text1"/>
          <w:sz w:val="22"/>
          <w:szCs w:val="22"/>
        </w:rPr>
        <w:t>Closing</w:t>
      </w:r>
      <w:r w:rsidRPr="00424695">
        <w:rPr>
          <w:i/>
          <w:color w:val="000000" w:themeColor="text1"/>
          <w:sz w:val="22"/>
          <w:szCs w:val="22"/>
        </w:rPr>
        <w:t xml:space="preserve"> visual </w:t>
      </w:r>
      <w:r w:rsidR="00D809A8">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D809A8">
        <w:rPr>
          <w:i/>
          <w:color w:val="000000" w:themeColor="text1"/>
          <w:sz w:val="22"/>
          <w:szCs w:val="22"/>
        </w:rPr>
        <w:t xml:space="preserve">with </w:t>
      </w:r>
      <w:r w:rsidR="00BA6E1B">
        <w:rPr>
          <w:i/>
          <w:color w:val="000000" w:themeColor="text1"/>
          <w:sz w:val="22"/>
          <w:szCs w:val="22"/>
        </w:rPr>
        <w:t>text saying ‘</w:t>
      </w:r>
      <w:r w:rsidR="00D809A8">
        <w:rPr>
          <w:i/>
          <w:color w:val="000000" w:themeColor="text1"/>
          <w:sz w:val="22"/>
          <w:szCs w:val="22"/>
        </w:rPr>
        <w:t>Australian Government with Crest (logo)’, ‘Aged Care Quality and Safety Commission’</w:t>
      </w:r>
      <w:r w:rsidR="00BA6E1B">
        <w:rPr>
          <w:color w:val="000000" w:themeColor="text1"/>
          <w:sz w:val="22"/>
          <w:szCs w:val="22"/>
        </w:rPr>
        <w:t>]</w:t>
      </w:r>
    </w:p>
    <w:p w14:paraId="4B716247" w14:textId="77777777" w:rsidR="00CB2402" w:rsidRPr="003730E3" w:rsidRDefault="009430FF" w:rsidP="009503C8">
      <w:pPr>
        <w:spacing w:after="240" w:line="360" w:lineRule="auto"/>
      </w:pPr>
      <w:r w:rsidRPr="003730E3">
        <w:t>[End of Transcript]</w:t>
      </w:r>
    </w:p>
    <w:p w14:paraId="57D4226C"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CF39" w14:textId="77777777" w:rsidR="004D48A7" w:rsidRDefault="004D48A7">
      <w:r>
        <w:separator/>
      </w:r>
    </w:p>
    <w:p w14:paraId="71CB74ED" w14:textId="77777777" w:rsidR="004D48A7" w:rsidRDefault="004D48A7"/>
    <w:p w14:paraId="2551A348" w14:textId="77777777" w:rsidR="004D48A7" w:rsidRDefault="004D48A7"/>
    <w:p w14:paraId="47F1CC4F" w14:textId="77777777" w:rsidR="004D48A7" w:rsidRDefault="004D48A7" w:rsidP="00D1605A"/>
    <w:p w14:paraId="2237D3A9" w14:textId="77777777" w:rsidR="004D48A7" w:rsidRDefault="004D48A7"/>
  </w:endnote>
  <w:endnote w:type="continuationSeparator" w:id="0">
    <w:p w14:paraId="1EBD52D7" w14:textId="77777777" w:rsidR="004D48A7" w:rsidRDefault="004D48A7">
      <w:r>
        <w:continuationSeparator/>
      </w:r>
    </w:p>
    <w:p w14:paraId="601FCD8E" w14:textId="77777777" w:rsidR="004D48A7" w:rsidRDefault="004D48A7"/>
    <w:p w14:paraId="3F1DBD6B" w14:textId="77777777" w:rsidR="004D48A7" w:rsidRDefault="004D48A7"/>
    <w:p w14:paraId="72F87CDF" w14:textId="77777777" w:rsidR="004D48A7" w:rsidRDefault="004D48A7" w:rsidP="00D1605A"/>
    <w:p w14:paraId="41DB7065" w14:textId="77777777" w:rsidR="004D48A7" w:rsidRDefault="004D4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5890" w14:textId="77777777" w:rsidR="00510F53" w:rsidRDefault="00510F53" w:rsidP="00510F53">
    <w:pPr>
      <w:pStyle w:val="Footer"/>
      <w:tabs>
        <w:tab w:val="clear" w:pos="4513"/>
        <w:tab w:val="clear" w:pos="9026"/>
        <w:tab w:val="right" w:pos="9498"/>
      </w:tabs>
      <w:rPr>
        <w:rFonts w:cs="Arial"/>
        <w:szCs w:val="18"/>
      </w:rPr>
    </w:pPr>
  </w:p>
  <w:p w14:paraId="5F3447A7"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32FE" w14:textId="77777777" w:rsidR="002B5138" w:rsidRDefault="002B5138" w:rsidP="00384250">
    <w:pPr>
      <w:pStyle w:val="Footer"/>
      <w:tabs>
        <w:tab w:val="clear" w:pos="4513"/>
        <w:tab w:val="clear" w:pos="9026"/>
        <w:tab w:val="right" w:pos="9498"/>
      </w:tabs>
      <w:rPr>
        <w:rFonts w:cs="Arial"/>
        <w:szCs w:val="18"/>
      </w:rPr>
    </w:pPr>
  </w:p>
  <w:p w14:paraId="69D32FFC"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F86C" w14:textId="77777777" w:rsidR="004D48A7" w:rsidRDefault="004D48A7">
      <w:r>
        <w:separator/>
      </w:r>
    </w:p>
    <w:p w14:paraId="150631C9" w14:textId="77777777" w:rsidR="004D48A7" w:rsidRDefault="004D48A7"/>
    <w:p w14:paraId="29B0AAE3" w14:textId="77777777" w:rsidR="004D48A7" w:rsidRDefault="004D48A7"/>
    <w:p w14:paraId="79988926" w14:textId="77777777" w:rsidR="004D48A7" w:rsidRDefault="004D48A7" w:rsidP="00D1605A"/>
    <w:p w14:paraId="6BD269F8" w14:textId="77777777" w:rsidR="004D48A7" w:rsidRDefault="004D48A7"/>
  </w:footnote>
  <w:footnote w:type="continuationSeparator" w:id="0">
    <w:p w14:paraId="40955E6A" w14:textId="77777777" w:rsidR="004D48A7" w:rsidRDefault="004D48A7">
      <w:r>
        <w:continuationSeparator/>
      </w:r>
    </w:p>
    <w:p w14:paraId="3D53E51F" w14:textId="77777777" w:rsidR="004D48A7" w:rsidRDefault="004D48A7"/>
    <w:p w14:paraId="5689B439" w14:textId="77777777" w:rsidR="004D48A7" w:rsidRDefault="004D48A7"/>
    <w:p w14:paraId="7BD3C000" w14:textId="77777777" w:rsidR="004D48A7" w:rsidRDefault="004D48A7" w:rsidP="00D1605A"/>
    <w:p w14:paraId="0579C347" w14:textId="77777777" w:rsidR="004D48A7" w:rsidRDefault="004D4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E18B" w14:textId="27DA8D36" w:rsidR="00AE567E" w:rsidRPr="00D809A8" w:rsidRDefault="00FC239C" w:rsidP="00022037">
    <w:pPr>
      <w:tabs>
        <w:tab w:val="right" w:pos="9475"/>
      </w:tabs>
    </w:pPr>
    <w:r>
      <w:t>Aged Care Quality a</w:t>
    </w:r>
    <w:r w:rsidRPr="00D809A8">
      <w:t>nd Safety Commission</w:t>
    </w:r>
  </w:p>
  <w:p w14:paraId="3A5D6019" w14:textId="446691D4" w:rsidR="00CB2402" w:rsidRPr="00D809A8" w:rsidRDefault="00FC239C" w:rsidP="00022037">
    <w:pPr>
      <w:tabs>
        <w:tab w:val="right" w:pos="9475"/>
      </w:tabs>
      <w:rPr>
        <w:b/>
      </w:rPr>
    </w:pPr>
    <w:r w:rsidRPr="00D809A8">
      <w:rPr>
        <w:rFonts w:cs="Arial"/>
        <w:b/>
        <w:noProof/>
        <w:sz w:val="22"/>
        <w:szCs w:val="22"/>
      </w:rPr>
      <w:t>Sector Readiness Update</w:t>
    </w:r>
    <w:r w:rsidR="0007150F" w:rsidRPr="00D809A8">
      <w:rPr>
        <w:rFonts w:cs="Arial"/>
        <w:b/>
        <w:noProof/>
        <w:sz w:val="22"/>
        <w:szCs w:val="22"/>
      </w:rPr>
      <w:br/>
    </w:r>
    <w:r w:rsidRPr="00D809A8">
      <w:rPr>
        <w:rFonts w:cs="Arial"/>
        <w:b/>
        <w:noProof/>
        <w:sz w:val="22"/>
        <w:szCs w:val="22"/>
      </w:rPr>
      <w:t>Episode 3</w:t>
    </w:r>
    <w:r w:rsidR="0007150F" w:rsidRPr="00D809A8">
      <w:rPr>
        <w:rFonts w:cs="Arial"/>
        <w:b/>
        <w:noProof/>
        <w:sz w:val="22"/>
        <w:szCs w:val="22"/>
      </w:rPr>
      <w:br/>
    </w:r>
    <w:r w:rsidRPr="00D809A8">
      <w:t>October 2025</w:t>
    </w:r>
    <w:r w:rsidR="007244F0" w:rsidRPr="00D809A8">
      <w:t xml:space="preserve"> - Transcript</w:t>
    </w:r>
  </w:p>
  <w:p w14:paraId="2B3C6751" w14:textId="12936B6C" w:rsidR="00022037" w:rsidRPr="00444C0F" w:rsidRDefault="001B1611" w:rsidP="009430FF">
    <w:pPr>
      <w:pBdr>
        <w:bottom w:val="single" w:sz="4" w:space="1" w:color="auto"/>
      </w:pBdr>
    </w:pPr>
    <w:r w:rsidRPr="00D809A8">
      <w:t>b</w:t>
    </w:r>
    <w:r w:rsidR="009430FF" w:rsidRPr="00D809A8">
      <w:t xml:space="preserve">y </w:t>
    </w:r>
    <w:r w:rsidR="00FC239C" w:rsidRPr="00D809A8">
      <w:t xml:space="preserve">Bronwen </w:t>
    </w:r>
    <w:r w:rsidR="00D809A8" w:rsidRPr="00D809A8">
      <w:t>Jaggers</w:t>
    </w:r>
  </w:p>
  <w:p w14:paraId="475445CC"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587562">
    <w:abstractNumId w:val="5"/>
  </w:num>
  <w:num w:numId="2" w16cid:durableId="1508785682">
    <w:abstractNumId w:val="3"/>
  </w:num>
  <w:num w:numId="3" w16cid:durableId="894436532">
    <w:abstractNumId w:val="2"/>
  </w:num>
  <w:num w:numId="4" w16cid:durableId="1875844949">
    <w:abstractNumId w:val="0"/>
  </w:num>
  <w:num w:numId="5" w16cid:durableId="705909425">
    <w:abstractNumId w:val="6"/>
  </w:num>
  <w:num w:numId="6" w16cid:durableId="963271421">
    <w:abstractNumId w:val="4"/>
  </w:num>
  <w:num w:numId="7" w16cid:durableId="777606528">
    <w:abstractNumId w:val="7"/>
  </w:num>
  <w:num w:numId="8" w16cid:durableId="674380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486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E7"/>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A7995"/>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0E44"/>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CBC"/>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34CE"/>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2AF6"/>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6F18"/>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48A7"/>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3D9D"/>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1E7"/>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09A8"/>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16B1"/>
    <w:rsid w:val="00FC22A6"/>
    <w:rsid w:val="00FC239C"/>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4AAD7"/>
  <w15:docId w15:val="{A494F1C3-07F0-423C-8287-C89EFB5D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367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16</TotalTime>
  <Pages>3</Pages>
  <Words>677</Words>
  <Characters>3535</Characters>
  <Application>Microsoft Office Word</Application>
  <DocSecurity>0</DocSecurity>
  <Lines>72</Lines>
  <Paragraphs>27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4185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9</cp:revision>
  <dcterms:created xsi:type="dcterms:W3CDTF">2025-10-06T02:29:00Z</dcterms:created>
  <dcterms:modified xsi:type="dcterms:W3CDTF">2025-10-06T02:47:00Z</dcterms:modified>
</cp:coreProperties>
</file>