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46D" w:rsidRDefault="00701BC3" w:rsidP="00701BC3">
      <w:pPr>
        <w:spacing w:before="10" w:after="10"/>
        <w:ind w:right="-454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noProof/>
          <w:sz w:val="22"/>
          <w:szCs w:val="22"/>
          <w:lang w:eastAsia="en-AU"/>
        </w:rPr>
        <w:drawing>
          <wp:inline distT="0" distB="0" distL="0" distR="0">
            <wp:extent cx="4303284" cy="950194"/>
            <wp:effectExtent l="0" t="0" r="254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at of arms strip design with AACQ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2285" cy="952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1BC3" w:rsidRDefault="00C2661D" w:rsidP="0057546D">
      <w:pPr>
        <w:spacing w:before="10" w:after="10"/>
        <w:ind w:right="-454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Communique 1</w:t>
      </w:r>
    </w:p>
    <w:p w:rsidR="008169DB" w:rsidRPr="00AD1460" w:rsidRDefault="008169DB" w:rsidP="0057546D">
      <w:pPr>
        <w:spacing w:before="10" w:after="10"/>
        <w:ind w:right="-454"/>
        <w:rPr>
          <w:rFonts w:cs="Arial"/>
          <w:b/>
          <w:sz w:val="22"/>
          <w:szCs w:val="22"/>
        </w:rPr>
      </w:pPr>
      <w:r w:rsidRPr="00AD1460">
        <w:rPr>
          <w:rFonts w:cs="Arial"/>
          <w:b/>
          <w:sz w:val="22"/>
          <w:szCs w:val="22"/>
        </w:rPr>
        <w:t xml:space="preserve">Update on </w:t>
      </w:r>
      <w:r w:rsidR="009B0EF5">
        <w:rPr>
          <w:rFonts w:cs="Arial"/>
          <w:b/>
          <w:sz w:val="22"/>
          <w:szCs w:val="22"/>
        </w:rPr>
        <w:t>Standards G</w:t>
      </w:r>
      <w:r w:rsidRPr="00AD1460">
        <w:rPr>
          <w:rFonts w:cs="Arial"/>
          <w:b/>
          <w:sz w:val="22"/>
          <w:szCs w:val="22"/>
        </w:rPr>
        <w:t xml:space="preserve">uidance </w:t>
      </w:r>
      <w:r w:rsidR="00701BC3">
        <w:rPr>
          <w:rFonts w:cs="Arial"/>
          <w:b/>
          <w:sz w:val="22"/>
          <w:szCs w:val="22"/>
        </w:rPr>
        <w:t>d</w:t>
      </w:r>
      <w:r w:rsidRPr="00AD1460">
        <w:rPr>
          <w:rFonts w:cs="Arial"/>
          <w:b/>
          <w:sz w:val="22"/>
          <w:szCs w:val="22"/>
        </w:rPr>
        <w:t>evelopment</w:t>
      </w:r>
    </w:p>
    <w:p w:rsidR="0057546D" w:rsidRPr="00AD1460" w:rsidRDefault="0057546D" w:rsidP="0057546D">
      <w:pPr>
        <w:pStyle w:val="ListParagraph"/>
        <w:spacing w:before="10" w:after="10"/>
        <w:ind w:left="0" w:right="-454"/>
        <w:jc w:val="both"/>
        <w:rPr>
          <w:rFonts w:cs="Arial"/>
          <w:b/>
          <w:sz w:val="22"/>
          <w:szCs w:val="22"/>
        </w:rPr>
      </w:pPr>
    </w:p>
    <w:p w:rsidR="0078003C" w:rsidRPr="0078003C" w:rsidRDefault="008169DB" w:rsidP="00F41C61">
      <w:pPr>
        <w:pStyle w:val="ListParagraph"/>
        <w:numPr>
          <w:ilvl w:val="0"/>
          <w:numId w:val="3"/>
        </w:numPr>
        <w:spacing w:after="120"/>
        <w:rPr>
          <w:rFonts w:cs="Arial"/>
          <w:sz w:val="22"/>
          <w:szCs w:val="22"/>
        </w:rPr>
      </w:pPr>
      <w:r w:rsidRPr="00AD1460">
        <w:rPr>
          <w:rFonts w:cs="Arial"/>
          <w:sz w:val="22"/>
          <w:szCs w:val="22"/>
        </w:rPr>
        <w:t xml:space="preserve">The </w:t>
      </w:r>
      <w:r w:rsidR="00701BC3">
        <w:rPr>
          <w:rFonts w:cs="Arial"/>
          <w:sz w:val="22"/>
          <w:szCs w:val="22"/>
        </w:rPr>
        <w:t xml:space="preserve">Australian Aged Care </w:t>
      </w:r>
      <w:r w:rsidRPr="00AD1460">
        <w:rPr>
          <w:rFonts w:cs="Arial"/>
          <w:sz w:val="22"/>
          <w:szCs w:val="22"/>
        </w:rPr>
        <w:t>Quality Agency</w:t>
      </w:r>
      <w:r w:rsidR="00701BC3">
        <w:rPr>
          <w:rFonts w:cs="Arial"/>
          <w:sz w:val="22"/>
          <w:szCs w:val="22"/>
        </w:rPr>
        <w:t xml:space="preserve"> (the Quality A</w:t>
      </w:r>
      <w:bookmarkStart w:id="0" w:name="_GoBack"/>
      <w:bookmarkEnd w:id="0"/>
      <w:r w:rsidR="00701BC3">
        <w:rPr>
          <w:rFonts w:cs="Arial"/>
          <w:sz w:val="22"/>
          <w:szCs w:val="22"/>
        </w:rPr>
        <w:t>gency)</w:t>
      </w:r>
      <w:r w:rsidRPr="00AD1460">
        <w:rPr>
          <w:rFonts w:cs="Arial"/>
          <w:sz w:val="22"/>
          <w:szCs w:val="22"/>
        </w:rPr>
        <w:t xml:space="preserve"> ha</w:t>
      </w:r>
      <w:r w:rsidR="009B0EF5">
        <w:rPr>
          <w:rFonts w:cs="Arial"/>
          <w:sz w:val="22"/>
          <w:szCs w:val="22"/>
        </w:rPr>
        <w:t>s commenced the development of G</w:t>
      </w:r>
      <w:r w:rsidRPr="00AD1460">
        <w:rPr>
          <w:rFonts w:cs="Arial"/>
          <w:sz w:val="22"/>
          <w:szCs w:val="22"/>
        </w:rPr>
        <w:t>uidance material to suppo</w:t>
      </w:r>
      <w:r w:rsidR="00C90501">
        <w:rPr>
          <w:rFonts w:cs="Arial"/>
          <w:sz w:val="22"/>
          <w:szCs w:val="22"/>
        </w:rPr>
        <w:t>rt the single set of aged care S</w:t>
      </w:r>
      <w:r w:rsidRPr="00AD1460">
        <w:rPr>
          <w:rFonts w:cs="Arial"/>
          <w:sz w:val="22"/>
          <w:szCs w:val="22"/>
        </w:rPr>
        <w:t>tandards.</w:t>
      </w:r>
      <w:r w:rsidRPr="00AD1460">
        <w:rPr>
          <w:rFonts w:cs="Arial"/>
          <w:sz w:val="22"/>
          <w:szCs w:val="22"/>
          <w:lang w:val="en-US"/>
        </w:rPr>
        <w:t xml:space="preserve"> </w:t>
      </w:r>
    </w:p>
    <w:p w:rsidR="008169DB" w:rsidRPr="00AD1460" w:rsidRDefault="008169DB" w:rsidP="0078003C">
      <w:pPr>
        <w:pStyle w:val="ListParagraph"/>
        <w:spacing w:after="120"/>
        <w:ind w:left="360"/>
        <w:rPr>
          <w:rFonts w:cs="Arial"/>
          <w:sz w:val="22"/>
          <w:szCs w:val="22"/>
        </w:rPr>
      </w:pPr>
      <w:r w:rsidRPr="00AD1460">
        <w:rPr>
          <w:rFonts w:cs="Arial"/>
          <w:sz w:val="22"/>
          <w:szCs w:val="22"/>
          <w:lang w:val="en-US"/>
        </w:rPr>
        <w:t>This is a critical opportunity to set clear expectations of what is re</w:t>
      </w:r>
      <w:r w:rsidR="00654D52">
        <w:rPr>
          <w:rFonts w:cs="Arial"/>
          <w:sz w:val="22"/>
          <w:szCs w:val="22"/>
          <w:lang w:val="en-US"/>
        </w:rPr>
        <w:t>quired to demonstrate that the S</w:t>
      </w:r>
      <w:r w:rsidRPr="00AD1460">
        <w:rPr>
          <w:rFonts w:cs="Arial"/>
          <w:sz w:val="22"/>
          <w:szCs w:val="22"/>
          <w:lang w:val="en-US"/>
        </w:rPr>
        <w:t xml:space="preserve">tandards are being met. </w:t>
      </w:r>
    </w:p>
    <w:p w:rsidR="0078003C" w:rsidRDefault="0078003C" w:rsidP="0078003C">
      <w:pPr>
        <w:pStyle w:val="ListParagraph"/>
        <w:spacing w:after="120"/>
        <w:ind w:left="360"/>
        <w:rPr>
          <w:rFonts w:cs="Arial"/>
          <w:sz w:val="22"/>
          <w:szCs w:val="22"/>
        </w:rPr>
      </w:pPr>
    </w:p>
    <w:p w:rsidR="008169DB" w:rsidRDefault="008169DB" w:rsidP="00F41C61">
      <w:pPr>
        <w:pStyle w:val="ListParagraph"/>
        <w:numPr>
          <w:ilvl w:val="0"/>
          <w:numId w:val="3"/>
        </w:numPr>
        <w:spacing w:after="120"/>
        <w:rPr>
          <w:rFonts w:cs="Arial"/>
          <w:sz w:val="22"/>
          <w:szCs w:val="22"/>
        </w:rPr>
      </w:pPr>
      <w:r w:rsidRPr="00AD1460">
        <w:rPr>
          <w:rFonts w:cs="Arial"/>
          <w:sz w:val="22"/>
          <w:szCs w:val="22"/>
        </w:rPr>
        <w:t>The primary purpose is to provide guidance for providers about th</w:t>
      </w:r>
      <w:r w:rsidR="00A03862">
        <w:rPr>
          <w:rFonts w:cs="Arial"/>
          <w:sz w:val="22"/>
          <w:szCs w:val="22"/>
        </w:rPr>
        <w:t>e evidence requirements of the S</w:t>
      </w:r>
      <w:r w:rsidRPr="00AD1460">
        <w:rPr>
          <w:rFonts w:cs="Arial"/>
          <w:sz w:val="22"/>
          <w:szCs w:val="22"/>
        </w:rPr>
        <w:t>tandards, how they can demonstrate</w:t>
      </w:r>
      <w:r w:rsidR="00F653C4">
        <w:rPr>
          <w:rFonts w:cs="Arial"/>
          <w:sz w:val="22"/>
          <w:szCs w:val="22"/>
        </w:rPr>
        <w:t xml:space="preserve"> their performance against the S</w:t>
      </w:r>
      <w:r w:rsidRPr="00AD1460">
        <w:rPr>
          <w:rFonts w:cs="Arial"/>
          <w:sz w:val="22"/>
          <w:szCs w:val="22"/>
        </w:rPr>
        <w:t>tandards, and considerations of how this performance will be measured.</w:t>
      </w:r>
    </w:p>
    <w:p w:rsidR="00665619" w:rsidRPr="00AD1460" w:rsidRDefault="00665619" w:rsidP="00665619">
      <w:pPr>
        <w:pStyle w:val="ListParagraph"/>
        <w:spacing w:after="120"/>
        <w:ind w:left="360"/>
        <w:rPr>
          <w:rFonts w:cs="Arial"/>
          <w:sz w:val="22"/>
          <w:szCs w:val="22"/>
        </w:rPr>
      </w:pPr>
    </w:p>
    <w:p w:rsidR="0078003C" w:rsidRPr="0029561C" w:rsidRDefault="008169DB" w:rsidP="0078003C">
      <w:pPr>
        <w:pStyle w:val="ListParagraph"/>
        <w:numPr>
          <w:ilvl w:val="0"/>
          <w:numId w:val="3"/>
        </w:numPr>
        <w:spacing w:after="120"/>
        <w:rPr>
          <w:rFonts w:cs="Arial"/>
          <w:sz w:val="22"/>
          <w:szCs w:val="22"/>
        </w:rPr>
      </w:pPr>
      <w:r w:rsidRPr="0029561C">
        <w:rPr>
          <w:rFonts w:cs="Arial"/>
          <w:sz w:val="22"/>
          <w:szCs w:val="22"/>
        </w:rPr>
        <w:t>Information will also be developed to support</w:t>
      </w:r>
      <w:r w:rsidR="004440B4" w:rsidRPr="0029561C">
        <w:rPr>
          <w:rFonts w:cs="Arial"/>
          <w:sz w:val="22"/>
          <w:szCs w:val="22"/>
        </w:rPr>
        <w:t xml:space="preserve"> consumer understanding of the S</w:t>
      </w:r>
      <w:r w:rsidRPr="0029561C">
        <w:rPr>
          <w:rFonts w:cs="Arial"/>
          <w:sz w:val="22"/>
          <w:szCs w:val="22"/>
        </w:rPr>
        <w:t>tandards and expectations.</w:t>
      </w:r>
    </w:p>
    <w:p w:rsidR="0078003C" w:rsidRPr="00AD1460" w:rsidRDefault="0078003C" w:rsidP="0078003C">
      <w:pPr>
        <w:pStyle w:val="ListParagraph"/>
        <w:spacing w:after="120"/>
        <w:ind w:left="360"/>
        <w:rPr>
          <w:rFonts w:cs="Arial"/>
          <w:sz w:val="22"/>
          <w:szCs w:val="22"/>
        </w:rPr>
      </w:pPr>
    </w:p>
    <w:p w:rsidR="00701BC3" w:rsidRDefault="008169DB" w:rsidP="00134395">
      <w:pPr>
        <w:pStyle w:val="ListParagraph"/>
        <w:numPr>
          <w:ilvl w:val="0"/>
          <w:numId w:val="3"/>
        </w:numPr>
        <w:spacing w:after="120" w:line="276" w:lineRule="auto"/>
        <w:rPr>
          <w:rFonts w:cs="Arial"/>
          <w:sz w:val="22"/>
          <w:szCs w:val="22"/>
          <w:lang w:val="en-US"/>
        </w:rPr>
      </w:pPr>
      <w:r w:rsidRPr="00701BC3">
        <w:rPr>
          <w:rFonts w:cs="Arial"/>
          <w:sz w:val="22"/>
          <w:szCs w:val="22"/>
          <w:lang w:val="en-US"/>
        </w:rPr>
        <w:t>A Standards Guidance Reference Group (SGRG) has been convened and will meet regularly until the end of this yea</w:t>
      </w:r>
      <w:r w:rsidR="00701BC3" w:rsidRPr="00701BC3">
        <w:rPr>
          <w:rFonts w:cs="Arial"/>
          <w:sz w:val="22"/>
          <w:szCs w:val="22"/>
          <w:lang w:val="en-US"/>
        </w:rPr>
        <w:t>r to assist the Quality Agency.</w:t>
      </w:r>
    </w:p>
    <w:p w:rsidR="00701BC3" w:rsidRPr="00701BC3" w:rsidRDefault="00701BC3" w:rsidP="00701BC3">
      <w:pPr>
        <w:pStyle w:val="ListParagraph"/>
        <w:rPr>
          <w:rFonts w:cs="Arial"/>
          <w:sz w:val="22"/>
          <w:szCs w:val="22"/>
          <w:lang w:val="en-US"/>
        </w:rPr>
      </w:pPr>
    </w:p>
    <w:p w:rsidR="008169DB" w:rsidRPr="00701BC3" w:rsidRDefault="008169DB" w:rsidP="0078003C">
      <w:pPr>
        <w:pStyle w:val="ListParagraph"/>
        <w:numPr>
          <w:ilvl w:val="0"/>
          <w:numId w:val="3"/>
        </w:numPr>
        <w:spacing w:after="120" w:line="276" w:lineRule="auto"/>
        <w:rPr>
          <w:rFonts w:cs="Arial"/>
          <w:sz w:val="22"/>
          <w:szCs w:val="22"/>
          <w:lang w:val="en-US"/>
        </w:rPr>
      </w:pPr>
      <w:r w:rsidRPr="00701BC3">
        <w:rPr>
          <w:rFonts w:cs="Arial"/>
          <w:sz w:val="22"/>
          <w:szCs w:val="22"/>
          <w:lang w:val="en-US"/>
        </w:rPr>
        <w:t>The Quality Agency is engaging with providers through the Quality Agency Liaison Group and consulting with Quality Advisory Group (</w:t>
      </w:r>
      <w:r w:rsidR="00701BC3" w:rsidRPr="00701BC3">
        <w:rPr>
          <w:rFonts w:cs="Arial"/>
          <w:sz w:val="22"/>
          <w:szCs w:val="22"/>
          <w:lang w:val="en-US"/>
        </w:rPr>
        <w:t>a s</w:t>
      </w:r>
      <w:r w:rsidRPr="00701BC3">
        <w:rPr>
          <w:rFonts w:cs="Arial"/>
          <w:sz w:val="22"/>
          <w:szCs w:val="22"/>
          <w:lang w:val="en-US"/>
        </w:rPr>
        <w:t xml:space="preserve">ubcommittee of NACA). The Quality Agency will also consult with the consumer constituents of NACA and the Diversity </w:t>
      </w:r>
      <w:r w:rsidR="00701BC3">
        <w:rPr>
          <w:rFonts w:cs="Arial"/>
          <w:sz w:val="22"/>
          <w:szCs w:val="22"/>
          <w:lang w:val="en-US"/>
        </w:rPr>
        <w:t>s</w:t>
      </w:r>
      <w:r w:rsidRPr="00701BC3">
        <w:rPr>
          <w:rFonts w:cs="Arial"/>
          <w:sz w:val="22"/>
          <w:szCs w:val="22"/>
          <w:lang w:val="en-US"/>
        </w:rPr>
        <w:t xml:space="preserve">ubgroup of the Aged Care Sector Committee as a critical part of this consultation framework. </w:t>
      </w:r>
    </w:p>
    <w:p w:rsidR="009F6092" w:rsidRPr="00AD1460" w:rsidRDefault="009F6092" w:rsidP="0078003C">
      <w:pPr>
        <w:pStyle w:val="ListParagraph"/>
        <w:spacing w:after="120" w:line="276" w:lineRule="auto"/>
        <w:ind w:left="360"/>
        <w:rPr>
          <w:rFonts w:eastAsiaTheme="minorHAnsi" w:cs="Arial"/>
          <w:sz w:val="22"/>
          <w:szCs w:val="22"/>
          <w:lang w:val="en-US"/>
        </w:rPr>
      </w:pPr>
    </w:p>
    <w:p w:rsidR="008169DB" w:rsidRDefault="008169DB" w:rsidP="00F41C61">
      <w:pPr>
        <w:pStyle w:val="ListParagraph"/>
        <w:numPr>
          <w:ilvl w:val="0"/>
          <w:numId w:val="3"/>
        </w:numPr>
        <w:spacing w:after="120" w:line="276" w:lineRule="auto"/>
        <w:rPr>
          <w:rFonts w:cs="Arial"/>
          <w:sz w:val="22"/>
          <w:szCs w:val="22"/>
          <w:lang w:val="en-US"/>
        </w:rPr>
      </w:pPr>
      <w:r w:rsidRPr="00AD1460">
        <w:rPr>
          <w:rFonts w:cs="Arial"/>
          <w:sz w:val="22"/>
          <w:szCs w:val="22"/>
          <w:lang w:val="en-US"/>
        </w:rPr>
        <w:t>Engagement with providers has been undertaken through workshops at each of the Bett</w:t>
      </w:r>
      <w:r w:rsidR="00701BC3">
        <w:rPr>
          <w:rFonts w:cs="Arial"/>
          <w:sz w:val="22"/>
          <w:szCs w:val="22"/>
          <w:lang w:val="en-US"/>
        </w:rPr>
        <w:t>er Practice Conferences in 2017 and</w:t>
      </w:r>
      <w:r w:rsidRPr="00AD1460">
        <w:rPr>
          <w:rFonts w:cs="Arial"/>
          <w:sz w:val="22"/>
          <w:szCs w:val="22"/>
          <w:lang w:val="en-US"/>
        </w:rPr>
        <w:t xml:space="preserve"> state</w:t>
      </w:r>
      <w:r w:rsidR="00701BC3">
        <w:rPr>
          <w:rFonts w:cs="Arial"/>
          <w:sz w:val="22"/>
          <w:szCs w:val="22"/>
          <w:lang w:val="en-US"/>
        </w:rPr>
        <w:t>-</w:t>
      </w:r>
      <w:r w:rsidRPr="00AD1460">
        <w:rPr>
          <w:rFonts w:cs="Arial"/>
          <w:sz w:val="22"/>
          <w:szCs w:val="22"/>
          <w:lang w:val="en-US"/>
        </w:rPr>
        <w:t>based workshops held in Parramatta, Brisbane and Adelaide in May</w:t>
      </w:r>
      <w:r w:rsidR="00701BC3">
        <w:rPr>
          <w:rFonts w:cs="Arial"/>
          <w:sz w:val="22"/>
          <w:szCs w:val="22"/>
          <w:lang w:val="en-US"/>
        </w:rPr>
        <w:t>. W</w:t>
      </w:r>
      <w:r w:rsidRPr="00AD1460">
        <w:rPr>
          <w:rFonts w:cs="Arial"/>
          <w:sz w:val="22"/>
          <w:szCs w:val="22"/>
          <w:lang w:val="en-US"/>
        </w:rPr>
        <w:t xml:space="preserve">orkshops </w:t>
      </w:r>
      <w:r w:rsidR="00701BC3">
        <w:rPr>
          <w:rFonts w:cs="Arial"/>
          <w:sz w:val="22"/>
          <w:szCs w:val="22"/>
          <w:lang w:val="en-US"/>
        </w:rPr>
        <w:t xml:space="preserve">were also </w:t>
      </w:r>
      <w:r w:rsidRPr="00AD1460">
        <w:rPr>
          <w:rFonts w:cs="Arial"/>
          <w:sz w:val="22"/>
          <w:szCs w:val="22"/>
          <w:lang w:val="en-US"/>
        </w:rPr>
        <w:t>held with Indigenous providers in July and October 2017.</w:t>
      </w:r>
    </w:p>
    <w:p w:rsidR="009F6092" w:rsidRPr="00AD1460" w:rsidRDefault="009F6092" w:rsidP="009F6092">
      <w:pPr>
        <w:pStyle w:val="ListParagraph"/>
        <w:spacing w:after="120" w:line="276" w:lineRule="auto"/>
        <w:ind w:left="360"/>
        <w:rPr>
          <w:rFonts w:cs="Arial"/>
          <w:sz w:val="22"/>
          <w:szCs w:val="22"/>
          <w:lang w:val="en-US"/>
        </w:rPr>
      </w:pPr>
    </w:p>
    <w:p w:rsidR="009F6092" w:rsidRPr="00701BC3" w:rsidRDefault="008169DB" w:rsidP="009F6092">
      <w:pPr>
        <w:pStyle w:val="ListParagraph"/>
        <w:numPr>
          <w:ilvl w:val="0"/>
          <w:numId w:val="3"/>
        </w:numPr>
        <w:spacing w:after="120" w:line="276" w:lineRule="auto"/>
        <w:rPr>
          <w:rFonts w:cs="Arial"/>
          <w:sz w:val="22"/>
          <w:szCs w:val="22"/>
          <w:lang w:val="en-US"/>
        </w:rPr>
      </w:pPr>
      <w:r w:rsidRPr="00701BC3">
        <w:rPr>
          <w:rFonts w:cs="Arial"/>
          <w:sz w:val="22"/>
          <w:szCs w:val="22"/>
          <w:lang w:val="en-US"/>
        </w:rPr>
        <w:t>Engagement with health</w:t>
      </w:r>
      <w:r w:rsidR="00701BC3" w:rsidRPr="00701BC3">
        <w:rPr>
          <w:rFonts w:cs="Arial"/>
          <w:sz w:val="22"/>
          <w:szCs w:val="22"/>
          <w:lang w:val="en-US"/>
        </w:rPr>
        <w:t>-</w:t>
      </w:r>
      <w:r w:rsidRPr="00701BC3">
        <w:rPr>
          <w:rFonts w:cs="Arial"/>
          <w:sz w:val="22"/>
          <w:szCs w:val="22"/>
          <w:lang w:val="en-US"/>
        </w:rPr>
        <w:t>related specialists has been targeted and focuses on system and best practice responses to risks to support consumer choice and independence.</w:t>
      </w:r>
    </w:p>
    <w:p w:rsidR="009F6092" w:rsidRPr="00AD1460" w:rsidRDefault="009F6092" w:rsidP="009F6092">
      <w:pPr>
        <w:pStyle w:val="ListParagraph"/>
        <w:spacing w:after="120" w:line="276" w:lineRule="auto"/>
        <w:ind w:left="360"/>
        <w:rPr>
          <w:rFonts w:cs="Arial"/>
          <w:sz w:val="22"/>
          <w:szCs w:val="22"/>
          <w:lang w:val="en-US"/>
        </w:rPr>
      </w:pPr>
    </w:p>
    <w:p w:rsidR="008169DB" w:rsidRDefault="00701BC3" w:rsidP="00F41C61">
      <w:pPr>
        <w:pStyle w:val="ListParagraph"/>
        <w:numPr>
          <w:ilvl w:val="0"/>
          <w:numId w:val="3"/>
        </w:numPr>
        <w:spacing w:after="120"/>
        <w:rPr>
          <w:rFonts w:cs="Arial"/>
          <w:sz w:val="22"/>
          <w:szCs w:val="22"/>
          <w:lang w:val="en-US"/>
        </w:rPr>
      </w:pPr>
      <w:r>
        <w:rPr>
          <w:rFonts w:cs="Arial"/>
          <w:sz w:val="22"/>
          <w:szCs w:val="22"/>
          <w:lang w:val="en-US"/>
        </w:rPr>
        <w:t xml:space="preserve">Expertise has been sought </w:t>
      </w:r>
      <w:r w:rsidR="008169DB" w:rsidRPr="00AD1460">
        <w:rPr>
          <w:rFonts w:cs="Arial"/>
          <w:sz w:val="22"/>
          <w:szCs w:val="22"/>
          <w:lang w:val="en-US"/>
        </w:rPr>
        <w:t>on contemporary evidence through research and literature reviews (Sydney University), input from an ISQua expert on work undertaken and engagement with academic specialists in health and ageing to con</w:t>
      </w:r>
      <w:r w:rsidR="00F3109A">
        <w:rPr>
          <w:rFonts w:cs="Arial"/>
          <w:sz w:val="22"/>
          <w:szCs w:val="22"/>
          <w:lang w:val="en-US"/>
        </w:rPr>
        <w:t>sider evidence against the new S</w:t>
      </w:r>
      <w:r w:rsidR="008169DB" w:rsidRPr="00AD1460">
        <w:rPr>
          <w:rFonts w:cs="Arial"/>
          <w:sz w:val="22"/>
          <w:szCs w:val="22"/>
          <w:lang w:val="en-US"/>
        </w:rPr>
        <w:t>tandards.</w:t>
      </w:r>
    </w:p>
    <w:p w:rsidR="009F6092" w:rsidRPr="00AD1460" w:rsidRDefault="009F6092" w:rsidP="009F6092">
      <w:pPr>
        <w:pStyle w:val="ListParagraph"/>
        <w:spacing w:after="120"/>
        <w:ind w:left="360"/>
        <w:rPr>
          <w:rFonts w:cs="Arial"/>
          <w:sz w:val="22"/>
          <w:szCs w:val="22"/>
          <w:lang w:val="en-US"/>
        </w:rPr>
      </w:pPr>
    </w:p>
    <w:p w:rsidR="008169DB" w:rsidRDefault="008169DB" w:rsidP="00F41C61">
      <w:pPr>
        <w:pStyle w:val="ListParagraph"/>
        <w:numPr>
          <w:ilvl w:val="0"/>
          <w:numId w:val="3"/>
        </w:numPr>
        <w:spacing w:after="120"/>
        <w:rPr>
          <w:rFonts w:cs="Arial"/>
          <w:sz w:val="22"/>
          <w:szCs w:val="22"/>
        </w:rPr>
      </w:pPr>
      <w:r w:rsidRPr="00AD1460">
        <w:rPr>
          <w:rFonts w:cs="Arial"/>
          <w:sz w:val="22"/>
          <w:szCs w:val="22"/>
        </w:rPr>
        <w:t xml:space="preserve">The </w:t>
      </w:r>
      <w:r w:rsidR="00701BC3">
        <w:rPr>
          <w:rFonts w:cs="Arial"/>
          <w:sz w:val="22"/>
          <w:szCs w:val="22"/>
        </w:rPr>
        <w:t xml:space="preserve">Quality </w:t>
      </w:r>
      <w:r w:rsidRPr="00AD1460">
        <w:rPr>
          <w:rFonts w:cs="Arial"/>
          <w:sz w:val="22"/>
          <w:szCs w:val="22"/>
        </w:rPr>
        <w:t>Agency has designed a methodology for the sector to participate in trials to test and provide feedback on the draft guidance. This will be tested with the SGRG.</w:t>
      </w:r>
    </w:p>
    <w:p w:rsidR="009F6092" w:rsidRPr="009F6092" w:rsidRDefault="009F6092" w:rsidP="009F6092">
      <w:pPr>
        <w:pStyle w:val="ListParagraph"/>
        <w:rPr>
          <w:rFonts w:cs="Arial"/>
          <w:sz w:val="22"/>
          <w:szCs w:val="22"/>
        </w:rPr>
      </w:pPr>
    </w:p>
    <w:p w:rsidR="009F6092" w:rsidRPr="00AD1460" w:rsidRDefault="009F6092" w:rsidP="009F6092">
      <w:pPr>
        <w:pStyle w:val="ListParagraph"/>
        <w:spacing w:after="120"/>
        <w:ind w:left="360"/>
        <w:rPr>
          <w:rFonts w:cs="Arial"/>
          <w:sz w:val="22"/>
          <w:szCs w:val="22"/>
        </w:rPr>
      </w:pPr>
    </w:p>
    <w:p w:rsidR="008169DB" w:rsidRDefault="008169DB" w:rsidP="00F41C61">
      <w:pPr>
        <w:pStyle w:val="ListParagraph"/>
        <w:numPr>
          <w:ilvl w:val="0"/>
          <w:numId w:val="3"/>
        </w:numPr>
        <w:spacing w:after="120"/>
        <w:rPr>
          <w:rFonts w:cs="Arial"/>
          <w:sz w:val="22"/>
          <w:szCs w:val="22"/>
        </w:rPr>
      </w:pPr>
      <w:r w:rsidRPr="00AD1460">
        <w:rPr>
          <w:rFonts w:cs="Arial"/>
          <w:sz w:val="22"/>
          <w:szCs w:val="22"/>
        </w:rPr>
        <w:lastRenderedPageBreak/>
        <w:t xml:space="preserve">The Quality Agency will provide education </w:t>
      </w:r>
      <w:r w:rsidR="00FC60B8">
        <w:rPr>
          <w:rFonts w:cs="Arial"/>
          <w:sz w:val="22"/>
          <w:szCs w:val="22"/>
        </w:rPr>
        <w:t>on the requirements of the new S</w:t>
      </w:r>
      <w:r w:rsidRPr="00AD1460">
        <w:rPr>
          <w:rFonts w:cs="Arial"/>
          <w:sz w:val="22"/>
          <w:szCs w:val="22"/>
        </w:rPr>
        <w:t>tandards</w:t>
      </w:r>
      <w:r w:rsidR="00701BC3">
        <w:rPr>
          <w:rFonts w:cs="Arial"/>
          <w:sz w:val="22"/>
          <w:szCs w:val="22"/>
        </w:rPr>
        <w:t xml:space="preserve"> as well as</w:t>
      </w:r>
      <w:r w:rsidRPr="00AD1460">
        <w:rPr>
          <w:rFonts w:cs="Arial"/>
          <w:sz w:val="22"/>
          <w:szCs w:val="22"/>
        </w:rPr>
        <w:t xml:space="preserve"> support for transition through its education and compliance assistance functions. </w:t>
      </w:r>
    </w:p>
    <w:p w:rsidR="009F6092" w:rsidRPr="00AD1460" w:rsidRDefault="009F6092" w:rsidP="009F6092">
      <w:pPr>
        <w:pStyle w:val="ListParagraph"/>
        <w:spacing w:after="120"/>
        <w:ind w:left="360"/>
        <w:rPr>
          <w:rFonts w:cs="Arial"/>
          <w:sz w:val="22"/>
          <w:szCs w:val="22"/>
        </w:rPr>
      </w:pPr>
    </w:p>
    <w:p w:rsidR="00503803" w:rsidRDefault="008169DB" w:rsidP="00F41C61">
      <w:pPr>
        <w:pStyle w:val="ListParagraph"/>
        <w:numPr>
          <w:ilvl w:val="0"/>
          <w:numId w:val="3"/>
        </w:numPr>
        <w:tabs>
          <w:tab w:val="left" w:pos="5164"/>
        </w:tabs>
        <w:spacing w:after="120"/>
        <w:rPr>
          <w:rFonts w:cs="Arial"/>
          <w:sz w:val="22"/>
          <w:szCs w:val="22"/>
        </w:rPr>
      </w:pPr>
      <w:r w:rsidRPr="00AD1460">
        <w:rPr>
          <w:rFonts w:cs="Arial"/>
          <w:sz w:val="22"/>
          <w:szCs w:val="22"/>
        </w:rPr>
        <w:t xml:space="preserve">Implementation timing is subject to the </w:t>
      </w:r>
      <w:r w:rsidR="00701BC3">
        <w:rPr>
          <w:rFonts w:cs="Arial"/>
          <w:sz w:val="22"/>
          <w:szCs w:val="22"/>
        </w:rPr>
        <w:t>D</w:t>
      </w:r>
      <w:r w:rsidRPr="00AD1460">
        <w:rPr>
          <w:rFonts w:cs="Arial"/>
          <w:sz w:val="22"/>
          <w:szCs w:val="22"/>
        </w:rPr>
        <w:t>epartment</w:t>
      </w:r>
      <w:r w:rsidR="00701BC3">
        <w:rPr>
          <w:rFonts w:cs="Arial"/>
          <w:sz w:val="22"/>
          <w:szCs w:val="22"/>
        </w:rPr>
        <w:t xml:space="preserve"> of Health</w:t>
      </w:r>
      <w:r w:rsidRPr="00AD1460">
        <w:rPr>
          <w:rFonts w:cs="Arial"/>
          <w:sz w:val="22"/>
          <w:szCs w:val="22"/>
        </w:rPr>
        <w:t>’s timetable for the Quality Framework and changes to aged</w:t>
      </w:r>
      <w:r w:rsidR="00701BC3">
        <w:rPr>
          <w:rFonts w:cs="Arial"/>
          <w:sz w:val="22"/>
          <w:szCs w:val="22"/>
        </w:rPr>
        <w:t xml:space="preserve"> care legislation</w:t>
      </w:r>
      <w:r w:rsidR="008E4446">
        <w:rPr>
          <w:rFonts w:cs="Arial"/>
          <w:sz w:val="22"/>
          <w:szCs w:val="22"/>
        </w:rPr>
        <w:t xml:space="preserve"> for the new S</w:t>
      </w:r>
      <w:r w:rsidRPr="00AD1460">
        <w:rPr>
          <w:rFonts w:cs="Arial"/>
          <w:sz w:val="22"/>
          <w:szCs w:val="22"/>
        </w:rPr>
        <w:t>tandards to take effect.</w:t>
      </w:r>
    </w:p>
    <w:p w:rsidR="00503803" w:rsidRDefault="00503803" w:rsidP="00503803">
      <w:pPr>
        <w:pStyle w:val="ListParagraph"/>
        <w:tabs>
          <w:tab w:val="left" w:pos="5164"/>
        </w:tabs>
        <w:spacing w:after="120"/>
        <w:ind w:left="1081"/>
        <w:rPr>
          <w:rFonts w:cs="Arial"/>
          <w:sz w:val="22"/>
          <w:szCs w:val="22"/>
        </w:rPr>
      </w:pPr>
    </w:p>
    <w:p w:rsidR="00DE7215" w:rsidRDefault="00DE7215" w:rsidP="00F40452">
      <w:pPr>
        <w:pStyle w:val="ListParagraph"/>
        <w:spacing w:before="0" w:after="0" w:line="240" w:lineRule="auto"/>
        <w:ind w:left="0"/>
        <w:contextualSpacing w:val="0"/>
        <w:rPr>
          <w:sz w:val="22"/>
          <w:szCs w:val="22"/>
          <w:lang w:eastAsia="en-US"/>
        </w:rPr>
      </w:pPr>
    </w:p>
    <w:p w:rsidR="00DE7215" w:rsidRDefault="00DE7215" w:rsidP="00F40452">
      <w:pPr>
        <w:pStyle w:val="ListParagraph"/>
        <w:spacing w:before="0" w:after="0" w:line="240" w:lineRule="auto"/>
        <w:ind w:left="0"/>
        <w:contextualSpacing w:val="0"/>
        <w:rPr>
          <w:sz w:val="22"/>
          <w:szCs w:val="22"/>
          <w:lang w:eastAsia="en-US"/>
        </w:rPr>
      </w:pPr>
      <w:r w:rsidRPr="006279B0">
        <w:rPr>
          <w:sz w:val="22"/>
          <w:szCs w:val="22"/>
          <w:lang w:eastAsia="en-US"/>
        </w:rPr>
        <w:t>Contact</w:t>
      </w:r>
      <w:r>
        <w:rPr>
          <w:sz w:val="22"/>
          <w:szCs w:val="22"/>
          <w:lang w:eastAsia="en-US"/>
        </w:rPr>
        <w:t>:</w:t>
      </w:r>
      <w:r w:rsidRPr="006279B0">
        <w:rPr>
          <w:sz w:val="22"/>
          <w:szCs w:val="22"/>
          <w:lang w:eastAsia="en-US"/>
        </w:rPr>
        <w:t xml:space="preserve"> Mary God</w:t>
      </w:r>
      <w:r>
        <w:rPr>
          <w:sz w:val="22"/>
          <w:szCs w:val="22"/>
          <w:lang w:eastAsia="en-US"/>
        </w:rPr>
        <w:t>d</w:t>
      </w:r>
      <w:r w:rsidRPr="006279B0">
        <w:rPr>
          <w:sz w:val="22"/>
          <w:szCs w:val="22"/>
          <w:lang w:eastAsia="en-US"/>
        </w:rPr>
        <w:t>ard</w:t>
      </w:r>
      <w:r>
        <w:rPr>
          <w:sz w:val="22"/>
          <w:szCs w:val="22"/>
          <w:lang w:eastAsia="en-US"/>
        </w:rPr>
        <w:t xml:space="preserve">, </w:t>
      </w:r>
    </w:p>
    <w:p w:rsidR="00DE7215" w:rsidRDefault="00DE7215" w:rsidP="00F40452">
      <w:pPr>
        <w:pStyle w:val="ListParagraph"/>
        <w:spacing w:before="0" w:after="0" w:line="240" w:lineRule="auto"/>
        <w:ind w:left="0"/>
        <w:contextualSpacing w:val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Assistant Director Regulatory Performance</w:t>
      </w:r>
      <w:r w:rsidR="00701BC3">
        <w:rPr>
          <w:sz w:val="22"/>
          <w:szCs w:val="22"/>
          <w:lang w:eastAsia="en-US"/>
        </w:rPr>
        <w:t>, Australian Aged Care Quality Agency</w:t>
      </w:r>
      <w:r w:rsidRPr="006279B0">
        <w:rPr>
          <w:sz w:val="22"/>
          <w:szCs w:val="22"/>
          <w:lang w:eastAsia="en-US"/>
        </w:rPr>
        <w:t xml:space="preserve"> </w:t>
      </w:r>
    </w:p>
    <w:p w:rsidR="00DE7215" w:rsidRPr="006279B0" w:rsidRDefault="00420AB2" w:rsidP="00F40452">
      <w:pPr>
        <w:pStyle w:val="ListParagraph"/>
        <w:spacing w:before="0" w:after="0" w:line="240" w:lineRule="auto"/>
        <w:ind w:left="0"/>
        <w:contextualSpacing w:val="0"/>
        <w:rPr>
          <w:sz w:val="22"/>
          <w:szCs w:val="22"/>
          <w:lang w:eastAsia="en-US"/>
        </w:rPr>
      </w:pPr>
      <w:hyperlink r:id="rId10" w:history="1">
        <w:r w:rsidR="00DE7215" w:rsidRPr="006279B0">
          <w:rPr>
            <w:rStyle w:val="Hyperlink"/>
            <w:sz w:val="22"/>
            <w:szCs w:val="22"/>
            <w:lang w:eastAsia="en-US"/>
          </w:rPr>
          <w:t>mary.goddard@aacqa.gov.au</w:t>
        </w:r>
      </w:hyperlink>
      <w:r w:rsidR="00DE7215" w:rsidRPr="006279B0">
        <w:rPr>
          <w:sz w:val="22"/>
          <w:szCs w:val="22"/>
          <w:lang w:eastAsia="en-US"/>
        </w:rPr>
        <w:t xml:space="preserve"> </w:t>
      </w:r>
    </w:p>
    <w:sectPr w:rsidR="00DE7215" w:rsidRPr="006279B0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AB2" w:rsidRDefault="00420AB2" w:rsidP="00F41C61">
      <w:pPr>
        <w:spacing w:after="0"/>
      </w:pPr>
      <w:r>
        <w:separator/>
      </w:r>
    </w:p>
  </w:endnote>
  <w:endnote w:type="continuationSeparator" w:id="0">
    <w:p w:rsidR="00420AB2" w:rsidRDefault="00420AB2" w:rsidP="00F41C6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BDC" w:rsidRDefault="003D5BDC" w:rsidP="003D5BDC">
    <w:pPr>
      <w:spacing w:before="10" w:after="10"/>
      <w:ind w:right="-454"/>
      <w:jc w:val="right"/>
      <w:rPr>
        <w:bCs/>
        <w:i/>
        <w:sz w:val="18"/>
        <w:szCs w:val="18"/>
      </w:rPr>
    </w:pPr>
    <w:r>
      <w:rPr>
        <w:rFonts w:cs="Arial"/>
        <w:i/>
        <w:sz w:val="18"/>
        <w:szCs w:val="18"/>
      </w:rPr>
      <w:t xml:space="preserve">Standard Guidance Reference Group </w:t>
    </w:r>
    <w:r w:rsidRPr="000D3E40">
      <w:rPr>
        <w:rFonts w:cs="Arial"/>
        <w:i/>
        <w:sz w:val="18"/>
        <w:szCs w:val="18"/>
      </w:rPr>
      <w:t xml:space="preserve">Communique </w:t>
    </w:r>
    <w:r>
      <w:rPr>
        <w:rFonts w:cs="Arial"/>
        <w:i/>
        <w:sz w:val="18"/>
        <w:szCs w:val="18"/>
      </w:rPr>
      <w:t>1</w:t>
    </w:r>
    <w:r>
      <w:rPr>
        <w:rFonts w:cs="Arial"/>
        <w:i/>
        <w:sz w:val="18"/>
        <w:szCs w:val="18"/>
      </w:rPr>
      <w:t xml:space="preserve">: </w:t>
    </w:r>
    <w:r w:rsidRPr="000D3E40">
      <w:rPr>
        <w:rFonts w:cs="Arial"/>
        <w:i/>
        <w:sz w:val="18"/>
        <w:szCs w:val="18"/>
      </w:rPr>
      <w:t xml:space="preserve">Update </w:t>
    </w:r>
    <w:r>
      <w:rPr>
        <w:rFonts w:cs="Arial"/>
        <w:i/>
        <w:sz w:val="18"/>
        <w:szCs w:val="18"/>
      </w:rPr>
      <w:t>on</w:t>
    </w:r>
    <w:r w:rsidRPr="000D3E40">
      <w:rPr>
        <w:rFonts w:cs="Arial"/>
        <w:i/>
        <w:sz w:val="18"/>
        <w:szCs w:val="18"/>
      </w:rPr>
      <w:t xml:space="preserve"> </w:t>
    </w:r>
    <w:r w:rsidRPr="000D3E40">
      <w:rPr>
        <w:bCs/>
        <w:i/>
        <w:sz w:val="18"/>
        <w:szCs w:val="18"/>
      </w:rPr>
      <w:t xml:space="preserve">Standards Guidance </w:t>
    </w:r>
    <w:r>
      <w:rPr>
        <w:bCs/>
        <w:i/>
        <w:sz w:val="18"/>
        <w:szCs w:val="18"/>
      </w:rPr>
      <w:t>development</w:t>
    </w:r>
    <w:r>
      <w:rPr>
        <w:bCs/>
        <w:i/>
        <w:sz w:val="18"/>
        <w:szCs w:val="18"/>
      </w:rPr>
      <w:t xml:space="preserve">. </w:t>
    </w:r>
  </w:p>
  <w:p w:rsidR="003D5BDC" w:rsidRPr="000D3E40" w:rsidRDefault="003D5BDC" w:rsidP="003D5BDC">
    <w:pPr>
      <w:spacing w:before="10" w:after="10"/>
      <w:ind w:right="-454"/>
      <w:jc w:val="right"/>
      <w:rPr>
        <w:bCs/>
        <w:i/>
        <w:sz w:val="18"/>
        <w:szCs w:val="18"/>
      </w:rPr>
    </w:pPr>
    <w:r>
      <w:rPr>
        <w:bCs/>
        <w:i/>
        <w:sz w:val="18"/>
        <w:szCs w:val="18"/>
      </w:rPr>
      <w:t>For more information see Australian Aged Care Quality Agency website www.aacqa.gov.au</w:t>
    </w:r>
  </w:p>
  <w:p w:rsidR="003D5BDC" w:rsidRDefault="003D5BDC">
    <w:pPr>
      <w:pStyle w:val="Footer"/>
    </w:pPr>
  </w:p>
  <w:p w:rsidR="00A715E3" w:rsidRDefault="00A715E3" w:rsidP="00701B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AB2" w:rsidRDefault="00420AB2" w:rsidP="00F41C61">
      <w:pPr>
        <w:spacing w:after="0"/>
      </w:pPr>
      <w:r>
        <w:separator/>
      </w:r>
    </w:p>
  </w:footnote>
  <w:footnote w:type="continuationSeparator" w:id="0">
    <w:p w:rsidR="00420AB2" w:rsidRDefault="00420AB2" w:rsidP="00F41C6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D1A4B"/>
    <w:multiLevelType w:val="hybridMultilevel"/>
    <w:tmpl w:val="8536DC90"/>
    <w:lvl w:ilvl="0" w:tplc="0C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EC8478B"/>
    <w:multiLevelType w:val="hybridMultilevel"/>
    <w:tmpl w:val="F948C17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0C907EA"/>
    <w:multiLevelType w:val="hybridMultilevel"/>
    <w:tmpl w:val="EA44F8EC"/>
    <w:lvl w:ilvl="0" w:tplc="AED0FB26">
      <w:start w:val="1"/>
      <w:numFmt w:val="bullet"/>
      <w:lvlText w:val=""/>
      <w:lvlJc w:val="left"/>
      <w:pPr>
        <w:tabs>
          <w:tab w:val="num" w:pos="721"/>
        </w:tabs>
        <w:ind w:left="721" w:hanging="360"/>
      </w:pPr>
      <w:rPr>
        <w:rFonts w:ascii="Symbol" w:hAnsi="Symbol" w:hint="default"/>
        <w:sz w:val="24"/>
        <w:szCs w:val="24"/>
      </w:rPr>
    </w:lvl>
    <w:lvl w:ilvl="1" w:tplc="0C090003">
      <w:start w:val="1"/>
      <w:numFmt w:val="bullet"/>
      <w:lvlText w:val="o"/>
      <w:lvlJc w:val="left"/>
      <w:pPr>
        <w:tabs>
          <w:tab w:val="num" w:pos="1801"/>
        </w:tabs>
        <w:ind w:left="1838" w:hanging="397"/>
      </w:pPr>
      <w:rPr>
        <w:rFonts w:ascii="Courier New" w:hAnsi="Courier New" w:cs="Courier New" w:hint="default"/>
        <w:sz w:val="24"/>
        <w:szCs w:val="24"/>
      </w:rPr>
    </w:lvl>
    <w:lvl w:ilvl="2" w:tplc="0C090005">
      <w:start w:val="1"/>
      <w:numFmt w:val="bullet"/>
      <w:lvlText w:val=""/>
      <w:lvlJc w:val="left"/>
      <w:pPr>
        <w:tabs>
          <w:tab w:val="num" w:pos="2521"/>
        </w:tabs>
        <w:ind w:left="252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1"/>
        </w:tabs>
        <w:ind w:left="324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1"/>
        </w:tabs>
        <w:ind w:left="396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1"/>
        </w:tabs>
        <w:ind w:left="468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1"/>
        </w:tabs>
        <w:ind w:left="540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1"/>
        </w:tabs>
        <w:ind w:left="612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1"/>
        </w:tabs>
        <w:ind w:left="684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9DB"/>
    <w:rsid w:val="00011787"/>
    <w:rsid w:val="0001209E"/>
    <w:rsid w:val="000E2777"/>
    <w:rsid w:val="00134395"/>
    <w:rsid w:val="001411A1"/>
    <w:rsid w:val="00143322"/>
    <w:rsid w:val="001470C9"/>
    <w:rsid w:val="0029561C"/>
    <w:rsid w:val="002A3085"/>
    <w:rsid w:val="002D5629"/>
    <w:rsid w:val="0032599D"/>
    <w:rsid w:val="00346AAF"/>
    <w:rsid w:val="00362E3D"/>
    <w:rsid w:val="003D5BDC"/>
    <w:rsid w:val="003E0D6E"/>
    <w:rsid w:val="00420AB2"/>
    <w:rsid w:val="004440B4"/>
    <w:rsid w:val="00503803"/>
    <w:rsid w:val="005633DF"/>
    <w:rsid w:val="00565FDF"/>
    <w:rsid w:val="0057546D"/>
    <w:rsid w:val="005D71A4"/>
    <w:rsid w:val="0063524D"/>
    <w:rsid w:val="00654D52"/>
    <w:rsid w:val="00665619"/>
    <w:rsid w:val="006A48BD"/>
    <w:rsid w:val="00701BC3"/>
    <w:rsid w:val="0076112F"/>
    <w:rsid w:val="00771884"/>
    <w:rsid w:val="0078003C"/>
    <w:rsid w:val="00791032"/>
    <w:rsid w:val="007A239A"/>
    <w:rsid w:val="007B323D"/>
    <w:rsid w:val="007D0B70"/>
    <w:rsid w:val="007D4CDE"/>
    <w:rsid w:val="007D751B"/>
    <w:rsid w:val="008169DB"/>
    <w:rsid w:val="008966DA"/>
    <w:rsid w:val="008E4446"/>
    <w:rsid w:val="00906622"/>
    <w:rsid w:val="009741F9"/>
    <w:rsid w:val="00985375"/>
    <w:rsid w:val="009B0EF5"/>
    <w:rsid w:val="009F6092"/>
    <w:rsid w:val="00A03862"/>
    <w:rsid w:val="00A715E3"/>
    <w:rsid w:val="00A76F04"/>
    <w:rsid w:val="00AD1460"/>
    <w:rsid w:val="00AD4646"/>
    <w:rsid w:val="00B2540D"/>
    <w:rsid w:val="00C2661D"/>
    <w:rsid w:val="00C90501"/>
    <w:rsid w:val="00CD526A"/>
    <w:rsid w:val="00D41ED5"/>
    <w:rsid w:val="00D4468B"/>
    <w:rsid w:val="00DE7215"/>
    <w:rsid w:val="00E204B7"/>
    <w:rsid w:val="00F3109A"/>
    <w:rsid w:val="00F40452"/>
    <w:rsid w:val="00F41C61"/>
    <w:rsid w:val="00F473CC"/>
    <w:rsid w:val="00F653C4"/>
    <w:rsid w:val="00FC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9DB"/>
    <w:pPr>
      <w:spacing w:after="6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Point,Bullet point,L,List Paragraph1,List Paragraph11,Recommendation,Bulletr List Paragraph,Content descriptions,FooterText,List Bullet 1,List Paragraph2,List Paragraph21,Listeafsnit1,NFP GP Bulleted List,Paragraphe de liste1,リスト段落"/>
    <w:basedOn w:val="Normal"/>
    <w:link w:val="ListParagraphChar"/>
    <w:uiPriority w:val="34"/>
    <w:qFormat/>
    <w:rsid w:val="008169DB"/>
    <w:pPr>
      <w:spacing w:before="80" w:after="160" w:line="280" w:lineRule="exact"/>
      <w:ind w:left="720"/>
      <w:contextualSpacing/>
    </w:pPr>
    <w:rPr>
      <w:sz w:val="20"/>
      <w:szCs w:val="20"/>
      <w:lang w:eastAsia="en-AU"/>
    </w:rPr>
  </w:style>
  <w:style w:type="character" w:customStyle="1" w:styleId="ListParagraphChar">
    <w:name w:val="List Paragraph Char"/>
    <w:aliases w:val="Bullet Point Char,Bullet point Char,L Char,List Paragraph1 Char,List Paragraph11 Char,Recommendation Char,Bulletr List Paragraph Char,Content descriptions Char,FooterText Char,List Bullet 1 Char,List Paragraph2 Char,Listeafsnit1 Char"/>
    <w:basedOn w:val="DefaultParagraphFont"/>
    <w:link w:val="ListParagraph"/>
    <w:uiPriority w:val="34"/>
    <w:locked/>
    <w:rsid w:val="008169DB"/>
    <w:rPr>
      <w:rFonts w:ascii="Arial" w:eastAsia="Times New Roman" w:hAnsi="Arial" w:cs="Times New Roman"/>
      <w:sz w:val="20"/>
      <w:szCs w:val="2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F41C6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1C61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41C6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1C61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188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884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0380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9DB"/>
    <w:pPr>
      <w:spacing w:after="6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Point,Bullet point,L,List Paragraph1,List Paragraph11,Recommendation,Bulletr List Paragraph,Content descriptions,FooterText,List Bullet 1,List Paragraph2,List Paragraph21,Listeafsnit1,NFP GP Bulleted List,Paragraphe de liste1,リスト段落"/>
    <w:basedOn w:val="Normal"/>
    <w:link w:val="ListParagraphChar"/>
    <w:uiPriority w:val="34"/>
    <w:qFormat/>
    <w:rsid w:val="008169DB"/>
    <w:pPr>
      <w:spacing w:before="80" w:after="160" w:line="280" w:lineRule="exact"/>
      <w:ind w:left="720"/>
      <w:contextualSpacing/>
    </w:pPr>
    <w:rPr>
      <w:sz w:val="20"/>
      <w:szCs w:val="20"/>
      <w:lang w:eastAsia="en-AU"/>
    </w:rPr>
  </w:style>
  <w:style w:type="character" w:customStyle="1" w:styleId="ListParagraphChar">
    <w:name w:val="List Paragraph Char"/>
    <w:aliases w:val="Bullet Point Char,Bullet point Char,L Char,List Paragraph1 Char,List Paragraph11 Char,Recommendation Char,Bulletr List Paragraph Char,Content descriptions Char,FooterText Char,List Bullet 1 Char,List Paragraph2 Char,Listeafsnit1 Char"/>
    <w:basedOn w:val="DefaultParagraphFont"/>
    <w:link w:val="ListParagraph"/>
    <w:uiPriority w:val="34"/>
    <w:locked/>
    <w:rsid w:val="008169DB"/>
    <w:rPr>
      <w:rFonts w:ascii="Arial" w:eastAsia="Times New Roman" w:hAnsi="Arial" w:cs="Times New Roman"/>
      <w:sz w:val="20"/>
      <w:szCs w:val="2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F41C6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1C61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41C6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1C61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188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884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038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mary.goddard@aacqa.gov.a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304DD-107E-4864-BF84-5C2313F34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Aged Care Quality Agency</Company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Goddard</dc:creator>
  <cp:lastModifiedBy>Cath Snow</cp:lastModifiedBy>
  <cp:revision>3</cp:revision>
  <cp:lastPrinted>2018-01-23T01:38:00Z</cp:lastPrinted>
  <dcterms:created xsi:type="dcterms:W3CDTF">2018-01-23T01:29:00Z</dcterms:created>
  <dcterms:modified xsi:type="dcterms:W3CDTF">2018-01-23T01:39:00Z</dcterms:modified>
</cp:coreProperties>
</file>