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6D" w:rsidRDefault="00701BC3" w:rsidP="00701BC3">
      <w:pPr>
        <w:spacing w:before="10" w:after="10"/>
        <w:ind w:right="-454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AU"/>
        </w:rPr>
        <w:drawing>
          <wp:inline distT="0" distB="0" distL="0" distR="0">
            <wp:extent cx="4303284" cy="950194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 of arms strip design with AACQ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95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8C5" w:rsidRDefault="008948C5" w:rsidP="001E7E57">
      <w:pPr>
        <w:spacing w:before="10" w:after="10"/>
        <w:ind w:right="-45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Communique 2</w:t>
      </w:r>
    </w:p>
    <w:p w:rsidR="001E7E57" w:rsidRPr="00B4737C" w:rsidRDefault="001E7E57" w:rsidP="001E7E57">
      <w:pPr>
        <w:spacing w:before="10" w:after="10"/>
        <w:ind w:right="-454"/>
        <w:rPr>
          <w:b/>
          <w:bCs/>
          <w:sz w:val="22"/>
          <w:szCs w:val="22"/>
        </w:rPr>
      </w:pPr>
      <w:r w:rsidRPr="00B4737C">
        <w:rPr>
          <w:rFonts w:cs="Arial"/>
          <w:b/>
          <w:sz w:val="22"/>
          <w:szCs w:val="22"/>
        </w:rPr>
        <w:t xml:space="preserve">Update from </w:t>
      </w:r>
      <w:r w:rsidRPr="00B4737C">
        <w:rPr>
          <w:b/>
          <w:bCs/>
          <w:sz w:val="22"/>
          <w:szCs w:val="22"/>
        </w:rPr>
        <w:t xml:space="preserve">Standards Guidance Reference Group </w:t>
      </w:r>
      <w:r>
        <w:rPr>
          <w:b/>
          <w:bCs/>
          <w:sz w:val="22"/>
          <w:szCs w:val="22"/>
        </w:rPr>
        <w:t>m</w:t>
      </w:r>
      <w:r w:rsidRPr="00B4737C">
        <w:rPr>
          <w:b/>
          <w:bCs/>
          <w:sz w:val="22"/>
          <w:szCs w:val="22"/>
        </w:rPr>
        <w:t>eeting</w:t>
      </w:r>
      <w:r>
        <w:rPr>
          <w:b/>
          <w:bCs/>
          <w:sz w:val="22"/>
          <w:szCs w:val="22"/>
        </w:rPr>
        <w:t xml:space="preserve"> -</w:t>
      </w:r>
      <w:r w:rsidRPr="00B4737C">
        <w:rPr>
          <w:b/>
          <w:bCs/>
          <w:sz w:val="22"/>
          <w:szCs w:val="22"/>
        </w:rPr>
        <w:t xml:space="preserve"> 2 Nov</w:t>
      </w:r>
      <w:r>
        <w:rPr>
          <w:b/>
          <w:bCs/>
          <w:sz w:val="22"/>
          <w:szCs w:val="22"/>
        </w:rPr>
        <w:t>ember</w:t>
      </w:r>
      <w:r w:rsidRPr="00B4737C">
        <w:rPr>
          <w:b/>
          <w:bCs/>
          <w:sz w:val="22"/>
          <w:szCs w:val="22"/>
        </w:rPr>
        <w:t xml:space="preserve"> 2017</w:t>
      </w:r>
    </w:p>
    <w:p w:rsidR="001E7E57" w:rsidRPr="00777176" w:rsidRDefault="001E7E57" w:rsidP="001E7E57">
      <w:pPr>
        <w:rPr>
          <w:sz w:val="22"/>
          <w:szCs w:val="22"/>
        </w:rPr>
      </w:pPr>
    </w:p>
    <w:p w:rsidR="00AF3A92" w:rsidRDefault="001E7E57" w:rsidP="001E7E57">
      <w:pPr>
        <w:spacing w:after="0"/>
        <w:rPr>
          <w:sz w:val="22"/>
          <w:szCs w:val="22"/>
        </w:rPr>
      </w:pPr>
      <w:r w:rsidRPr="006279B0">
        <w:rPr>
          <w:sz w:val="22"/>
          <w:szCs w:val="22"/>
        </w:rPr>
        <w:t xml:space="preserve">The </w:t>
      </w:r>
      <w:r w:rsidR="00AF3A92">
        <w:rPr>
          <w:sz w:val="22"/>
          <w:szCs w:val="22"/>
        </w:rPr>
        <w:t xml:space="preserve">Australian Aged Care </w:t>
      </w:r>
      <w:r w:rsidRPr="006279B0">
        <w:rPr>
          <w:sz w:val="22"/>
          <w:szCs w:val="22"/>
        </w:rPr>
        <w:t>Quality Agency</w:t>
      </w:r>
      <w:r w:rsidR="00AF3A92">
        <w:rPr>
          <w:sz w:val="22"/>
          <w:szCs w:val="22"/>
        </w:rPr>
        <w:t xml:space="preserve"> (the Quality Agency)</w:t>
      </w:r>
      <w:r w:rsidRPr="006279B0">
        <w:rPr>
          <w:sz w:val="22"/>
          <w:szCs w:val="22"/>
        </w:rPr>
        <w:t xml:space="preserve"> is currently working on </w:t>
      </w:r>
      <w:r w:rsidR="00953DF0">
        <w:rPr>
          <w:sz w:val="22"/>
          <w:szCs w:val="22"/>
        </w:rPr>
        <w:t>G</w:t>
      </w:r>
      <w:r w:rsidRPr="006279B0">
        <w:rPr>
          <w:sz w:val="22"/>
          <w:szCs w:val="22"/>
        </w:rPr>
        <w:t xml:space="preserve">uidance material to support the (draft) new aged care quality standards developed by the </w:t>
      </w:r>
      <w:r>
        <w:rPr>
          <w:sz w:val="22"/>
          <w:szCs w:val="22"/>
        </w:rPr>
        <w:t>D</w:t>
      </w:r>
      <w:r w:rsidRPr="006279B0">
        <w:rPr>
          <w:sz w:val="22"/>
          <w:szCs w:val="22"/>
        </w:rPr>
        <w:t xml:space="preserve">epartment of Health. In order to ensure that the </w:t>
      </w:r>
      <w:r w:rsidR="00953DF0">
        <w:rPr>
          <w:sz w:val="22"/>
          <w:szCs w:val="22"/>
        </w:rPr>
        <w:t>G</w:t>
      </w:r>
      <w:r w:rsidRPr="006279B0">
        <w:rPr>
          <w:sz w:val="22"/>
          <w:szCs w:val="22"/>
        </w:rPr>
        <w:t>uidance material is relevant and practical, the Quality Agency is consult</w:t>
      </w:r>
      <w:r>
        <w:rPr>
          <w:sz w:val="22"/>
          <w:szCs w:val="22"/>
        </w:rPr>
        <w:t>ing</w:t>
      </w:r>
      <w:r w:rsidRPr="006279B0">
        <w:rPr>
          <w:sz w:val="22"/>
          <w:szCs w:val="22"/>
        </w:rPr>
        <w:t xml:space="preserve"> with </w:t>
      </w:r>
      <w:r w:rsidR="00AF3A92">
        <w:rPr>
          <w:sz w:val="22"/>
          <w:szCs w:val="22"/>
        </w:rPr>
        <w:t xml:space="preserve">its Standards Guidance Reference Group (SGRG) throughout the </w:t>
      </w:r>
      <w:r w:rsidR="00953DF0">
        <w:rPr>
          <w:sz w:val="22"/>
          <w:szCs w:val="22"/>
        </w:rPr>
        <w:t>G</w:t>
      </w:r>
      <w:r w:rsidR="00AF3A92">
        <w:rPr>
          <w:sz w:val="22"/>
          <w:szCs w:val="22"/>
        </w:rPr>
        <w:t xml:space="preserve">uidance development process. </w:t>
      </w:r>
      <w:r w:rsidR="00AF3A92">
        <w:rPr>
          <w:sz w:val="22"/>
          <w:szCs w:val="22"/>
        </w:rPr>
        <w:br/>
      </w:r>
      <w:bookmarkStart w:id="0" w:name="_GoBack"/>
      <w:bookmarkEnd w:id="0"/>
    </w:p>
    <w:p w:rsidR="001E7E57" w:rsidRPr="006279B0" w:rsidRDefault="00AF3A92" w:rsidP="001E7E5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Formed on 28 September 2017, the SGRG is comprised of representatives from </w:t>
      </w:r>
      <w:r w:rsidR="001E7E57" w:rsidRPr="006279B0">
        <w:rPr>
          <w:sz w:val="22"/>
          <w:szCs w:val="22"/>
        </w:rPr>
        <w:t>con</w:t>
      </w:r>
      <w:r>
        <w:rPr>
          <w:sz w:val="22"/>
          <w:szCs w:val="22"/>
        </w:rPr>
        <w:t>sumer groups, service providers</w:t>
      </w:r>
      <w:r w:rsidR="001E7E57" w:rsidRPr="006279B0">
        <w:rPr>
          <w:sz w:val="22"/>
          <w:szCs w:val="22"/>
        </w:rPr>
        <w:t xml:space="preserve"> and industry experts</w:t>
      </w:r>
      <w:r>
        <w:rPr>
          <w:sz w:val="22"/>
          <w:szCs w:val="22"/>
        </w:rPr>
        <w:t xml:space="preserve">. </w:t>
      </w:r>
      <w:r w:rsidR="001E7E57" w:rsidRPr="006279B0">
        <w:rPr>
          <w:sz w:val="22"/>
          <w:szCs w:val="22"/>
        </w:rPr>
        <w:t xml:space="preserve">The SGRG meets on a monthly basis to workshop the development of the draft guidance and provide feedback from their networks.   </w:t>
      </w:r>
    </w:p>
    <w:p w:rsidR="001E7E57" w:rsidRPr="006279B0" w:rsidRDefault="001E7E57" w:rsidP="001E7E57">
      <w:pPr>
        <w:rPr>
          <w:sz w:val="22"/>
          <w:szCs w:val="22"/>
        </w:rPr>
      </w:pPr>
    </w:p>
    <w:p w:rsidR="001E7E57" w:rsidRPr="006279B0" w:rsidRDefault="001E7E57" w:rsidP="001E7E57">
      <w:pPr>
        <w:rPr>
          <w:sz w:val="22"/>
          <w:szCs w:val="22"/>
        </w:rPr>
      </w:pPr>
      <w:r w:rsidRPr="006279B0">
        <w:rPr>
          <w:sz w:val="22"/>
          <w:szCs w:val="22"/>
        </w:rPr>
        <w:t>At the 2 November meeting</w:t>
      </w:r>
      <w:r w:rsidR="00AF3A92">
        <w:rPr>
          <w:sz w:val="22"/>
          <w:szCs w:val="22"/>
        </w:rPr>
        <w:t>,</w:t>
      </w:r>
      <w:r w:rsidRPr="006279B0">
        <w:rPr>
          <w:sz w:val="22"/>
          <w:szCs w:val="22"/>
        </w:rPr>
        <w:t xml:space="preserve"> the SGRG agreed on terms of reference noting that a statement would be included to make reference to the group having a role in the evaluation of the </w:t>
      </w:r>
      <w:r w:rsidR="00953DF0">
        <w:rPr>
          <w:sz w:val="22"/>
          <w:szCs w:val="22"/>
        </w:rPr>
        <w:t>G</w:t>
      </w:r>
      <w:r w:rsidRPr="006279B0">
        <w:rPr>
          <w:sz w:val="22"/>
          <w:szCs w:val="22"/>
        </w:rPr>
        <w:t>uidance material for the new standards.</w:t>
      </w:r>
    </w:p>
    <w:p w:rsidR="001E7E57" w:rsidRPr="006279B0" w:rsidRDefault="001E7E57" w:rsidP="001E7E57">
      <w:pPr>
        <w:rPr>
          <w:sz w:val="22"/>
          <w:szCs w:val="22"/>
        </w:rPr>
      </w:pPr>
    </w:p>
    <w:p w:rsidR="001E7E57" w:rsidRPr="006279B0" w:rsidRDefault="001E7E57" w:rsidP="001E7E57">
      <w:pPr>
        <w:pStyle w:val="ListParagraph"/>
        <w:spacing w:before="10" w:after="10"/>
        <w:ind w:left="0" w:right="-454"/>
        <w:jc w:val="both"/>
        <w:rPr>
          <w:rFonts w:cs="Arial"/>
          <w:sz w:val="22"/>
          <w:szCs w:val="22"/>
        </w:rPr>
      </w:pPr>
      <w:r w:rsidRPr="006279B0">
        <w:rPr>
          <w:rFonts w:cs="Arial"/>
          <w:sz w:val="22"/>
          <w:szCs w:val="22"/>
          <w:lang w:eastAsia="en-US"/>
        </w:rPr>
        <w:t>Based on the feedback from the last meeting</w:t>
      </w:r>
      <w:r w:rsidR="00AF3A92">
        <w:rPr>
          <w:rFonts w:cs="Arial"/>
          <w:sz w:val="22"/>
          <w:szCs w:val="22"/>
          <w:lang w:eastAsia="en-US"/>
        </w:rPr>
        <w:t>,</w:t>
      </w:r>
      <w:r w:rsidRPr="006279B0">
        <w:rPr>
          <w:rFonts w:cs="Arial"/>
          <w:sz w:val="22"/>
          <w:szCs w:val="22"/>
          <w:lang w:eastAsia="en-US"/>
        </w:rPr>
        <w:t xml:space="preserve"> the key principles for the </w:t>
      </w:r>
      <w:r w:rsidR="00953DF0">
        <w:rPr>
          <w:rFonts w:cs="Arial"/>
          <w:sz w:val="22"/>
          <w:szCs w:val="22"/>
          <w:lang w:eastAsia="en-US"/>
        </w:rPr>
        <w:t>G</w:t>
      </w:r>
      <w:r w:rsidRPr="006279B0">
        <w:rPr>
          <w:rFonts w:cs="Arial"/>
          <w:sz w:val="22"/>
          <w:szCs w:val="22"/>
          <w:lang w:eastAsia="en-US"/>
        </w:rPr>
        <w:t>uidance material have been developed</w:t>
      </w:r>
      <w:r>
        <w:rPr>
          <w:rFonts w:cs="Arial"/>
          <w:sz w:val="22"/>
          <w:szCs w:val="22"/>
          <w:lang w:eastAsia="en-US"/>
        </w:rPr>
        <w:t>.</w:t>
      </w:r>
      <w:r w:rsidRPr="006279B0">
        <w:rPr>
          <w:rFonts w:cs="Arial"/>
          <w:sz w:val="22"/>
          <w:szCs w:val="22"/>
          <w:lang w:eastAsia="en-US"/>
        </w:rPr>
        <w:t xml:space="preserve"> </w:t>
      </w:r>
      <w:r w:rsidRPr="006279B0">
        <w:rPr>
          <w:rFonts w:cs="Arial"/>
          <w:sz w:val="22"/>
          <w:szCs w:val="22"/>
        </w:rPr>
        <w:t xml:space="preserve">The Guidance Material will: </w:t>
      </w:r>
    </w:p>
    <w:p w:rsidR="001E7E57" w:rsidRPr="006279B0" w:rsidRDefault="001E7E57" w:rsidP="001E7E57">
      <w:pPr>
        <w:spacing w:before="10" w:after="10"/>
        <w:ind w:right="-454"/>
        <w:rPr>
          <w:rFonts w:cs="Arial"/>
          <w:sz w:val="22"/>
          <w:szCs w:val="22"/>
        </w:rPr>
      </w:pPr>
    </w:p>
    <w:p w:rsidR="001E7E57" w:rsidRPr="006279B0" w:rsidRDefault="001E7E57" w:rsidP="001E7E57">
      <w:pPr>
        <w:pStyle w:val="ListParagraph"/>
        <w:numPr>
          <w:ilvl w:val="0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 w:rsidRPr="006279B0">
        <w:rPr>
          <w:rFonts w:cs="Arial"/>
          <w:sz w:val="22"/>
          <w:szCs w:val="22"/>
        </w:rPr>
        <w:t>focus on outcomes for consumers</w:t>
      </w:r>
    </w:p>
    <w:p w:rsidR="001E7E57" w:rsidRPr="006279B0" w:rsidRDefault="001E7E57" w:rsidP="001E7E57">
      <w:pPr>
        <w:pStyle w:val="ListParagraph"/>
        <w:numPr>
          <w:ilvl w:val="0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 w:rsidRPr="006279B0">
        <w:rPr>
          <w:rFonts w:cs="Arial"/>
          <w:sz w:val="22"/>
          <w:szCs w:val="22"/>
        </w:rPr>
        <w:t>recognise diversity of aged care consumers and settings</w:t>
      </w:r>
    </w:p>
    <w:p w:rsidR="001E7E57" w:rsidRPr="006279B0" w:rsidRDefault="001E7E57" w:rsidP="001E7E57">
      <w:pPr>
        <w:pStyle w:val="ListParagraph"/>
        <w:numPr>
          <w:ilvl w:val="0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 w:rsidRPr="006279B0">
        <w:rPr>
          <w:rFonts w:cs="Arial"/>
          <w:sz w:val="22"/>
          <w:szCs w:val="22"/>
        </w:rPr>
        <w:t xml:space="preserve">use inclusive language and terms to reflect differing circumstances </w:t>
      </w:r>
    </w:p>
    <w:p w:rsidR="001E7E57" w:rsidRPr="006279B0" w:rsidRDefault="001E7E57" w:rsidP="001E7E57">
      <w:pPr>
        <w:pStyle w:val="ListParagraph"/>
        <w:numPr>
          <w:ilvl w:val="0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 w:rsidRPr="006279B0">
        <w:rPr>
          <w:rFonts w:cs="Arial"/>
          <w:sz w:val="22"/>
          <w:szCs w:val="22"/>
        </w:rPr>
        <w:t>be relevant to applicable services</w:t>
      </w:r>
    </w:p>
    <w:p w:rsidR="001E7E57" w:rsidRPr="006279B0" w:rsidRDefault="001E7E57" w:rsidP="001E7E57">
      <w:pPr>
        <w:pStyle w:val="ListParagraph"/>
        <w:numPr>
          <w:ilvl w:val="0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 w:rsidRPr="006279B0">
        <w:rPr>
          <w:rFonts w:cs="Arial"/>
          <w:sz w:val="22"/>
          <w:szCs w:val="22"/>
        </w:rPr>
        <w:t>be underpinned by evidence in literature and reflect best practice</w:t>
      </w:r>
    </w:p>
    <w:p w:rsidR="001E7E57" w:rsidRPr="006279B0" w:rsidRDefault="001E7E57" w:rsidP="001E7E57">
      <w:pPr>
        <w:pStyle w:val="ListParagraph"/>
        <w:numPr>
          <w:ilvl w:val="0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 w:rsidRPr="006279B0">
        <w:rPr>
          <w:rFonts w:cs="Arial"/>
          <w:sz w:val="22"/>
          <w:szCs w:val="22"/>
        </w:rPr>
        <w:t>support consistency of quality assessment and findings of non-compliance</w:t>
      </w:r>
    </w:p>
    <w:p w:rsidR="001E7E57" w:rsidRPr="006279B0" w:rsidRDefault="001E7E57" w:rsidP="001E7E57">
      <w:pPr>
        <w:pStyle w:val="ListParagraph"/>
        <w:numPr>
          <w:ilvl w:val="0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 w:rsidRPr="006279B0">
        <w:rPr>
          <w:rFonts w:cs="Arial"/>
          <w:sz w:val="22"/>
          <w:szCs w:val="22"/>
        </w:rPr>
        <w:t>be non-prescriptive in the way in which</w:t>
      </w:r>
      <w:r w:rsidR="00DF5727">
        <w:rPr>
          <w:rFonts w:cs="Arial"/>
          <w:sz w:val="22"/>
          <w:szCs w:val="22"/>
        </w:rPr>
        <w:t xml:space="preserve"> an outcome can be demonstrated</w:t>
      </w:r>
      <w:r w:rsidRPr="006279B0">
        <w:rPr>
          <w:rFonts w:cs="Arial"/>
          <w:sz w:val="22"/>
          <w:szCs w:val="22"/>
        </w:rPr>
        <w:t xml:space="preserve"> (This approach recognises that providers will pursue quality, in a manner that best suits their consumer needs and choices, and the individual characteristics of the aged care service)</w:t>
      </w:r>
    </w:p>
    <w:p w:rsidR="001E7E57" w:rsidRPr="006279B0" w:rsidRDefault="001E7E57" w:rsidP="001E7E57">
      <w:pPr>
        <w:pStyle w:val="ListParagraph"/>
        <w:numPr>
          <w:ilvl w:val="0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 w:rsidRPr="006279B0">
        <w:rPr>
          <w:rFonts w:cs="Arial"/>
          <w:sz w:val="22"/>
          <w:szCs w:val="22"/>
        </w:rPr>
        <w:t>be proportionate to the care setting and service environment</w:t>
      </w:r>
    </w:p>
    <w:p w:rsidR="001E7E57" w:rsidRPr="006279B0" w:rsidRDefault="001E7E57" w:rsidP="001E7E57">
      <w:pPr>
        <w:pStyle w:val="ListParagraph"/>
        <w:numPr>
          <w:ilvl w:val="0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 w:rsidRPr="006279B0">
        <w:rPr>
          <w:rFonts w:cs="Arial"/>
          <w:sz w:val="22"/>
          <w:szCs w:val="22"/>
        </w:rPr>
        <w:t>identify links to related organisational requirements and consumer outcomes</w:t>
      </w:r>
    </w:p>
    <w:p w:rsidR="001E7E57" w:rsidRPr="006279B0" w:rsidRDefault="001E7E57" w:rsidP="001E7E57">
      <w:pPr>
        <w:pStyle w:val="ListParagraph"/>
        <w:numPr>
          <w:ilvl w:val="0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 w:rsidRPr="006279B0">
        <w:rPr>
          <w:rFonts w:cs="Arial"/>
          <w:sz w:val="22"/>
          <w:szCs w:val="22"/>
        </w:rPr>
        <w:t>be worded to support continuous improvement and learning</w:t>
      </w:r>
      <w:r w:rsidR="00394637">
        <w:rPr>
          <w:rFonts w:cs="Arial"/>
          <w:sz w:val="22"/>
          <w:szCs w:val="22"/>
        </w:rPr>
        <w:t>,</w:t>
      </w:r>
      <w:r w:rsidRPr="006279B0">
        <w:rPr>
          <w:rFonts w:cs="Arial"/>
          <w:sz w:val="22"/>
          <w:szCs w:val="22"/>
        </w:rPr>
        <w:t xml:space="preserve"> and </w:t>
      </w:r>
    </w:p>
    <w:p w:rsidR="001E7E57" w:rsidRPr="006279B0" w:rsidRDefault="001E7E57" w:rsidP="001E7E57">
      <w:pPr>
        <w:pStyle w:val="ListParagraph"/>
        <w:numPr>
          <w:ilvl w:val="0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proofErr w:type="gramStart"/>
      <w:r w:rsidRPr="006279B0">
        <w:rPr>
          <w:rFonts w:cs="Arial"/>
          <w:sz w:val="22"/>
          <w:szCs w:val="22"/>
        </w:rPr>
        <w:t>subject</w:t>
      </w:r>
      <w:proofErr w:type="gramEnd"/>
      <w:r w:rsidRPr="006279B0">
        <w:rPr>
          <w:rFonts w:cs="Arial"/>
          <w:sz w:val="22"/>
          <w:szCs w:val="22"/>
        </w:rPr>
        <w:t xml:space="preserve"> to regular and timely review and revision</w:t>
      </w:r>
      <w:r>
        <w:rPr>
          <w:rFonts w:cs="Arial"/>
          <w:sz w:val="22"/>
          <w:szCs w:val="22"/>
        </w:rPr>
        <w:t>.</w:t>
      </w:r>
    </w:p>
    <w:p w:rsidR="001E7E57" w:rsidRPr="006279B0" w:rsidRDefault="001E7E57" w:rsidP="001E7E57">
      <w:pPr>
        <w:pStyle w:val="ListParagraph"/>
        <w:spacing w:before="10" w:after="10"/>
        <w:ind w:left="480" w:right="-454"/>
        <w:rPr>
          <w:rFonts w:cs="Arial"/>
          <w:sz w:val="22"/>
          <w:szCs w:val="22"/>
        </w:rPr>
      </w:pPr>
    </w:p>
    <w:p w:rsidR="001E7E57" w:rsidRPr="006279B0" w:rsidRDefault="001E7E57" w:rsidP="001E7E5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At the meeting, the group </w:t>
      </w:r>
      <w:r w:rsidRPr="006279B0">
        <w:rPr>
          <w:sz w:val="22"/>
          <w:szCs w:val="22"/>
        </w:rPr>
        <w:t xml:space="preserve">discussed that the purpose and primary audience of the </w:t>
      </w:r>
      <w:r w:rsidR="00953DF0">
        <w:rPr>
          <w:sz w:val="22"/>
          <w:szCs w:val="22"/>
        </w:rPr>
        <w:t>G</w:t>
      </w:r>
      <w:r w:rsidRPr="006279B0">
        <w:rPr>
          <w:sz w:val="22"/>
          <w:szCs w:val="22"/>
        </w:rPr>
        <w:t xml:space="preserve">uidance is service providers. Feedback about the level at which the material should be targeted and recognising the diversity the aged care sector was discussed.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6279B0">
        <w:rPr>
          <w:sz w:val="22"/>
          <w:szCs w:val="22"/>
        </w:rPr>
        <w:t xml:space="preserve">Members agreed that the </w:t>
      </w:r>
      <w:r w:rsidR="00953DF0">
        <w:rPr>
          <w:sz w:val="22"/>
          <w:szCs w:val="22"/>
        </w:rPr>
        <w:t>G</w:t>
      </w:r>
      <w:r w:rsidRPr="006279B0">
        <w:rPr>
          <w:sz w:val="22"/>
          <w:szCs w:val="22"/>
        </w:rPr>
        <w:t xml:space="preserve">uidance should be appropriate for the broad range of service providers, and be accessible to operational staff within each organisation. A proposed format for organising the </w:t>
      </w:r>
      <w:r w:rsidR="00953DF0">
        <w:rPr>
          <w:sz w:val="22"/>
          <w:szCs w:val="22"/>
        </w:rPr>
        <w:t>G</w:t>
      </w:r>
      <w:r w:rsidRPr="006279B0">
        <w:rPr>
          <w:sz w:val="22"/>
          <w:szCs w:val="22"/>
        </w:rPr>
        <w:t xml:space="preserve">uidance was also discussed and feedback regarding the need to review the format after the </w:t>
      </w:r>
      <w:r w:rsidR="00953DF0">
        <w:rPr>
          <w:sz w:val="22"/>
          <w:szCs w:val="22"/>
        </w:rPr>
        <w:t>G</w:t>
      </w:r>
      <w:r w:rsidRPr="006279B0">
        <w:rPr>
          <w:sz w:val="22"/>
          <w:szCs w:val="22"/>
        </w:rPr>
        <w:t>uidance is developed</w:t>
      </w:r>
      <w:r>
        <w:rPr>
          <w:sz w:val="22"/>
          <w:szCs w:val="22"/>
        </w:rPr>
        <w:t xml:space="preserve"> </w:t>
      </w:r>
      <w:r w:rsidRPr="006279B0">
        <w:rPr>
          <w:sz w:val="22"/>
          <w:szCs w:val="22"/>
        </w:rPr>
        <w:t>was also discussed</w:t>
      </w:r>
      <w:r>
        <w:rPr>
          <w:sz w:val="22"/>
          <w:szCs w:val="22"/>
        </w:rPr>
        <w:t>.</w:t>
      </w:r>
    </w:p>
    <w:p w:rsidR="001E7E57" w:rsidRDefault="001E7E57" w:rsidP="001E7E57">
      <w:pPr>
        <w:pStyle w:val="ListParagraph"/>
        <w:spacing w:before="10" w:after="10"/>
        <w:ind w:left="0" w:right="-23"/>
        <w:jc w:val="both"/>
        <w:rPr>
          <w:rFonts w:cs="Arial"/>
          <w:sz w:val="24"/>
          <w:szCs w:val="24"/>
          <w:lang w:eastAsia="en-US"/>
        </w:rPr>
      </w:pPr>
    </w:p>
    <w:p w:rsidR="001E7E57" w:rsidRDefault="001E7E57" w:rsidP="001E7E57">
      <w:pPr>
        <w:pStyle w:val="ListParagraph"/>
        <w:spacing w:before="10" w:after="10"/>
        <w:ind w:left="0" w:right="-23"/>
        <w:jc w:val="both"/>
        <w:rPr>
          <w:rFonts w:cs="Arial"/>
          <w:sz w:val="24"/>
          <w:szCs w:val="24"/>
          <w:lang w:eastAsia="en-US"/>
        </w:rPr>
      </w:pPr>
    </w:p>
    <w:p w:rsidR="00AF3A92" w:rsidRDefault="001E7E57" w:rsidP="00AF3A92">
      <w:pPr>
        <w:pStyle w:val="ListParagraph"/>
        <w:spacing w:before="10" w:after="10"/>
        <w:ind w:left="0" w:right="-23"/>
        <w:jc w:val="both"/>
        <w:rPr>
          <w:rFonts w:cs="Arial"/>
          <w:sz w:val="22"/>
          <w:szCs w:val="22"/>
          <w:lang w:eastAsia="en-US"/>
        </w:rPr>
      </w:pPr>
      <w:r w:rsidRPr="006279B0">
        <w:rPr>
          <w:rFonts w:cs="Arial"/>
          <w:sz w:val="22"/>
          <w:szCs w:val="22"/>
          <w:lang w:eastAsia="en-US"/>
        </w:rPr>
        <w:lastRenderedPageBreak/>
        <w:t>Following feedback from members</w:t>
      </w:r>
      <w:r w:rsidR="00AF3A92">
        <w:rPr>
          <w:rFonts w:cs="Arial"/>
          <w:sz w:val="22"/>
          <w:szCs w:val="22"/>
          <w:lang w:eastAsia="en-US"/>
        </w:rPr>
        <w:t>,</w:t>
      </w:r>
      <w:r w:rsidRPr="006279B0">
        <w:rPr>
          <w:rFonts w:cs="Arial"/>
          <w:sz w:val="22"/>
          <w:szCs w:val="22"/>
          <w:lang w:eastAsia="en-US"/>
        </w:rPr>
        <w:t xml:space="preserve"> the proposed approach to the design of the </w:t>
      </w:r>
      <w:r w:rsidR="00953DF0">
        <w:rPr>
          <w:rFonts w:cs="Arial"/>
          <w:sz w:val="22"/>
          <w:szCs w:val="22"/>
          <w:lang w:eastAsia="en-US"/>
        </w:rPr>
        <w:t>G</w:t>
      </w:r>
      <w:r w:rsidRPr="006279B0">
        <w:rPr>
          <w:rFonts w:cs="Arial"/>
          <w:sz w:val="22"/>
          <w:szCs w:val="22"/>
          <w:lang w:eastAsia="en-US"/>
        </w:rPr>
        <w:t xml:space="preserve">uidance material now includes the following objectives: </w:t>
      </w:r>
    </w:p>
    <w:p w:rsidR="00AF3A92" w:rsidRDefault="00AF3A92" w:rsidP="00AF3A92">
      <w:pPr>
        <w:pStyle w:val="ListParagraph"/>
        <w:spacing w:before="10" w:after="10"/>
        <w:ind w:left="0" w:right="-23"/>
        <w:jc w:val="both"/>
        <w:rPr>
          <w:rFonts w:cs="Arial"/>
          <w:sz w:val="22"/>
          <w:szCs w:val="22"/>
          <w:lang w:eastAsia="en-US"/>
        </w:rPr>
      </w:pPr>
    </w:p>
    <w:p w:rsidR="001E7E57" w:rsidRPr="00AF3A92" w:rsidRDefault="001E7E57" w:rsidP="00AF3A92">
      <w:pPr>
        <w:pStyle w:val="ListParagraph"/>
        <w:numPr>
          <w:ilvl w:val="0"/>
          <w:numId w:val="6"/>
        </w:numPr>
        <w:spacing w:before="10" w:after="10"/>
        <w:ind w:left="0" w:right="-23" w:firstLine="0"/>
        <w:jc w:val="both"/>
        <w:rPr>
          <w:rFonts w:cs="Arial"/>
          <w:sz w:val="22"/>
          <w:szCs w:val="22"/>
          <w:lang w:eastAsia="en-US"/>
        </w:rPr>
      </w:pPr>
      <w:r w:rsidRPr="00AF3A92">
        <w:rPr>
          <w:rFonts w:cs="Arial"/>
          <w:sz w:val="22"/>
          <w:szCs w:val="22"/>
        </w:rPr>
        <w:t xml:space="preserve">Guidance will be developed to be accessible in a variety of platforms such as PDF, web-based content and plain-text accessible format. </w:t>
      </w:r>
    </w:p>
    <w:p w:rsidR="001E7E57" w:rsidRPr="006279B0" w:rsidRDefault="001E7E57" w:rsidP="001E7E57">
      <w:pPr>
        <w:pStyle w:val="ListParagraph"/>
        <w:spacing w:before="10" w:after="10"/>
        <w:ind w:left="120" w:right="-454"/>
        <w:rPr>
          <w:rFonts w:cs="Arial"/>
          <w:sz w:val="22"/>
          <w:szCs w:val="22"/>
        </w:rPr>
      </w:pPr>
    </w:p>
    <w:p w:rsidR="001E7E57" w:rsidRPr="006279B0" w:rsidRDefault="001E7E57" w:rsidP="00AF3A92">
      <w:pPr>
        <w:pStyle w:val="ListParagraph"/>
        <w:numPr>
          <w:ilvl w:val="0"/>
          <w:numId w:val="5"/>
        </w:numPr>
        <w:spacing w:before="10" w:after="10"/>
        <w:ind w:left="709" w:right="-454" w:hanging="709"/>
        <w:rPr>
          <w:rFonts w:cs="Arial"/>
          <w:sz w:val="22"/>
          <w:szCs w:val="22"/>
        </w:rPr>
      </w:pPr>
      <w:r w:rsidRPr="006279B0">
        <w:rPr>
          <w:rFonts w:cs="Arial"/>
          <w:sz w:val="22"/>
          <w:szCs w:val="22"/>
        </w:rPr>
        <w:t>Web</w:t>
      </w:r>
      <w:r>
        <w:rPr>
          <w:rFonts w:cs="Arial"/>
          <w:sz w:val="22"/>
          <w:szCs w:val="22"/>
        </w:rPr>
        <w:t xml:space="preserve"> content and </w:t>
      </w:r>
      <w:r w:rsidRPr="006279B0">
        <w:rPr>
          <w:rFonts w:cs="Arial"/>
          <w:sz w:val="22"/>
          <w:szCs w:val="22"/>
        </w:rPr>
        <w:t>link</w:t>
      </w:r>
      <w:r>
        <w:rPr>
          <w:rFonts w:cs="Arial"/>
          <w:sz w:val="22"/>
          <w:szCs w:val="22"/>
        </w:rPr>
        <w:t>s</w:t>
      </w:r>
      <w:r w:rsidRPr="006279B0">
        <w:rPr>
          <w:rFonts w:cs="Arial"/>
          <w:sz w:val="22"/>
          <w:szCs w:val="22"/>
        </w:rPr>
        <w:t xml:space="preserve"> will include:</w:t>
      </w:r>
    </w:p>
    <w:p w:rsidR="001E7E57" w:rsidRPr="006279B0" w:rsidRDefault="001E7E57" w:rsidP="001E7E57">
      <w:pPr>
        <w:pStyle w:val="ListParagraph"/>
        <w:numPr>
          <w:ilvl w:val="1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Pr="006279B0">
        <w:rPr>
          <w:rFonts w:cs="Arial"/>
          <w:sz w:val="22"/>
          <w:szCs w:val="22"/>
        </w:rPr>
        <w:t>elationships and links to other standards</w:t>
      </w:r>
    </w:p>
    <w:p w:rsidR="001E7E57" w:rsidRPr="006279B0" w:rsidRDefault="001E7E57" w:rsidP="001E7E57">
      <w:pPr>
        <w:pStyle w:val="ListParagraph"/>
        <w:numPr>
          <w:ilvl w:val="1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Pr="006279B0">
        <w:rPr>
          <w:rFonts w:cs="Arial"/>
          <w:sz w:val="22"/>
          <w:szCs w:val="22"/>
        </w:rPr>
        <w:t>xamples of evidence specific to each service type</w:t>
      </w:r>
    </w:p>
    <w:p w:rsidR="001E7E57" w:rsidRPr="006279B0" w:rsidRDefault="001E7E57" w:rsidP="001E7E57">
      <w:pPr>
        <w:pStyle w:val="ListParagraph"/>
        <w:numPr>
          <w:ilvl w:val="1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Pr="006279B0">
        <w:rPr>
          <w:rFonts w:cs="Arial"/>
          <w:sz w:val="22"/>
          <w:szCs w:val="22"/>
        </w:rPr>
        <w:t>xamples of case stories</w:t>
      </w:r>
    </w:p>
    <w:p w:rsidR="001E7E57" w:rsidRPr="006279B0" w:rsidRDefault="001E7E57" w:rsidP="001E7E57">
      <w:pPr>
        <w:pStyle w:val="ListParagraph"/>
        <w:numPr>
          <w:ilvl w:val="1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Pr="006279B0">
        <w:rPr>
          <w:rFonts w:cs="Arial"/>
          <w:sz w:val="22"/>
          <w:szCs w:val="22"/>
        </w:rPr>
        <w:t>nformation for consumers</w:t>
      </w:r>
    </w:p>
    <w:p w:rsidR="001E7E57" w:rsidRPr="006279B0" w:rsidRDefault="001E7E57" w:rsidP="001E7E57">
      <w:pPr>
        <w:pStyle w:val="ListParagraph"/>
        <w:numPr>
          <w:ilvl w:val="1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Pr="006279B0">
        <w:rPr>
          <w:rFonts w:cs="Arial"/>
          <w:sz w:val="22"/>
          <w:szCs w:val="22"/>
        </w:rPr>
        <w:t>inks to additional resources, tools and references</w:t>
      </w:r>
    </w:p>
    <w:p w:rsidR="001E7E57" w:rsidRPr="006279B0" w:rsidRDefault="001E7E57" w:rsidP="001E7E57">
      <w:pPr>
        <w:pStyle w:val="ListParagraph"/>
        <w:numPr>
          <w:ilvl w:val="1"/>
          <w:numId w:val="5"/>
        </w:numPr>
        <w:spacing w:before="10" w:after="10"/>
        <w:ind w:right="-454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g</w:t>
      </w:r>
      <w:r w:rsidRPr="006279B0">
        <w:rPr>
          <w:rFonts w:cs="Arial"/>
          <w:sz w:val="22"/>
          <w:szCs w:val="22"/>
        </w:rPr>
        <w:t>lossary</w:t>
      </w:r>
      <w:proofErr w:type="gramEnd"/>
      <w:r w:rsidRPr="006279B0">
        <w:rPr>
          <w:rFonts w:cs="Arial"/>
          <w:sz w:val="22"/>
          <w:szCs w:val="22"/>
        </w:rPr>
        <w:t xml:space="preserve"> of terms</w:t>
      </w:r>
      <w:r>
        <w:rPr>
          <w:rFonts w:cs="Arial"/>
          <w:sz w:val="22"/>
          <w:szCs w:val="22"/>
        </w:rPr>
        <w:t>.</w:t>
      </w:r>
    </w:p>
    <w:p w:rsidR="001E7E57" w:rsidRPr="006279B0" w:rsidRDefault="001E7E57" w:rsidP="001E7E57">
      <w:pPr>
        <w:spacing w:before="10" w:after="10"/>
        <w:ind w:left="840" w:right="-454"/>
        <w:rPr>
          <w:rFonts w:cs="Arial"/>
          <w:sz w:val="22"/>
          <w:szCs w:val="22"/>
        </w:rPr>
      </w:pPr>
    </w:p>
    <w:p w:rsidR="001E7E57" w:rsidRPr="006279B0" w:rsidRDefault="001E7E57" w:rsidP="00AF3A92">
      <w:pPr>
        <w:pStyle w:val="ListParagraph"/>
        <w:numPr>
          <w:ilvl w:val="0"/>
          <w:numId w:val="4"/>
        </w:numPr>
        <w:spacing w:before="0" w:after="0" w:line="240" w:lineRule="auto"/>
        <w:ind w:left="709" w:hanging="709"/>
        <w:contextualSpacing w:val="0"/>
        <w:rPr>
          <w:sz w:val="22"/>
          <w:szCs w:val="22"/>
          <w:lang w:eastAsia="en-US"/>
        </w:rPr>
      </w:pPr>
      <w:r w:rsidRPr="006279B0">
        <w:rPr>
          <w:rFonts w:cs="Arial"/>
          <w:sz w:val="22"/>
          <w:szCs w:val="22"/>
        </w:rPr>
        <w:t>Education resources and other material will support the implementation of the standards.</w:t>
      </w:r>
      <w:r>
        <w:rPr>
          <w:rFonts w:cs="Arial"/>
          <w:sz w:val="22"/>
          <w:szCs w:val="22"/>
        </w:rPr>
        <w:t xml:space="preserve"> </w:t>
      </w:r>
      <w:r w:rsidRPr="006279B0">
        <w:rPr>
          <w:rFonts w:cs="Arial"/>
          <w:sz w:val="22"/>
          <w:szCs w:val="22"/>
        </w:rPr>
        <w:t>C</w:t>
      </w:r>
      <w:r w:rsidRPr="006279B0">
        <w:rPr>
          <w:sz w:val="22"/>
          <w:szCs w:val="22"/>
          <w:lang w:eastAsia="en-US"/>
        </w:rPr>
        <w:t xml:space="preserve">ase studies will be sought throughout the </w:t>
      </w:r>
      <w:r w:rsidR="00953DF0">
        <w:rPr>
          <w:sz w:val="22"/>
          <w:szCs w:val="22"/>
          <w:lang w:eastAsia="en-US"/>
        </w:rPr>
        <w:t>G</w:t>
      </w:r>
      <w:r w:rsidRPr="006279B0">
        <w:rPr>
          <w:sz w:val="22"/>
          <w:szCs w:val="22"/>
          <w:lang w:eastAsia="en-US"/>
        </w:rPr>
        <w:t>uidance development process, and several members volunteered to provide the following case studies:</w:t>
      </w:r>
    </w:p>
    <w:p w:rsidR="001E7E57" w:rsidRPr="006279B0" w:rsidRDefault="001E7E57" w:rsidP="001E7E57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  <w:rPr>
          <w:sz w:val="22"/>
          <w:szCs w:val="22"/>
          <w:lang w:eastAsia="en-US"/>
        </w:rPr>
      </w:pPr>
      <w:r w:rsidRPr="006279B0">
        <w:rPr>
          <w:sz w:val="22"/>
          <w:szCs w:val="22"/>
          <w:lang w:eastAsia="en-US"/>
        </w:rPr>
        <w:t xml:space="preserve">Risk and </w:t>
      </w:r>
      <w:r w:rsidR="00AF3A92">
        <w:rPr>
          <w:sz w:val="22"/>
          <w:szCs w:val="22"/>
          <w:lang w:eastAsia="en-US"/>
        </w:rPr>
        <w:t>a</w:t>
      </w:r>
      <w:r w:rsidRPr="006279B0">
        <w:rPr>
          <w:sz w:val="22"/>
          <w:szCs w:val="22"/>
          <w:lang w:eastAsia="en-US"/>
        </w:rPr>
        <w:t xml:space="preserve">utonomy in home care </w:t>
      </w:r>
    </w:p>
    <w:p w:rsidR="001E7E57" w:rsidRPr="006279B0" w:rsidRDefault="001E7E57" w:rsidP="001E7E57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  <w:rPr>
          <w:sz w:val="22"/>
          <w:szCs w:val="22"/>
          <w:lang w:eastAsia="en-US"/>
        </w:rPr>
      </w:pPr>
      <w:r w:rsidRPr="006279B0">
        <w:rPr>
          <w:sz w:val="22"/>
          <w:szCs w:val="22"/>
          <w:lang w:eastAsia="en-US"/>
        </w:rPr>
        <w:t xml:space="preserve">Strengthening </w:t>
      </w:r>
      <w:r w:rsidR="00AF3A92">
        <w:rPr>
          <w:sz w:val="22"/>
          <w:szCs w:val="22"/>
          <w:lang w:eastAsia="en-US"/>
        </w:rPr>
        <w:t>g</w:t>
      </w:r>
      <w:r w:rsidRPr="006279B0">
        <w:rPr>
          <w:sz w:val="22"/>
          <w:szCs w:val="22"/>
          <w:lang w:eastAsia="en-US"/>
        </w:rPr>
        <w:t xml:space="preserve">overnance </w:t>
      </w:r>
    </w:p>
    <w:p w:rsidR="001E7E57" w:rsidRPr="006279B0" w:rsidRDefault="001E7E57" w:rsidP="001E7E57">
      <w:pPr>
        <w:pStyle w:val="ListParagraph"/>
        <w:numPr>
          <w:ilvl w:val="1"/>
          <w:numId w:val="4"/>
        </w:numPr>
        <w:spacing w:before="0" w:after="0" w:line="240" w:lineRule="auto"/>
        <w:contextualSpacing w:val="0"/>
        <w:rPr>
          <w:sz w:val="22"/>
          <w:szCs w:val="22"/>
        </w:rPr>
      </w:pPr>
      <w:r w:rsidRPr="006279B0">
        <w:rPr>
          <w:sz w:val="22"/>
          <w:szCs w:val="22"/>
          <w:lang w:eastAsia="en-US"/>
        </w:rPr>
        <w:t xml:space="preserve">Antimicrobial </w:t>
      </w:r>
      <w:r w:rsidR="00AF3A92">
        <w:rPr>
          <w:sz w:val="22"/>
          <w:szCs w:val="22"/>
          <w:lang w:eastAsia="en-US"/>
        </w:rPr>
        <w:t>r</w:t>
      </w:r>
      <w:r w:rsidRPr="006279B0">
        <w:rPr>
          <w:sz w:val="22"/>
          <w:szCs w:val="22"/>
          <w:lang w:eastAsia="en-US"/>
        </w:rPr>
        <w:t xml:space="preserve">equirements. </w:t>
      </w:r>
    </w:p>
    <w:p w:rsidR="001E7E57" w:rsidRPr="006279B0" w:rsidRDefault="001E7E57" w:rsidP="001E7E57">
      <w:pPr>
        <w:spacing w:before="10" w:after="10"/>
        <w:ind w:right="-23"/>
        <w:jc w:val="both"/>
        <w:rPr>
          <w:rFonts w:cs="Arial"/>
          <w:b/>
          <w:sz w:val="22"/>
          <w:szCs w:val="22"/>
        </w:rPr>
      </w:pPr>
    </w:p>
    <w:p w:rsidR="001E7E57" w:rsidRPr="006279B0" w:rsidRDefault="001E7E57" w:rsidP="00AF3A92">
      <w:pPr>
        <w:pStyle w:val="ListParagraph"/>
        <w:numPr>
          <w:ilvl w:val="0"/>
          <w:numId w:val="4"/>
        </w:numPr>
        <w:spacing w:before="0" w:after="0" w:line="240" w:lineRule="auto"/>
        <w:ind w:left="0" w:hanging="11"/>
        <w:contextualSpacing w:val="0"/>
        <w:rPr>
          <w:sz w:val="22"/>
          <w:szCs w:val="22"/>
          <w:lang w:eastAsia="en-US"/>
        </w:rPr>
      </w:pPr>
      <w:r w:rsidRPr="00DE07F6">
        <w:rPr>
          <w:sz w:val="22"/>
          <w:szCs w:val="22"/>
          <w:lang w:eastAsia="en-US"/>
        </w:rPr>
        <w:t>A workshop was held on what would be the expected evidence requirement for organisational outcomes of Standards 1</w:t>
      </w:r>
      <w:r w:rsidR="00AF3A92">
        <w:rPr>
          <w:sz w:val="22"/>
          <w:szCs w:val="22"/>
          <w:lang w:eastAsia="en-US"/>
        </w:rPr>
        <w:t xml:space="preserve"> </w:t>
      </w:r>
      <w:r w:rsidRPr="00DE07F6">
        <w:rPr>
          <w:sz w:val="22"/>
          <w:szCs w:val="22"/>
          <w:lang w:eastAsia="en-US"/>
        </w:rPr>
        <w:t>-</w:t>
      </w:r>
      <w:r w:rsidR="00AF3A92">
        <w:rPr>
          <w:sz w:val="22"/>
          <w:szCs w:val="22"/>
          <w:lang w:eastAsia="en-US"/>
        </w:rPr>
        <w:t xml:space="preserve"> </w:t>
      </w:r>
      <w:r w:rsidRPr="00DE07F6">
        <w:rPr>
          <w:i/>
          <w:sz w:val="22"/>
          <w:szCs w:val="22"/>
          <w:lang w:eastAsia="en-US"/>
        </w:rPr>
        <w:t>Consumer dignity and choice</w:t>
      </w:r>
      <w:r w:rsidRPr="00DE07F6">
        <w:rPr>
          <w:sz w:val="22"/>
          <w:szCs w:val="22"/>
          <w:lang w:eastAsia="en-US"/>
        </w:rPr>
        <w:t xml:space="preserve"> and 8</w:t>
      </w:r>
      <w:r w:rsidR="00AF3A92">
        <w:rPr>
          <w:sz w:val="22"/>
          <w:szCs w:val="22"/>
          <w:lang w:eastAsia="en-US"/>
        </w:rPr>
        <w:t xml:space="preserve"> </w:t>
      </w:r>
      <w:r w:rsidRPr="00DE07F6">
        <w:rPr>
          <w:sz w:val="22"/>
          <w:szCs w:val="22"/>
          <w:lang w:eastAsia="en-US"/>
        </w:rPr>
        <w:t xml:space="preserve">- </w:t>
      </w:r>
      <w:r w:rsidRPr="00DE07F6">
        <w:rPr>
          <w:i/>
          <w:sz w:val="22"/>
          <w:szCs w:val="22"/>
          <w:lang w:eastAsia="en-US"/>
        </w:rPr>
        <w:t>Organisational governance</w:t>
      </w:r>
      <w:r w:rsidRPr="00DE07F6">
        <w:rPr>
          <w:sz w:val="22"/>
          <w:szCs w:val="22"/>
          <w:lang w:eastAsia="en-US"/>
        </w:rPr>
        <w:t>.  This</w:t>
      </w:r>
      <w:r w:rsidRPr="006279B0">
        <w:rPr>
          <w:sz w:val="22"/>
          <w:szCs w:val="22"/>
          <w:lang w:eastAsia="en-US"/>
        </w:rPr>
        <w:t xml:space="preserve"> input will be incorporated into the draft </w:t>
      </w:r>
      <w:r w:rsidR="00953DF0">
        <w:rPr>
          <w:sz w:val="22"/>
          <w:szCs w:val="22"/>
          <w:lang w:eastAsia="en-US"/>
        </w:rPr>
        <w:t>G</w:t>
      </w:r>
      <w:r w:rsidRPr="006279B0">
        <w:rPr>
          <w:sz w:val="22"/>
          <w:szCs w:val="22"/>
          <w:lang w:eastAsia="en-US"/>
        </w:rPr>
        <w:t>uidance and will be circulated to members for dissemination to their networks for input</w:t>
      </w:r>
      <w:r>
        <w:rPr>
          <w:sz w:val="22"/>
          <w:szCs w:val="22"/>
          <w:lang w:eastAsia="en-US"/>
        </w:rPr>
        <w:t>.</w:t>
      </w:r>
    </w:p>
    <w:p w:rsidR="001E7E57" w:rsidRPr="006279B0" w:rsidRDefault="001E7E57" w:rsidP="001E7E57">
      <w:pPr>
        <w:pStyle w:val="ListParagraph"/>
        <w:spacing w:before="0" w:after="0" w:line="240" w:lineRule="auto"/>
        <w:contextualSpacing w:val="0"/>
        <w:rPr>
          <w:sz w:val="22"/>
          <w:szCs w:val="22"/>
          <w:lang w:eastAsia="en-US"/>
        </w:rPr>
      </w:pPr>
    </w:p>
    <w:p w:rsidR="001E7E57" w:rsidRPr="006279B0" w:rsidRDefault="001E7E57" w:rsidP="00AF3A92">
      <w:pPr>
        <w:pStyle w:val="ListParagraph"/>
        <w:numPr>
          <w:ilvl w:val="0"/>
          <w:numId w:val="4"/>
        </w:numPr>
        <w:spacing w:before="0" w:after="0" w:line="240" w:lineRule="auto"/>
        <w:ind w:left="0" w:firstLine="0"/>
        <w:contextualSpacing w:val="0"/>
        <w:rPr>
          <w:sz w:val="22"/>
          <w:szCs w:val="22"/>
          <w:lang w:eastAsia="en-US"/>
        </w:rPr>
      </w:pPr>
      <w:r w:rsidRPr="006279B0">
        <w:rPr>
          <w:sz w:val="22"/>
          <w:szCs w:val="22"/>
          <w:lang w:eastAsia="en-US"/>
        </w:rPr>
        <w:t xml:space="preserve">Evidence </w:t>
      </w:r>
      <w:r w:rsidRPr="001E7E65">
        <w:rPr>
          <w:sz w:val="22"/>
          <w:szCs w:val="22"/>
          <w:lang w:eastAsia="en-US"/>
        </w:rPr>
        <w:t>requirements in the draft guidance for Standards 2</w:t>
      </w:r>
      <w:r w:rsidRPr="001E7E65">
        <w:rPr>
          <w:rFonts w:cs="Arial"/>
          <w:i/>
          <w:sz w:val="22"/>
          <w:szCs w:val="22"/>
          <w:lang w:eastAsia="en-US"/>
        </w:rPr>
        <w:t xml:space="preserve"> -</w:t>
      </w:r>
      <w:r w:rsidR="00AF3A92">
        <w:rPr>
          <w:rFonts w:cs="Arial"/>
          <w:i/>
          <w:sz w:val="22"/>
          <w:szCs w:val="22"/>
          <w:lang w:eastAsia="en-US"/>
        </w:rPr>
        <w:t xml:space="preserve"> </w:t>
      </w:r>
      <w:r w:rsidRPr="001E7E65">
        <w:rPr>
          <w:i/>
          <w:sz w:val="22"/>
          <w:szCs w:val="22"/>
          <w:lang w:eastAsia="en-US"/>
        </w:rPr>
        <w:t>Personal care and clinical care</w:t>
      </w:r>
      <w:r w:rsidRPr="001E7E65">
        <w:rPr>
          <w:sz w:val="22"/>
          <w:szCs w:val="22"/>
          <w:lang w:eastAsia="en-US"/>
        </w:rPr>
        <w:t>, 3</w:t>
      </w:r>
      <w:r w:rsidR="00AF3A92">
        <w:rPr>
          <w:sz w:val="22"/>
          <w:szCs w:val="22"/>
          <w:lang w:eastAsia="en-US"/>
        </w:rPr>
        <w:t xml:space="preserve"> </w:t>
      </w:r>
      <w:r w:rsidRPr="001E7E65">
        <w:rPr>
          <w:sz w:val="22"/>
          <w:szCs w:val="22"/>
          <w:lang w:eastAsia="en-US"/>
        </w:rPr>
        <w:t>-</w:t>
      </w:r>
      <w:r w:rsidR="00AF3A92">
        <w:rPr>
          <w:sz w:val="22"/>
          <w:szCs w:val="22"/>
          <w:lang w:eastAsia="en-US"/>
        </w:rPr>
        <w:t xml:space="preserve"> </w:t>
      </w:r>
      <w:r w:rsidRPr="001E7E65">
        <w:rPr>
          <w:i/>
          <w:sz w:val="22"/>
          <w:szCs w:val="22"/>
          <w:lang w:eastAsia="en-US"/>
        </w:rPr>
        <w:t>Personal care and clinical care</w:t>
      </w:r>
      <w:r w:rsidRPr="001E7E65">
        <w:rPr>
          <w:sz w:val="22"/>
          <w:szCs w:val="22"/>
          <w:lang w:eastAsia="en-US"/>
        </w:rPr>
        <w:t xml:space="preserve"> and 4</w:t>
      </w:r>
      <w:r w:rsidR="00AF3A92">
        <w:rPr>
          <w:sz w:val="22"/>
          <w:szCs w:val="22"/>
          <w:lang w:eastAsia="en-US"/>
        </w:rPr>
        <w:t xml:space="preserve"> </w:t>
      </w:r>
      <w:r w:rsidRPr="001E7E65">
        <w:rPr>
          <w:sz w:val="22"/>
          <w:szCs w:val="22"/>
          <w:lang w:eastAsia="en-US"/>
        </w:rPr>
        <w:t xml:space="preserve">- </w:t>
      </w:r>
      <w:r w:rsidRPr="001E7E65">
        <w:rPr>
          <w:i/>
          <w:sz w:val="22"/>
          <w:szCs w:val="22"/>
          <w:lang w:eastAsia="en-US"/>
        </w:rPr>
        <w:t>Services and supports for daily living</w:t>
      </w:r>
      <w:r w:rsidRPr="001E7E65">
        <w:rPr>
          <w:sz w:val="22"/>
          <w:szCs w:val="22"/>
          <w:lang w:eastAsia="en-US"/>
        </w:rPr>
        <w:t>*.</w:t>
      </w:r>
      <w:r w:rsidRPr="006279B0">
        <w:rPr>
          <w:sz w:val="22"/>
          <w:szCs w:val="22"/>
          <w:lang w:eastAsia="en-US"/>
        </w:rPr>
        <w:t xml:space="preserve"> This feedback will be incorporated into the next versions of the </w:t>
      </w:r>
      <w:r w:rsidR="00953DF0">
        <w:rPr>
          <w:sz w:val="22"/>
          <w:szCs w:val="22"/>
          <w:lang w:eastAsia="en-US"/>
        </w:rPr>
        <w:t>G</w:t>
      </w:r>
      <w:r w:rsidRPr="006279B0">
        <w:rPr>
          <w:sz w:val="22"/>
          <w:szCs w:val="22"/>
          <w:lang w:eastAsia="en-US"/>
        </w:rPr>
        <w:t>uidance and re-presented to members at the next SGRG.</w:t>
      </w:r>
    </w:p>
    <w:p w:rsidR="001E7E57" w:rsidRPr="006279B0" w:rsidRDefault="001E7E57" w:rsidP="001E7E57">
      <w:pPr>
        <w:pStyle w:val="ListParagraph"/>
        <w:ind w:left="-284"/>
        <w:rPr>
          <w:sz w:val="22"/>
          <w:szCs w:val="22"/>
          <w:lang w:eastAsia="en-US"/>
        </w:rPr>
      </w:pPr>
    </w:p>
    <w:p w:rsidR="001E7E57" w:rsidRPr="006279B0" w:rsidRDefault="001E7E57" w:rsidP="008818D1">
      <w:pPr>
        <w:pStyle w:val="ListParagraph"/>
        <w:spacing w:before="0" w:after="0" w:line="240" w:lineRule="auto"/>
        <w:ind w:left="0"/>
        <w:contextualSpacing w:val="0"/>
        <w:rPr>
          <w:sz w:val="22"/>
          <w:szCs w:val="22"/>
          <w:lang w:eastAsia="en-US"/>
        </w:rPr>
      </w:pPr>
      <w:r w:rsidRPr="006279B0">
        <w:rPr>
          <w:sz w:val="22"/>
          <w:szCs w:val="22"/>
          <w:lang w:eastAsia="en-US"/>
        </w:rPr>
        <w:t>The next meeting is 30 November 2017.</w:t>
      </w:r>
    </w:p>
    <w:p w:rsidR="001E7E57" w:rsidRPr="006279B0" w:rsidRDefault="001E7E57" w:rsidP="001E7E57">
      <w:pPr>
        <w:pStyle w:val="ListParagraph"/>
        <w:ind w:left="-284"/>
        <w:rPr>
          <w:sz w:val="22"/>
          <w:szCs w:val="22"/>
          <w:lang w:eastAsia="en-US"/>
        </w:rPr>
      </w:pPr>
    </w:p>
    <w:p w:rsidR="001E7E57" w:rsidRDefault="001E7E57" w:rsidP="008818D1">
      <w:pPr>
        <w:pStyle w:val="ListParagraph"/>
        <w:spacing w:before="0" w:after="0" w:line="240" w:lineRule="auto"/>
        <w:ind w:left="0"/>
        <w:contextualSpacing w:val="0"/>
        <w:rPr>
          <w:sz w:val="22"/>
          <w:szCs w:val="22"/>
          <w:lang w:eastAsia="en-US"/>
        </w:rPr>
      </w:pPr>
      <w:r w:rsidRPr="006279B0">
        <w:rPr>
          <w:sz w:val="22"/>
          <w:szCs w:val="22"/>
          <w:lang w:eastAsia="en-US"/>
        </w:rPr>
        <w:t>Contact</w:t>
      </w:r>
      <w:r>
        <w:rPr>
          <w:sz w:val="22"/>
          <w:szCs w:val="22"/>
          <w:lang w:eastAsia="en-US"/>
        </w:rPr>
        <w:t>:</w:t>
      </w:r>
      <w:r w:rsidRPr="006279B0">
        <w:rPr>
          <w:sz w:val="22"/>
          <w:szCs w:val="22"/>
          <w:lang w:eastAsia="en-US"/>
        </w:rPr>
        <w:t xml:space="preserve"> Mary God</w:t>
      </w:r>
      <w:r>
        <w:rPr>
          <w:sz w:val="22"/>
          <w:szCs w:val="22"/>
          <w:lang w:eastAsia="en-US"/>
        </w:rPr>
        <w:t>d</w:t>
      </w:r>
      <w:r w:rsidRPr="006279B0">
        <w:rPr>
          <w:sz w:val="22"/>
          <w:szCs w:val="22"/>
          <w:lang w:eastAsia="en-US"/>
        </w:rPr>
        <w:t>ard</w:t>
      </w:r>
      <w:r>
        <w:rPr>
          <w:sz w:val="22"/>
          <w:szCs w:val="22"/>
          <w:lang w:eastAsia="en-US"/>
        </w:rPr>
        <w:t xml:space="preserve"> </w:t>
      </w:r>
    </w:p>
    <w:p w:rsidR="001E7E57" w:rsidRDefault="001E7E57" w:rsidP="008818D1">
      <w:pPr>
        <w:pStyle w:val="ListParagraph"/>
        <w:spacing w:before="0" w:after="0" w:line="240" w:lineRule="auto"/>
        <w:ind w:left="0"/>
        <w:contextualSpacing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Assistant Director Regulatory Performance,</w:t>
      </w:r>
      <w:r w:rsidRPr="006279B0">
        <w:rPr>
          <w:sz w:val="22"/>
          <w:szCs w:val="22"/>
          <w:lang w:eastAsia="en-US"/>
        </w:rPr>
        <w:t xml:space="preserve"> </w:t>
      </w:r>
      <w:r w:rsidR="00AF3A92">
        <w:rPr>
          <w:sz w:val="22"/>
          <w:szCs w:val="22"/>
          <w:lang w:eastAsia="en-US"/>
        </w:rPr>
        <w:t>Australian Aged Care Quality Agency</w:t>
      </w:r>
    </w:p>
    <w:p w:rsidR="001E7E57" w:rsidRDefault="00811FEB" w:rsidP="008818D1">
      <w:pPr>
        <w:pStyle w:val="ListParagraph"/>
        <w:spacing w:before="0" w:after="0" w:line="240" w:lineRule="auto"/>
        <w:ind w:left="0"/>
        <w:contextualSpacing w:val="0"/>
        <w:rPr>
          <w:sz w:val="22"/>
          <w:szCs w:val="22"/>
          <w:lang w:eastAsia="en-US"/>
        </w:rPr>
      </w:pPr>
      <w:hyperlink r:id="rId10" w:history="1">
        <w:r w:rsidR="001E7E57" w:rsidRPr="006279B0">
          <w:rPr>
            <w:rStyle w:val="Hyperlink"/>
            <w:sz w:val="22"/>
            <w:szCs w:val="22"/>
            <w:lang w:eastAsia="en-US"/>
          </w:rPr>
          <w:t>mary.goddard@aacqa.gov.au</w:t>
        </w:r>
      </w:hyperlink>
      <w:r w:rsidR="001E7E57" w:rsidRPr="006279B0">
        <w:rPr>
          <w:sz w:val="22"/>
          <w:szCs w:val="22"/>
          <w:lang w:eastAsia="en-US"/>
        </w:rPr>
        <w:t xml:space="preserve"> </w:t>
      </w:r>
    </w:p>
    <w:p w:rsidR="00DE7215" w:rsidRDefault="00DE7215" w:rsidP="001E7E57">
      <w:pPr>
        <w:spacing w:before="10" w:after="10"/>
        <w:ind w:right="-454"/>
        <w:rPr>
          <w:sz w:val="22"/>
          <w:szCs w:val="22"/>
        </w:rPr>
      </w:pPr>
    </w:p>
    <w:p w:rsidR="008818D1" w:rsidRDefault="008818D1" w:rsidP="001E7E57">
      <w:pPr>
        <w:spacing w:before="10" w:after="10"/>
        <w:ind w:right="-454"/>
        <w:rPr>
          <w:sz w:val="22"/>
          <w:szCs w:val="22"/>
        </w:rPr>
      </w:pPr>
    </w:p>
    <w:p w:rsidR="008818D1" w:rsidRDefault="008818D1" w:rsidP="001E7E57">
      <w:pPr>
        <w:spacing w:before="10" w:after="10"/>
        <w:ind w:right="-454"/>
        <w:rPr>
          <w:sz w:val="22"/>
          <w:szCs w:val="22"/>
        </w:rPr>
      </w:pPr>
    </w:p>
    <w:p w:rsidR="008818D1" w:rsidRDefault="008818D1" w:rsidP="001E7E57">
      <w:pPr>
        <w:spacing w:before="10" w:after="10"/>
        <w:ind w:right="-454"/>
        <w:rPr>
          <w:sz w:val="22"/>
          <w:szCs w:val="22"/>
        </w:rPr>
      </w:pPr>
    </w:p>
    <w:p w:rsidR="008818D1" w:rsidRDefault="008818D1" w:rsidP="001E7E57">
      <w:pPr>
        <w:spacing w:before="10" w:after="10"/>
        <w:ind w:right="-454"/>
        <w:rPr>
          <w:sz w:val="22"/>
          <w:szCs w:val="22"/>
        </w:rPr>
      </w:pPr>
    </w:p>
    <w:p w:rsidR="008818D1" w:rsidRDefault="008818D1" w:rsidP="001E7E57">
      <w:pPr>
        <w:spacing w:before="10" w:after="10"/>
        <w:ind w:right="-454"/>
        <w:rPr>
          <w:sz w:val="22"/>
          <w:szCs w:val="22"/>
        </w:rPr>
      </w:pPr>
    </w:p>
    <w:p w:rsidR="008818D1" w:rsidRDefault="008818D1" w:rsidP="001E7E57">
      <w:pPr>
        <w:spacing w:before="10" w:after="10"/>
        <w:ind w:right="-454"/>
        <w:rPr>
          <w:sz w:val="22"/>
          <w:szCs w:val="22"/>
        </w:rPr>
      </w:pPr>
    </w:p>
    <w:p w:rsidR="008818D1" w:rsidRDefault="008818D1" w:rsidP="001E7E57">
      <w:pPr>
        <w:spacing w:before="10" w:after="10"/>
        <w:ind w:right="-454"/>
        <w:rPr>
          <w:sz w:val="22"/>
          <w:szCs w:val="22"/>
        </w:rPr>
      </w:pPr>
    </w:p>
    <w:p w:rsidR="008818D1" w:rsidRDefault="008818D1" w:rsidP="001E7E57">
      <w:pPr>
        <w:spacing w:before="10" w:after="10"/>
        <w:ind w:right="-454"/>
        <w:rPr>
          <w:sz w:val="22"/>
          <w:szCs w:val="22"/>
        </w:rPr>
      </w:pPr>
    </w:p>
    <w:p w:rsidR="008818D1" w:rsidRDefault="008818D1" w:rsidP="001E7E57">
      <w:pPr>
        <w:spacing w:before="10" w:after="10"/>
        <w:ind w:right="-454"/>
        <w:rPr>
          <w:sz w:val="22"/>
          <w:szCs w:val="22"/>
        </w:rPr>
      </w:pPr>
    </w:p>
    <w:p w:rsidR="008818D1" w:rsidRPr="008818D1" w:rsidRDefault="008818D1" w:rsidP="008818D1">
      <w:pPr>
        <w:rPr>
          <w:sz w:val="20"/>
          <w:szCs w:val="20"/>
        </w:rPr>
      </w:pPr>
      <w:r w:rsidRPr="008818D1">
        <w:rPr>
          <w:sz w:val="20"/>
          <w:szCs w:val="20"/>
        </w:rPr>
        <w:t>*services and support for living include, but are not limited to, food services, domestic assistance, home maintenance, transport, recreational and social activities</w:t>
      </w:r>
      <w:r>
        <w:rPr>
          <w:sz w:val="20"/>
          <w:szCs w:val="20"/>
        </w:rPr>
        <w:t>.</w:t>
      </w:r>
      <w:r w:rsidRPr="008818D1">
        <w:rPr>
          <w:sz w:val="20"/>
          <w:szCs w:val="20"/>
        </w:rPr>
        <w:t xml:space="preserve"> </w:t>
      </w:r>
    </w:p>
    <w:p w:rsidR="008818D1" w:rsidRPr="006279B0" w:rsidRDefault="008818D1" w:rsidP="001E7E57">
      <w:pPr>
        <w:spacing w:before="10" w:after="10"/>
        <w:ind w:right="-454"/>
        <w:rPr>
          <w:sz w:val="22"/>
          <w:szCs w:val="22"/>
        </w:rPr>
      </w:pPr>
    </w:p>
    <w:sectPr w:rsidR="008818D1" w:rsidRPr="006279B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EB" w:rsidRDefault="00811FEB" w:rsidP="00F41C61">
      <w:pPr>
        <w:spacing w:after="0"/>
      </w:pPr>
      <w:r>
        <w:separator/>
      </w:r>
    </w:p>
  </w:endnote>
  <w:endnote w:type="continuationSeparator" w:id="0">
    <w:p w:rsidR="00811FEB" w:rsidRDefault="00811FEB" w:rsidP="00F41C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E40" w:rsidRDefault="000D3E40" w:rsidP="000D3E40">
    <w:pPr>
      <w:spacing w:before="10" w:after="10"/>
      <w:ind w:right="-454"/>
      <w:jc w:val="right"/>
      <w:rPr>
        <w:bCs/>
        <w:i/>
        <w:sz w:val="18"/>
        <w:szCs w:val="18"/>
      </w:rPr>
    </w:pPr>
    <w:r w:rsidRPr="000D3E40">
      <w:rPr>
        <w:rFonts w:cs="Arial"/>
        <w:i/>
        <w:sz w:val="18"/>
        <w:szCs w:val="18"/>
      </w:rPr>
      <w:t>Communique 2</w:t>
    </w:r>
    <w:r>
      <w:rPr>
        <w:rFonts w:cs="Arial"/>
        <w:i/>
        <w:sz w:val="18"/>
        <w:szCs w:val="18"/>
      </w:rPr>
      <w:t xml:space="preserve">: </w:t>
    </w:r>
    <w:r w:rsidRPr="000D3E40">
      <w:rPr>
        <w:rFonts w:cs="Arial"/>
        <w:i/>
        <w:sz w:val="18"/>
        <w:szCs w:val="18"/>
      </w:rPr>
      <w:t xml:space="preserve">Update from </w:t>
    </w:r>
    <w:r w:rsidRPr="000D3E40">
      <w:rPr>
        <w:bCs/>
        <w:i/>
        <w:sz w:val="18"/>
        <w:szCs w:val="18"/>
      </w:rPr>
      <w:t>Standards Guidance Reference Group meeting - 2 November 2017</w:t>
    </w:r>
    <w:r>
      <w:rPr>
        <w:bCs/>
        <w:i/>
        <w:sz w:val="18"/>
        <w:szCs w:val="18"/>
      </w:rPr>
      <w:t xml:space="preserve">. </w:t>
    </w:r>
  </w:p>
  <w:p w:rsidR="000D3E40" w:rsidRPr="000D3E40" w:rsidRDefault="000D3E40" w:rsidP="000D3E40">
    <w:pPr>
      <w:spacing w:before="10" w:after="10"/>
      <w:ind w:right="-454"/>
      <w:jc w:val="right"/>
      <w:rPr>
        <w:bCs/>
        <w:i/>
        <w:sz w:val="18"/>
        <w:szCs w:val="18"/>
      </w:rPr>
    </w:pPr>
    <w:r>
      <w:rPr>
        <w:bCs/>
        <w:i/>
        <w:sz w:val="18"/>
        <w:szCs w:val="18"/>
      </w:rPr>
      <w:t>For more information see Australian Aged Care Quality Agency website www.aacqa.gov.au</w:t>
    </w:r>
  </w:p>
  <w:p w:rsidR="000D3E40" w:rsidRDefault="000D3E40">
    <w:pPr>
      <w:pStyle w:val="Footer"/>
    </w:pPr>
  </w:p>
  <w:p w:rsidR="000D3E40" w:rsidRDefault="000D3E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EB" w:rsidRDefault="00811FEB" w:rsidP="00F41C61">
      <w:pPr>
        <w:spacing w:after="0"/>
      </w:pPr>
      <w:r>
        <w:separator/>
      </w:r>
    </w:p>
  </w:footnote>
  <w:footnote w:type="continuationSeparator" w:id="0">
    <w:p w:rsidR="00811FEB" w:rsidRDefault="00811FEB" w:rsidP="00F41C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1A4B"/>
    <w:multiLevelType w:val="hybridMultilevel"/>
    <w:tmpl w:val="8536DC90"/>
    <w:lvl w:ilvl="0" w:tplc="0C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6D56B2"/>
    <w:multiLevelType w:val="hybridMultilevel"/>
    <w:tmpl w:val="EA903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8478B"/>
    <w:multiLevelType w:val="hybridMultilevel"/>
    <w:tmpl w:val="F948C1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C907EA"/>
    <w:multiLevelType w:val="hybridMultilevel"/>
    <w:tmpl w:val="EA44F8EC"/>
    <w:lvl w:ilvl="0" w:tplc="AED0FB26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tabs>
          <w:tab w:val="num" w:pos="1801"/>
        </w:tabs>
        <w:ind w:left="1838" w:hanging="397"/>
      </w:pPr>
      <w:rPr>
        <w:rFonts w:ascii="Courier New" w:hAnsi="Courier New" w:cs="Courier New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4">
    <w:nsid w:val="683E6C1F"/>
    <w:multiLevelType w:val="hybridMultilevel"/>
    <w:tmpl w:val="325095D4"/>
    <w:lvl w:ilvl="0" w:tplc="0C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6ED11E05"/>
    <w:multiLevelType w:val="hybridMultilevel"/>
    <w:tmpl w:val="A246F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DB"/>
    <w:rsid w:val="00011787"/>
    <w:rsid w:val="0001209E"/>
    <w:rsid w:val="000D3E40"/>
    <w:rsid w:val="000E2777"/>
    <w:rsid w:val="00134395"/>
    <w:rsid w:val="001411A1"/>
    <w:rsid w:val="00143322"/>
    <w:rsid w:val="001E7E57"/>
    <w:rsid w:val="0029561C"/>
    <w:rsid w:val="002D5629"/>
    <w:rsid w:val="002F1E5A"/>
    <w:rsid w:val="0032599D"/>
    <w:rsid w:val="00346AAF"/>
    <w:rsid w:val="00362E3D"/>
    <w:rsid w:val="00394637"/>
    <w:rsid w:val="003E0D6E"/>
    <w:rsid w:val="004440B4"/>
    <w:rsid w:val="00503803"/>
    <w:rsid w:val="005633DF"/>
    <w:rsid w:val="0057546D"/>
    <w:rsid w:val="005D71A4"/>
    <w:rsid w:val="0063524D"/>
    <w:rsid w:val="00654D52"/>
    <w:rsid w:val="00665619"/>
    <w:rsid w:val="006B196B"/>
    <w:rsid w:val="00701BC3"/>
    <w:rsid w:val="0076112F"/>
    <w:rsid w:val="0076414A"/>
    <w:rsid w:val="00771884"/>
    <w:rsid w:val="0078003C"/>
    <w:rsid w:val="007A239A"/>
    <w:rsid w:val="007B323D"/>
    <w:rsid w:val="007D0B70"/>
    <w:rsid w:val="007D4CDE"/>
    <w:rsid w:val="007D751B"/>
    <w:rsid w:val="00811FEB"/>
    <w:rsid w:val="008169DB"/>
    <w:rsid w:val="008818D1"/>
    <w:rsid w:val="008948C5"/>
    <w:rsid w:val="008966DA"/>
    <w:rsid w:val="008E4446"/>
    <w:rsid w:val="00953DF0"/>
    <w:rsid w:val="009741F9"/>
    <w:rsid w:val="00985375"/>
    <w:rsid w:val="009F6092"/>
    <w:rsid w:val="00A03862"/>
    <w:rsid w:val="00A715E3"/>
    <w:rsid w:val="00A76F04"/>
    <w:rsid w:val="00AA2E91"/>
    <w:rsid w:val="00AD1460"/>
    <w:rsid w:val="00AD4646"/>
    <w:rsid w:val="00AF3A92"/>
    <w:rsid w:val="00B2540D"/>
    <w:rsid w:val="00C31AE8"/>
    <w:rsid w:val="00C90501"/>
    <w:rsid w:val="00CD526A"/>
    <w:rsid w:val="00D41ED5"/>
    <w:rsid w:val="00D4468B"/>
    <w:rsid w:val="00DE7215"/>
    <w:rsid w:val="00DF5727"/>
    <w:rsid w:val="00E204B7"/>
    <w:rsid w:val="00F3109A"/>
    <w:rsid w:val="00F40452"/>
    <w:rsid w:val="00F41C61"/>
    <w:rsid w:val="00F473CC"/>
    <w:rsid w:val="00F653C4"/>
    <w:rsid w:val="00FC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9DB"/>
    <w:pPr>
      <w:spacing w:after="6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,Bullet point,L,List Paragraph1,List Paragraph11,Recommendation,Bulletr List Paragraph,Content descriptions,FooterText,List Bullet 1,List Paragraph2,List Paragraph21,Listeafsnit1,NFP GP Bulleted List,Paragraphe de liste1,リスト段落"/>
    <w:basedOn w:val="Normal"/>
    <w:link w:val="ListParagraphChar"/>
    <w:uiPriority w:val="34"/>
    <w:qFormat/>
    <w:rsid w:val="008169DB"/>
    <w:pPr>
      <w:spacing w:before="80" w:after="160" w:line="280" w:lineRule="exact"/>
      <w:ind w:left="720"/>
      <w:contextualSpacing/>
    </w:pPr>
    <w:rPr>
      <w:sz w:val="20"/>
      <w:szCs w:val="20"/>
      <w:lang w:eastAsia="en-AU"/>
    </w:rPr>
  </w:style>
  <w:style w:type="character" w:customStyle="1" w:styleId="ListParagraphChar">
    <w:name w:val="List Paragraph Char"/>
    <w:aliases w:val="Bullet Point Char,Bullet point Char,L Char,List Paragraph1 Char,List Paragraph11 Char,Recommendation Char,Bulletr List Paragraph Char,Content descriptions Char,FooterText Char,List Bullet 1 Char,List Paragraph2 Char,Listeafsnit1 Char"/>
    <w:basedOn w:val="DefaultParagraphFont"/>
    <w:link w:val="ListParagraph"/>
    <w:uiPriority w:val="34"/>
    <w:locked/>
    <w:rsid w:val="008169DB"/>
    <w:rPr>
      <w:rFonts w:ascii="Arial" w:eastAsia="Times New Roman" w:hAnsi="Arial" w:cs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41C6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1C6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1C6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1C6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88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8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9DB"/>
    <w:pPr>
      <w:spacing w:after="6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,Bullet point,L,List Paragraph1,List Paragraph11,Recommendation,Bulletr List Paragraph,Content descriptions,FooterText,List Bullet 1,List Paragraph2,List Paragraph21,Listeafsnit1,NFP GP Bulleted List,Paragraphe de liste1,リスト段落"/>
    <w:basedOn w:val="Normal"/>
    <w:link w:val="ListParagraphChar"/>
    <w:uiPriority w:val="34"/>
    <w:qFormat/>
    <w:rsid w:val="008169DB"/>
    <w:pPr>
      <w:spacing w:before="80" w:after="160" w:line="280" w:lineRule="exact"/>
      <w:ind w:left="720"/>
      <w:contextualSpacing/>
    </w:pPr>
    <w:rPr>
      <w:sz w:val="20"/>
      <w:szCs w:val="20"/>
      <w:lang w:eastAsia="en-AU"/>
    </w:rPr>
  </w:style>
  <w:style w:type="character" w:customStyle="1" w:styleId="ListParagraphChar">
    <w:name w:val="List Paragraph Char"/>
    <w:aliases w:val="Bullet Point Char,Bullet point Char,L Char,List Paragraph1 Char,List Paragraph11 Char,Recommendation Char,Bulletr List Paragraph Char,Content descriptions Char,FooterText Char,List Bullet 1 Char,List Paragraph2 Char,Listeafsnit1 Char"/>
    <w:basedOn w:val="DefaultParagraphFont"/>
    <w:link w:val="ListParagraph"/>
    <w:uiPriority w:val="34"/>
    <w:locked/>
    <w:rsid w:val="008169DB"/>
    <w:rPr>
      <w:rFonts w:ascii="Arial" w:eastAsia="Times New Roman" w:hAnsi="Arial" w:cs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41C6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1C6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1C6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1C6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88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8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6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ry.goddard@aacqa.gov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313A4-E8C7-4E86-93D7-F76FD9BD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Aged Care Quality Agency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De Assuncao</dc:creator>
  <cp:lastModifiedBy>Cath Snow</cp:lastModifiedBy>
  <cp:revision>3</cp:revision>
  <cp:lastPrinted>2017-11-09T00:23:00Z</cp:lastPrinted>
  <dcterms:created xsi:type="dcterms:W3CDTF">2018-01-23T01:30:00Z</dcterms:created>
  <dcterms:modified xsi:type="dcterms:W3CDTF">2018-01-23T01:32:00Z</dcterms:modified>
</cp:coreProperties>
</file>