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8D0" w:rsidRDefault="005328D0" w:rsidP="00EF72C1">
      <w:pPr>
        <w:spacing w:before="10" w:after="10"/>
        <w:ind w:right="-454"/>
        <w:jc w:val="center"/>
        <w:rPr>
          <w:rFonts w:cs="Arial"/>
          <w:b/>
          <w:sz w:val="22"/>
          <w:szCs w:val="22"/>
        </w:rPr>
      </w:pPr>
      <w:r>
        <w:rPr>
          <w:rFonts w:cs="Arial"/>
          <w:b/>
          <w:noProof/>
          <w:sz w:val="22"/>
          <w:szCs w:val="22"/>
          <w:lang w:eastAsia="en-AU"/>
        </w:rPr>
        <w:drawing>
          <wp:inline distT="0" distB="0" distL="0" distR="0" wp14:anchorId="2884813C" wp14:editId="7E5EAB0B">
            <wp:extent cx="43053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5300" cy="952500"/>
                    </a:xfrm>
                    <a:prstGeom prst="rect">
                      <a:avLst/>
                    </a:prstGeom>
                    <a:noFill/>
                    <a:ln>
                      <a:noFill/>
                    </a:ln>
                  </pic:spPr>
                </pic:pic>
              </a:graphicData>
            </a:graphic>
          </wp:inline>
        </w:drawing>
      </w:r>
    </w:p>
    <w:p w:rsidR="005328D0" w:rsidRDefault="005328D0" w:rsidP="005328D0">
      <w:pPr>
        <w:spacing w:before="10" w:after="10"/>
        <w:ind w:right="-454"/>
        <w:rPr>
          <w:rFonts w:cs="Arial"/>
          <w:b/>
          <w:sz w:val="22"/>
          <w:szCs w:val="22"/>
        </w:rPr>
      </w:pPr>
      <w:r>
        <w:rPr>
          <w:rFonts w:cs="Arial"/>
          <w:b/>
          <w:sz w:val="22"/>
          <w:szCs w:val="22"/>
        </w:rPr>
        <w:t xml:space="preserve">Communique </w:t>
      </w:r>
      <w:r w:rsidR="00972BF6">
        <w:rPr>
          <w:rFonts w:cs="Arial"/>
          <w:b/>
          <w:sz w:val="22"/>
          <w:szCs w:val="22"/>
        </w:rPr>
        <w:t>3</w:t>
      </w:r>
      <w:r>
        <w:rPr>
          <w:rFonts w:cs="Arial"/>
          <w:b/>
          <w:sz w:val="22"/>
          <w:szCs w:val="22"/>
        </w:rPr>
        <w:t xml:space="preserve"> </w:t>
      </w:r>
    </w:p>
    <w:p w:rsidR="005328D0" w:rsidRDefault="005328D0" w:rsidP="005328D0">
      <w:pPr>
        <w:spacing w:before="10" w:after="10"/>
        <w:ind w:right="-454"/>
        <w:rPr>
          <w:rFonts w:cs="Arial"/>
          <w:b/>
          <w:sz w:val="22"/>
          <w:szCs w:val="22"/>
        </w:rPr>
      </w:pPr>
      <w:r>
        <w:rPr>
          <w:rFonts w:cs="Arial"/>
          <w:b/>
          <w:sz w:val="22"/>
          <w:szCs w:val="22"/>
        </w:rPr>
        <w:t>Third Meeting of the Standards Guidance Reference Group</w:t>
      </w:r>
    </w:p>
    <w:p w:rsidR="005328D0" w:rsidRDefault="005328D0" w:rsidP="005328D0">
      <w:pPr>
        <w:spacing w:before="10" w:after="10"/>
        <w:ind w:right="-454"/>
        <w:rPr>
          <w:rFonts w:cs="Arial"/>
          <w:b/>
          <w:sz w:val="22"/>
          <w:szCs w:val="22"/>
        </w:rPr>
      </w:pPr>
    </w:p>
    <w:p w:rsidR="008D4E80" w:rsidRPr="00966B5C" w:rsidRDefault="005328D0" w:rsidP="00966B5C">
      <w:pPr>
        <w:pStyle w:val="ListParagraph"/>
        <w:numPr>
          <w:ilvl w:val="0"/>
          <w:numId w:val="3"/>
        </w:numPr>
        <w:spacing w:after="120"/>
        <w:ind w:left="360"/>
        <w:rPr>
          <w:rFonts w:cs="Arial"/>
          <w:sz w:val="22"/>
          <w:szCs w:val="22"/>
        </w:rPr>
      </w:pPr>
      <w:r w:rsidRPr="008D4E80">
        <w:rPr>
          <w:rFonts w:cs="Arial"/>
          <w:sz w:val="22"/>
          <w:szCs w:val="22"/>
        </w:rPr>
        <w:t xml:space="preserve">The Standards Guidance Reference Group </w:t>
      </w:r>
      <w:r w:rsidR="008D4E80" w:rsidRPr="008D4E80">
        <w:rPr>
          <w:rFonts w:cs="Arial"/>
          <w:sz w:val="22"/>
          <w:szCs w:val="22"/>
        </w:rPr>
        <w:t xml:space="preserve">(SGRG) </w:t>
      </w:r>
      <w:r w:rsidR="00747807">
        <w:rPr>
          <w:rFonts w:cs="Arial"/>
          <w:sz w:val="22"/>
          <w:szCs w:val="22"/>
        </w:rPr>
        <w:t>met</w:t>
      </w:r>
      <w:r w:rsidR="004C1B15">
        <w:rPr>
          <w:rFonts w:cs="Arial"/>
          <w:sz w:val="22"/>
          <w:szCs w:val="22"/>
        </w:rPr>
        <w:t xml:space="preserve"> on 30 November.</w:t>
      </w:r>
      <w:r w:rsidR="00966B5C">
        <w:rPr>
          <w:rFonts w:cs="Arial"/>
          <w:sz w:val="22"/>
          <w:szCs w:val="22"/>
        </w:rPr>
        <w:t xml:space="preserve"> Key themes in relation to the Draft </w:t>
      </w:r>
      <w:r w:rsidR="00735B4A">
        <w:rPr>
          <w:rFonts w:cs="Arial"/>
          <w:sz w:val="22"/>
          <w:szCs w:val="22"/>
        </w:rPr>
        <w:t xml:space="preserve">Guidance </w:t>
      </w:r>
      <w:r w:rsidR="00966B5C">
        <w:rPr>
          <w:rFonts w:cs="Arial"/>
          <w:sz w:val="22"/>
          <w:szCs w:val="22"/>
        </w:rPr>
        <w:t xml:space="preserve">were discussed and ideas workshopped. </w:t>
      </w:r>
      <w:r w:rsidR="00735B4A">
        <w:rPr>
          <w:rFonts w:cs="Arial"/>
          <w:sz w:val="22"/>
          <w:szCs w:val="22"/>
        </w:rPr>
        <w:t>The SGRG discussed critical questions relating to the development of guidance for</w:t>
      </w:r>
      <w:r w:rsidR="00966B5C" w:rsidRPr="00966B5C">
        <w:rPr>
          <w:rFonts w:cs="Arial"/>
          <w:sz w:val="22"/>
          <w:szCs w:val="22"/>
        </w:rPr>
        <w:t xml:space="preserve"> </w:t>
      </w:r>
      <w:r w:rsidR="00747807" w:rsidRPr="00966B5C">
        <w:rPr>
          <w:rFonts w:cs="Arial"/>
          <w:sz w:val="22"/>
          <w:szCs w:val="22"/>
        </w:rPr>
        <w:t xml:space="preserve">Draft Standard 1 - Consumer Dignity and Choice; Draft Standard </w:t>
      </w:r>
      <w:r w:rsidR="00EF72C1" w:rsidRPr="00966B5C">
        <w:rPr>
          <w:rFonts w:cs="Arial"/>
          <w:sz w:val="22"/>
          <w:szCs w:val="22"/>
        </w:rPr>
        <w:t>4</w:t>
      </w:r>
      <w:r w:rsidR="00747807" w:rsidRPr="00966B5C">
        <w:rPr>
          <w:rFonts w:cs="Arial"/>
          <w:sz w:val="22"/>
          <w:szCs w:val="22"/>
        </w:rPr>
        <w:t xml:space="preserve"> - Service</w:t>
      </w:r>
      <w:r w:rsidR="007C7B9D" w:rsidRPr="00966B5C">
        <w:rPr>
          <w:rFonts w:cs="Arial"/>
          <w:sz w:val="22"/>
          <w:szCs w:val="22"/>
        </w:rPr>
        <w:t>s and Supports for Daily L</w:t>
      </w:r>
      <w:r w:rsidR="00747807" w:rsidRPr="00966B5C">
        <w:rPr>
          <w:rFonts w:cs="Arial"/>
          <w:sz w:val="22"/>
          <w:szCs w:val="22"/>
        </w:rPr>
        <w:t xml:space="preserve">iving; Draft Standard </w:t>
      </w:r>
      <w:r w:rsidR="00EF72C1" w:rsidRPr="00966B5C">
        <w:rPr>
          <w:rFonts w:cs="Arial"/>
          <w:sz w:val="22"/>
          <w:szCs w:val="22"/>
        </w:rPr>
        <w:t>5</w:t>
      </w:r>
      <w:r w:rsidR="00747807" w:rsidRPr="00966B5C">
        <w:rPr>
          <w:rFonts w:cs="Arial"/>
          <w:sz w:val="22"/>
          <w:szCs w:val="22"/>
        </w:rPr>
        <w:t xml:space="preserve"> – Organisation’s Service Environment; Draft Standard</w:t>
      </w:r>
      <w:r w:rsidR="00EF72C1" w:rsidRPr="00966B5C">
        <w:rPr>
          <w:rFonts w:cs="Arial"/>
          <w:sz w:val="22"/>
          <w:szCs w:val="22"/>
        </w:rPr>
        <w:t xml:space="preserve"> 6</w:t>
      </w:r>
      <w:r w:rsidR="00747807" w:rsidRPr="00966B5C">
        <w:rPr>
          <w:rFonts w:cs="Arial"/>
          <w:sz w:val="22"/>
          <w:szCs w:val="22"/>
        </w:rPr>
        <w:t xml:space="preserve"> – Feedback and Complaints, Draft Standard 7 – Human Resources; and Draft Standard 8 – Organisational Governance</w:t>
      </w:r>
      <w:r w:rsidR="00EF72C1" w:rsidRPr="00966B5C">
        <w:rPr>
          <w:rFonts w:cs="Arial"/>
          <w:sz w:val="22"/>
          <w:szCs w:val="22"/>
        </w:rPr>
        <w:t xml:space="preserve">. </w:t>
      </w:r>
      <w:r w:rsidR="008D4E80" w:rsidRPr="00966B5C">
        <w:rPr>
          <w:rFonts w:cs="Arial"/>
          <w:sz w:val="22"/>
          <w:szCs w:val="22"/>
        </w:rPr>
        <w:t xml:space="preserve"> </w:t>
      </w:r>
      <w:bookmarkStart w:id="0" w:name="_GoBack"/>
      <w:bookmarkEnd w:id="0"/>
    </w:p>
    <w:p w:rsidR="004C1B15" w:rsidRPr="004C1B15" w:rsidRDefault="004C1B15" w:rsidP="004C1B15">
      <w:pPr>
        <w:pStyle w:val="ListParagraph"/>
        <w:spacing w:after="120"/>
        <w:ind w:left="360"/>
        <w:rPr>
          <w:rFonts w:cs="Arial"/>
          <w:sz w:val="22"/>
          <w:szCs w:val="22"/>
        </w:rPr>
      </w:pPr>
    </w:p>
    <w:p w:rsidR="00747807" w:rsidRDefault="00747807" w:rsidP="00972BF6">
      <w:pPr>
        <w:pStyle w:val="ListParagraph"/>
        <w:numPr>
          <w:ilvl w:val="0"/>
          <w:numId w:val="3"/>
        </w:numPr>
        <w:spacing w:after="120"/>
        <w:ind w:left="360"/>
        <w:rPr>
          <w:rFonts w:cs="Arial"/>
          <w:sz w:val="22"/>
          <w:szCs w:val="22"/>
        </w:rPr>
      </w:pPr>
      <w:r>
        <w:rPr>
          <w:rFonts w:cs="Arial"/>
          <w:sz w:val="22"/>
          <w:szCs w:val="22"/>
        </w:rPr>
        <w:t xml:space="preserve">The Chair </w:t>
      </w:r>
      <w:r w:rsidR="00EB3CF9">
        <w:rPr>
          <w:rFonts w:cs="Arial"/>
          <w:sz w:val="22"/>
          <w:szCs w:val="22"/>
        </w:rPr>
        <w:t xml:space="preserve">explained the next steps in the guidance development process. Draft guidance is being redrafted to better represent how the guidance will look in its finalised format. </w:t>
      </w:r>
      <w:r w:rsidR="0091000B">
        <w:rPr>
          <w:rFonts w:cs="Arial"/>
          <w:sz w:val="22"/>
          <w:szCs w:val="22"/>
        </w:rPr>
        <w:t xml:space="preserve">Draft guidance </w:t>
      </w:r>
      <w:r w:rsidR="00FC6574">
        <w:rPr>
          <w:rFonts w:cs="Arial"/>
          <w:sz w:val="22"/>
          <w:szCs w:val="22"/>
        </w:rPr>
        <w:t xml:space="preserve">for at least one of the standards </w:t>
      </w:r>
      <w:r w:rsidR="0091000B">
        <w:rPr>
          <w:rFonts w:cs="Arial"/>
          <w:sz w:val="22"/>
          <w:szCs w:val="22"/>
        </w:rPr>
        <w:t xml:space="preserve">will be presented to the Group at the next meeting </w:t>
      </w:r>
      <w:r w:rsidR="00FC6574">
        <w:rPr>
          <w:rFonts w:cs="Arial"/>
          <w:sz w:val="22"/>
          <w:szCs w:val="22"/>
        </w:rPr>
        <w:t>in the revised format.</w:t>
      </w:r>
    </w:p>
    <w:p w:rsidR="009D5518" w:rsidRPr="009D5518" w:rsidRDefault="009D5518" w:rsidP="009D5518">
      <w:pPr>
        <w:pStyle w:val="ListParagraph"/>
        <w:rPr>
          <w:rFonts w:cs="Arial"/>
          <w:sz w:val="22"/>
          <w:szCs w:val="22"/>
        </w:rPr>
      </w:pPr>
    </w:p>
    <w:p w:rsidR="009D5518" w:rsidRDefault="009D5518" w:rsidP="009D5518">
      <w:pPr>
        <w:pStyle w:val="ListParagraph"/>
        <w:numPr>
          <w:ilvl w:val="0"/>
          <w:numId w:val="3"/>
        </w:numPr>
        <w:spacing w:after="120"/>
        <w:ind w:left="360"/>
        <w:rPr>
          <w:rFonts w:cs="Arial"/>
          <w:sz w:val="22"/>
          <w:szCs w:val="22"/>
        </w:rPr>
      </w:pPr>
      <w:r>
        <w:rPr>
          <w:rFonts w:cs="Arial"/>
          <w:sz w:val="22"/>
          <w:szCs w:val="22"/>
        </w:rPr>
        <w:t xml:space="preserve">The SGRG Terms of Reference were finalised and </w:t>
      </w:r>
      <w:r w:rsidR="00BA404F">
        <w:rPr>
          <w:rFonts w:cs="Arial"/>
          <w:sz w:val="22"/>
          <w:szCs w:val="22"/>
        </w:rPr>
        <w:t xml:space="preserve">the purpose of the SGRG has been broadened to </w:t>
      </w:r>
      <w:r>
        <w:rPr>
          <w:rFonts w:cs="Arial"/>
          <w:sz w:val="22"/>
          <w:szCs w:val="22"/>
        </w:rPr>
        <w:t xml:space="preserve">include </w:t>
      </w:r>
      <w:r w:rsidR="001B1007">
        <w:rPr>
          <w:rFonts w:cs="Arial"/>
          <w:sz w:val="22"/>
          <w:szCs w:val="22"/>
        </w:rPr>
        <w:t>providing</w:t>
      </w:r>
      <w:r>
        <w:rPr>
          <w:rFonts w:cs="Arial"/>
          <w:sz w:val="22"/>
          <w:szCs w:val="22"/>
        </w:rPr>
        <w:t xml:space="preserve"> input to evaluation and monitor</w:t>
      </w:r>
      <w:r w:rsidR="00611DA8">
        <w:rPr>
          <w:rFonts w:cs="Arial"/>
          <w:sz w:val="22"/>
          <w:szCs w:val="22"/>
        </w:rPr>
        <w:t>ing activities, as appropriate.</w:t>
      </w:r>
    </w:p>
    <w:p w:rsidR="00611DA8" w:rsidRPr="00611DA8" w:rsidRDefault="00611DA8" w:rsidP="00611DA8">
      <w:pPr>
        <w:pStyle w:val="ListParagraph"/>
        <w:rPr>
          <w:rFonts w:cs="Arial"/>
          <w:sz w:val="22"/>
          <w:szCs w:val="22"/>
        </w:rPr>
      </w:pPr>
    </w:p>
    <w:p w:rsidR="00972BF6" w:rsidRDefault="001B1007" w:rsidP="00972BF6">
      <w:pPr>
        <w:pStyle w:val="ListParagraph"/>
        <w:numPr>
          <w:ilvl w:val="0"/>
          <w:numId w:val="3"/>
        </w:numPr>
        <w:spacing w:after="120"/>
        <w:ind w:left="360"/>
        <w:rPr>
          <w:rFonts w:cs="Arial"/>
          <w:sz w:val="22"/>
          <w:szCs w:val="22"/>
        </w:rPr>
      </w:pPr>
      <w:r>
        <w:rPr>
          <w:rFonts w:cs="Arial"/>
          <w:sz w:val="22"/>
          <w:szCs w:val="22"/>
        </w:rPr>
        <w:t xml:space="preserve">Consumer-focussed care was discussed in the context of guidance material for Draft Standard 4. </w:t>
      </w:r>
      <w:r w:rsidR="00DF7B2C">
        <w:rPr>
          <w:rFonts w:cs="Arial"/>
          <w:sz w:val="22"/>
          <w:szCs w:val="22"/>
        </w:rPr>
        <w:t>SGRG members</w:t>
      </w:r>
      <w:r w:rsidR="002514D8">
        <w:rPr>
          <w:rFonts w:cs="Arial"/>
          <w:sz w:val="22"/>
          <w:szCs w:val="22"/>
        </w:rPr>
        <w:t xml:space="preserve"> noted that </w:t>
      </w:r>
      <w:r w:rsidR="00972BF6">
        <w:rPr>
          <w:rFonts w:cs="Arial"/>
          <w:sz w:val="22"/>
          <w:szCs w:val="22"/>
        </w:rPr>
        <w:t xml:space="preserve">it is important to </w:t>
      </w:r>
      <w:r w:rsidR="000B69F6">
        <w:rPr>
          <w:rFonts w:cs="Arial"/>
          <w:sz w:val="22"/>
          <w:szCs w:val="22"/>
        </w:rPr>
        <w:t>recognise alternative methods of gaining feedback from all consumers,</w:t>
      </w:r>
      <w:r w:rsidR="00A153EB">
        <w:rPr>
          <w:rFonts w:cs="Arial"/>
          <w:sz w:val="22"/>
          <w:szCs w:val="22"/>
        </w:rPr>
        <w:t xml:space="preserve"> for example </w:t>
      </w:r>
      <w:r w:rsidR="00CE2CD3">
        <w:rPr>
          <w:rFonts w:cs="Arial"/>
          <w:sz w:val="22"/>
          <w:szCs w:val="22"/>
        </w:rPr>
        <w:t>through</w:t>
      </w:r>
      <w:r w:rsidR="00A153EB">
        <w:rPr>
          <w:rFonts w:cs="Arial"/>
          <w:sz w:val="22"/>
          <w:szCs w:val="22"/>
        </w:rPr>
        <w:t xml:space="preserve"> assistive technology</w:t>
      </w:r>
      <w:r w:rsidR="004C6F05">
        <w:rPr>
          <w:rFonts w:cs="Arial"/>
          <w:sz w:val="22"/>
          <w:szCs w:val="22"/>
        </w:rPr>
        <w:t>, or facilitating access to advocates</w:t>
      </w:r>
      <w:r w:rsidR="00972BF6">
        <w:rPr>
          <w:rFonts w:cs="Arial"/>
          <w:sz w:val="22"/>
          <w:szCs w:val="22"/>
        </w:rPr>
        <w:t xml:space="preserve">. </w:t>
      </w:r>
    </w:p>
    <w:p w:rsidR="00611DA8" w:rsidRPr="00611DA8" w:rsidRDefault="00611DA8" w:rsidP="00611DA8">
      <w:pPr>
        <w:pStyle w:val="ListParagraph"/>
        <w:rPr>
          <w:rFonts w:cs="Arial"/>
          <w:sz w:val="22"/>
          <w:szCs w:val="22"/>
        </w:rPr>
      </w:pPr>
    </w:p>
    <w:p w:rsidR="00611DA8" w:rsidRDefault="00611DA8" w:rsidP="00611DA8">
      <w:pPr>
        <w:pStyle w:val="ListParagraph"/>
        <w:numPr>
          <w:ilvl w:val="0"/>
          <w:numId w:val="3"/>
        </w:numPr>
        <w:spacing w:after="120"/>
        <w:ind w:left="360"/>
        <w:rPr>
          <w:rFonts w:cs="Arial"/>
          <w:sz w:val="22"/>
          <w:szCs w:val="22"/>
        </w:rPr>
      </w:pPr>
      <w:r>
        <w:rPr>
          <w:rFonts w:cs="Arial"/>
          <w:sz w:val="22"/>
          <w:szCs w:val="22"/>
        </w:rPr>
        <w:t>Discussion about guidance for Draft S</w:t>
      </w:r>
      <w:r w:rsidRPr="00F459AB">
        <w:rPr>
          <w:rFonts w:cs="Arial"/>
          <w:sz w:val="22"/>
          <w:szCs w:val="22"/>
        </w:rPr>
        <w:t xml:space="preserve">tandard 5 included </w:t>
      </w:r>
      <w:r>
        <w:rPr>
          <w:rFonts w:cs="Arial"/>
          <w:sz w:val="22"/>
          <w:szCs w:val="22"/>
        </w:rPr>
        <w:t xml:space="preserve">the importance of </w:t>
      </w:r>
      <w:r w:rsidRPr="00EF72C1">
        <w:rPr>
          <w:rFonts w:cs="Arial"/>
          <w:sz w:val="22"/>
          <w:szCs w:val="22"/>
        </w:rPr>
        <w:t>impl</w:t>
      </w:r>
      <w:r>
        <w:rPr>
          <w:rFonts w:cs="Arial"/>
          <w:sz w:val="22"/>
          <w:szCs w:val="22"/>
        </w:rPr>
        <w:t>ementing and monitoring a Diversity S</w:t>
      </w:r>
      <w:r w:rsidRPr="00EF72C1">
        <w:rPr>
          <w:rFonts w:cs="Arial"/>
          <w:sz w:val="22"/>
          <w:szCs w:val="22"/>
        </w:rPr>
        <w:t>trategy</w:t>
      </w:r>
      <w:r>
        <w:rPr>
          <w:rFonts w:cs="Arial"/>
          <w:sz w:val="22"/>
          <w:szCs w:val="22"/>
        </w:rPr>
        <w:t>,</w:t>
      </w:r>
      <w:r w:rsidRPr="00EF72C1">
        <w:rPr>
          <w:rFonts w:cs="Arial"/>
          <w:sz w:val="22"/>
          <w:szCs w:val="22"/>
        </w:rPr>
        <w:t xml:space="preserve"> </w:t>
      </w:r>
      <w:r>
        <w:rPr>
          <w:rFonts w:cs="Arial"/>
          <w:sz w:val="22"/>
          <w:szCs w:val="22"/>
        </w:rPr>
        <w:t xml:space="preserve">as well as the significance </w:t>
      </w:r>
      <w:r w:rsidRPr="00F459AB">
        <w:rPr>
          <w:rFonts w:cs="Arial"/>
          <w:sz w:val="22"/>
          <w:szCs w:val="22"/>
        </w:rPr>
        <w:t xml:space="preserve">of </w:t>
      </w:r>
      <w:r>
        <w:rPr>
          <w:rFonts w:cs="Arial"/>
          <w:sz w:val="22"/>
          <w:szCs w:val="22"/>
        </w:rPr>
        <w:t xml:space="preserve">the physical environment and relationships to generate a sense of belonging. </w:t>
      </w:r>
    </w:p>
    <w:p w:rsidR="008D4E80" w:rsidRPr="008D4E80" w:rsidRDefault="008D4E80" w:rsidP="008D4E80">
      <w:pPr>
        <w:pStyle w:val="ListParagraph"/>
        <w:rPr>
          <w:rFonts w:cs="Arial"/>
          <w:sz w:val="22"/>
          <w:szCs w:val="22"/>
        </w:rPr>
      </w:pPr>
    </w:p>
    <w:p w:rsidR="001B2563" w:rsidRDefault="00085EB6" w:rsidP="001B2563">
      <w:pPr>
        <w:pStyle w:val="ListParagraph"/>
        <w:numPr>
          <w:ilvl w:val="0"/>
          <w:numId w:val="3"/>
        </w:numPr>
        <w:spacing w:after="120"/>
        <w:ind w:left="360"/>
        <w:rPr>
          <w:rFonts w:cs="Arial"/>
          <w:sz w:val="22"/>
          <w:szCs w:val="22"/>
        </w:rPr>
      </w:pPr>
      <w:r>
        <w:rPr>
          <w:rFonts w:cs="Arial"/>
          <w:sz w:val="22"/>
          <w:szCs w:val="22"/>
        </w:rPr>
        <w:t xml:space="preserve">During discussion of guidance material for </w:t>
      </w:r>
      <w:r w:rsidR="009D5518">
        <w:rPr>
          <w:rFonts w:cs="Arial"/>
          <w:sz w:val="22"/>
          <w:szCs w:val="22"/>
        </w:rPr>
        <w:t>D</w:t>
      </w:r>
      <w:r w:rsidR="00C81899">
        <w:rPr>
          <w:rFonts w:cs="Arial"/>
          <w:sz w:val="22"/>
          <w:szCs w:val="22"/>
        </w:rPr>
        <w:t xml:space="preserve">raft </w:t>
      </w:r>
      <w:r w:rsidR="00972BF6">
        <w:rPr>
          <w:rFonts w:cs="Arial"/>
          <w:sz w:val="22"/>
          <w:szCs w:val="22"/>
        </w:rPr>
        <w:t xml:space="preserve">Standard 8, antimicrobial </w:t>
      </w:r>
      <w:r w:rsidR="000B69F6">
        <w:rPr>
          <w:rFonts w:cs="Arial"/>
          <w:sz w:val="22"/>
          <w:szCs w:val="22"/>
        </w:rPr>
        <w:t xml:space="preserve">stewardship </w:t>
      </w:r>
      <w:r w:rsidR="001B2563">
        <w:rPr>
          <w:rFonts w:cs="Arial"/>
          <w:sz w:val="22"/>
          <w:szCs w:val="22"/>
        </w:rPr>
        <w:t>was discussed</w:t>
      </w:r>
      <w:r w:rsidR="000B69F6">
        <w:rPr>
          <w:rFonts w:cs="Arial"/>
          <w:sz w:val="22"/>
          <w:szCs w:val="22"/>
        </w:rPr>
        <w:t xml:space="preserve"> in the context of working with the prescribing practices of general practitioners. A </w:t>
      </w:r>
      <w:r w:rsidR="001B2563">
        <w:rPr>
          <w:rFonts w:cs="Arial"/>
          <w:sz w:val="22"/>
          <w:szCs w:val="22"/>
        </w:rPr>
        <w:t xml:space="preserve">range of tools </w:t>
      </w:r>
      <w:r w:rsidR="000B69F6">
        <w:rPr>
          <w:rFonts w:cs="Arial"/>
          <w:sz w:val="22"/>
          <w:szCs w:val="22"/>
        </w:rPr>
        <w:t xml:space="preserve">were shared to assist in </w:t>
      </w:r>
      <w:r w:rsidR="009D5518">
        <w:rPr>
          <w:rFonts w:cs="Arial"/>
          <w:sz w:val="22"/>
          <w:szCs w:val="22"/>
        </w:rPr>
        <w:t xml:space="preserve">the </w:t>
      </w:r>
      <w:r w:rsidR="000B69F6">
        <w:rPr>
          <w:rFonts w:cs="Arial"/>
          <w:sz w:val="22"/>
          <w:szCs w:val="22"/>
        </w:rPr>
        <w:t xml:space="preserve">application of antimicrobial stewardship at </w:t>
      </w:r>
      <w:proofErr w:type="gramStart"/>
      <w:r w:rsidR="000B69F6">
        <w:rPr>
          <w:rFonts w:cs="Arial"/>
          <w:sz w:val="22"/>
          <w:szCs w:val="22"/>
        </w:rPr>
        <w:t>a</w:t>
      </w:r>
      <w:r w:rsidR="009D5518">
        <w:rPr>
          <w:rFonts w:cs="Arial"/>
          <w:sz w:val="22"/>
          <w:szCs w:val="22"/>
        </w:rPr>
        <w:t xml:space="preserve"> </w:t>
      </w:r>
      <w:r w:rsidR="000B69F6">
        <w:rPr>
          <w:rFonts w:cs="Arial"/>
          <w:sz w:val="22"/>
          <w:szCs w:val="22"/>
        </w:rPr>
        <w:t>governance</w:t>
      </w:r>
      <w:proofErr w:type="gramEnd"/>
      <w:r w:rsidR="000B69F6">
        <w:rPr>
          <w:rFonts w:cs="Arial"/>
          <w:sz w:val="22"/>
          <w:szCs w:val="22"/>
        </w:rPr>
        <w:t xml:space="preserve"> and practice level</w:t>
      </w:r>
      <w:r w:rsidR="00396102">
        <w:rPr>
          <w:rFonts w:cs="Arial"/>
          <w:sz w:val="22"/>
          <w:szCs w:val="22"/>
        </w:rPr>
        <w:t xml:space="preserve">. </w:t>
      </w:r>
      <w:r w:rsidR="001B2563">
        <w:rPr>
          <w:rFonts w:cs="Arial"/>
          <w:sz w:val="22"/>
          <w:szCs w:val="22"/>
        </w:rPr>
        <w:t xml:space="preserve"> </w:t>
      </w:r>
      <w:r w:rsidR="004C1B15">
        <w:rPr>
          <w:rFonts w:cs="Arial"/>
          <w:sz w:val="22"/>
          <w:szCs w:val="22"/>
        </w:rPr>
        <w:t>Links to resources are provided below.</w:t>
      </w:r>
    </w:p>
    <w:p w:rsidR="00A153EB" w:rsidRPr="00A153EB" w:rsidRDefault="00A153EB" w:rsidP="00A153EB">
      <w:pPr>
        <w:pStyle w:val="ListParagraph"/>
        <w:rPr>
          <w:rFonts w:cs="Arial"/>
          <w:sz w:val="22"/>
          <w:szCs w:val="22"/>
        </w:rPr>
      </w:pPr>
    </w:p>
    <w:p w:rsidR="00A7400B" w:rsidRPr="00A7400B" w:rsidRDefault="00A7400B" w:rsidP="00A7400B">
      <w:pPr>
        <w:pStyle w:val="ListParagraph"/>
        <w:numPr>
          <w:ilvl w:val="0"/>
          <w:numId w:val="3"/>
        </w:numPr>
        <w:spacing w:after="120"/>
        <w:ind w:left="360"/>
        <w:rPr>
          <w:rFonts w:cs="Arial"/>
          <w:sz w:val="22"/>
          <w:szCs w:val="22"/>
        </w:rPr>
      </w:pPr>
      <w:r w:rsidRPr="00A7400B">
        <w:rPr>
          <w:rFonts w:cs="Arial"/>
          <w:sz w:val="22"/>
          <w:szCs w:val="22"/>
        </w:rPr>
        <w:t>Kay Newman, from the Department of Health, provided an update on progress in the development of the draft standards. It is anticipated that implementation of the new standards would be from 1 July 2018, subject to approval of the standards by Government and changes to aged care legislation for the new Standards to take effect. Work on piloting the draft standards has commenced and will continue until March 2018.</w:t>
      </w:r>
    </w:p>
    <w:p w:rsidR="00F459AB" w:rsidRDefault="00F459AB" w:rsidP="00F459AB">
      <w:pPr>
        <w:pStyle w:val="ListParagraph"/>
        <w:spacing w:after="120"/>
        <w:ind w:left="360"/>
        <w:rPr>
          <w:rFonts w:cs="Arial"/>
          <w:sz w:val="22"/>
          <w:szCs w:val="22"/>
        </w:rPr>
      </w:pPr>
    </w:p>
    <w:p w:rsidR="000746D1" w:rsidRDefault="00611DA8" w:rsidP="000746D1">
      <w:pPr>
        <w:pStyle w:val="ListParagraph"/>
        <w:numPr>
          <w:ilvl w:val="0"/>
          <w:numId w:val="3"/>
        </w:numPr>
        <w:spacing w:after="120"/>
        <w:ind w:left="360"/>
        <w:rPr>
          <w:rFonts w:cs="Arial"/>
          <w:sz w:val="22"/>
          <w:szCs w:val="22"/>
        </w:rPr>
      </w:pPr>
      <w:r>
        <w:rPr>
          <w:rFonts w:cs="Arial"/>
          <w:sz w:val="22"/>
          <w:szCs w:val="22"/>
        </w:rPr>
        <w:t>At future meetings</w:t>
      </w:r>
      <w:r w:rsidR="00EF72C1">
        <w:rPr>
          <w:rFonts w:cs="Arial"/>
          <w:sz w:val="22"/>
          <w:szCs w:val="22"/>
        </w:rPr>
        <w:t>, there will be f</w:t>
      </w:r>
      <w:r w:rsidR="00622A25">
        <w:rPr>
          <w:rFonts w:cs="Arial"/>
          <w:sz w:val="22"/>
          <w:szCs w:val="22"/>
        </w:rPr>
        <w:t>urther</w:t>
      </w:r>
      <w:r w:rsidR="00F459AB">
        <w:rPr>
          <w:rFonts w:cs="Arial"/>
          <w:sz w:val="22"/>
          <w:szCs w:val="22"/>
        </w:rPr>
        <w:t xml:space="preserve"> </w:t>
      </w:r>
      <w:r w:rsidR="00EF72C1">
        <w:rPr>
          <w:rFonts w:cs="Arial"/>
          <w:sz w:val="22"/>
          <w:szCs w:val="22"/>
        </w:rPr>
        <w:t xml:space="preserve">exploration of </w:t>
      </w:r>
      <w:r w:rsidR="00622A25">
        <w:rPr>
          <w:rFonts w:cs="Arial"/>
          <w:sz w:val="22"/>
          <w:szCs w:val="22"/>
        </w:rPr>
        <w:t>the tension</w:t>
      </w:r>
      <w:r w:rsidR="00EF72C1">
        <w:rPr>
          <w:rFonts w:cs="Arial"/>
          <w:sz w:val="22"/>
          <w:szCs w:val="22"/>
        </w:rPr>
        <w:t>s</w:t>
      </w:r>
      <w:r w:rsidR="00622A25">
        <w:rPr>
          <w:rFonts w:cs="Arial"/>
          <w:sz w:val="22"/>
          <w:szCs w:val="22"/>
        </w:rPr>
        <w:t xml:space="preserve"> between consumer choice and health requirements. </w:t>
      </w:r>
    </w:p>
    <w:p w:rsidR="00D81F0D" w:rsidRPr="00F22A4A" w:rsidRDefault="00D81F0D" w:rsidP="00F22A4A">
      <w:pPr>
        <w:pStyle w:val="ListParagraph"/>
        <w:rPr>
          <w:rFonts w:cs="Arial"/>
          <w:sz w:val="22"/>
          <w:szCs w:val="22"/>
        </w:rPr>
      </w:pPr>
    </w:p>
    <w:p w:rsidR="005328D0" w:rsidRDefault="005328D0" w:rsidP="005328D0">
      <w:pPr>
        <w:pStyle w:val="ListParagraph"/>
        <w:spacing w:before="0" w:after="0" w:line="240" w:lineRule="auto"/>
        <w:ind w:left="0"/>
        <w:rPr>
          <w:sz w:val="22"/>
          <w:szCs w:val="22"/>
          <w:lang w:eastAsia="en-US"/>
        </w:rPr>
      </w:pPr>
      <w:r>
        <w:rPr>
          <w:sz w:val="22"/>
          <w:szCs w:val="22"/>
          <w:lang w:eastAsia="en-US"/>
        </w:rPr>
        <w:lastRenderedPageBreak/>
        <w:t xml:space="preserve">Contact: Mary Goddard, </w:t>
      </w:r>
    </w:p>
    <w:p w:rsidR="005328D0" w:rsidRDefault="005328D0" w:rsidP="005328D0">
      <w:pPr>
        <w:pStyle w:val="ListParagraph"/>
        <w:spacing w:before="0" w:after="0" w:line="240" w:lineRule="auto"/>
        <w:ind w:left="0"/>
        <w:rPr>
          <w:sz w:val="22"/>
          <w:szCs w:val="22"/>
          <w:lang w:eastAsia="en-US"/>
        </w:rPr>
      </w:pPr>
      <w:r>
        <w:rPr>
          <w:sz w:val="22"/>
          <w:szCs w:val="22"/>
          <w:lang w:eastAsia="en-US"/>
        </w:rPr>
        <w:t xml:space="preserve">Assistant Director Regulatory Performance, Australian Aged Care Quality Agency </w:t>
      </w:r>
    </w:p>
    <w:p w:rsidR="000730CE" w:rsidRDefault="00A35BBE" w:rsidP="00EF72C1">
      <w:pPr>
        <w:pStyle w:val="ListParagraph"/>
        <w:spacing w:before="0" w:after="0" w:line="240" w:lineRule="auto"/>
        <w:ind w:left="0"/>
        <w:rPr>
          <w:sz w:val="22"/>
          <w:szCs w:val="22"/>
          <w:lang w:eastAsia="en-US"/>
        </w:rPr>
      </w:pPr>
      <w:hyperlink r:id="rId9" w:history="1">
        <w:r w:rsidR="005328D0">
          <w:rPr>
            <w:rStyle w:val="Hyperlink"/>
            <w:sz w:val="22"/>
            <w:szCs w:val="22"/>
            <w:lang w:eastAsia="en-US"/>
          </w:rPr>
          <w:t>mary.goddard@aacqa.gov.au</w:t>
        </w:r>
      </w:hyperlink>
      <w:r w:rsidR="005328D0">
        <w:rPr>
          <w:sz w:val="22"/>
          <w:szCs w:val="22"/>
          <w:lang w:eastAsia="en-US"/>
        </w:rPr>
        <w:t xml:space="preserve"> </w:t>
      </w:r>
    </w:p>
    <w:tbl>
      <w:tblPr>
        <w:tblpPr w:leftFromText="180" w:rightFromText="180" w:vertAnchor="text" w:horzAnchor="margin" w:tblpY="-503"/>
        <w:tblW w:w="0" w:type="auto"/>
        <w:tblCellMar>
          <w:left w:w="0" w:type="dxa"/>
          <w:right w:w="0" w:type="dxa"/>
        </w:tblCellMar>
        <w:tblLook w:val="04A0" w:firstRow="1" w:lastRow="0" w:firstColumn="1" w:lastColumn="0" w:noHBand="0" w:noVBand="1"/>
      </w:tblPr>
      <w:tblGrid>
        <w:gridCol w:w="1383"/>
        <w:gridCol w:w="1491"/>
        <w:gridCol w:w="6368"/>
      </w:tblGrid>
      <w:tr w:rsidR="004F29C4" w:rsidRPr="00F95185" w:rsidTr="00212EC2">
        <w:tc>
          <w:tcPr>
            <w:tcW w:w="9242" w:type="dxa"/>
            <w:gridSpan w:val="3"/>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4F29C4" w:rsidRPr="00F95185" w:rsidRDefault="004F29C4" w:rsidP="00212EC2">
            <w:pPr>
              <w:spacing w:after="0"/>
              <w:rPr>
                <w:rFonts w:ascii="Calibri" w:eastAsiaTheme="minorHAnsi" w:hAnsi="Calibri"/>
                <w:sz w:val="22"/>
                <w:szCs w:val="22"/>
              </w:rPr>
            </w:pPr>
            <w:r w:rsidRPr="00F95185">
              <w:rPr>
                <w:rFonts w:ascii="Calibri" w:eastAsiaTheme="minorHAnsi" w:hAnsi="Calibri"/>
                <w:sz w:val="22"/>
                <w:szCs w:val="22"/>
              </w:rPr>
              <w:lastRenderedPageBreak/>
              <w:t>Antimicrobial stewardship</w:t>
            </w:r>
          </w:p>
        </w:tc>
      </w:tr>
      <w:tr w:rsidR="004F29C4" w:rsidRPr="00F95185" w:rsidTr="00212EC2">
        <w:tc>
          <w:tcPr>
            <w:tcW w:w="1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9C4" w:rsidRDefault="004F29C4" w:rsidP="00212EC2">
            <w:pPr>
              <w:spacing w:after="0"/>
              <w:rPr>
                <w:rFonts w:ascii="Calibri" w:eastAsiaTheme="minorHAnsi" w:hAnsi="Calibri"/>
                <w:sz w:val="22"/>
                <w:szCs w:val="22"/>
              </w:rPr>
            </w:pPr>
            <w:r w:rsidRPr="00F95185">
              <w:rPr>
                <w:rFonts w:ascii="Calibri" w:eastAsiaTheme="minorHAnsi" w:hAnsi="Calibri"/>
                <w:sz w:val="22"/>
                <w:szCs w:val="22"/>
              </w:rPr>
              <w:t>Australian Commission on Safety and Quality in Healthcare</w:t>
            </w:r>
          </w:p>
        </w:tc>
        <w:tc>
          <w:tcPr>
            <w:tcW w:w="1491" w:type="dxa"/>
            <w:tcBorders>
              <w:top w:val="nil"/>
              <w:left w:val="nil"/>
              <w:bottom w:val="single" w:sz="8" w:space="0" w:color="auto"/>
              <w:right w:val="single" w:sz="8" w:space="0" w:color="auto"/>
            </w:tcBorders>
            <w:tcMar>
              <w:top w:w="0" w:type="dxa"/>
              <w:left w:w="108" w:type="dxa"/>
              <w:bottom w:w="0" w:type="dxa"/>
              <w:right w:w="108" w:type="dxa"/>
            </w:tcMar>
            <w:hideMark/>
          </w:tcPr>
          <w:p w:rsidR="004F29C4" w:rsidRDefault="004F29C4" w:rsidP="00212EC2">
            <w:pPr>
              <w:spacing w:after="0"/>
              <w:rPr>
                <w:rFonts w:ascii="Calibri" w:eastAsiaTheme="minorHAnsi" w:hAnsi="Calibri"/>
                <w:sz w:val="22"/>
                <w:szCs w:val="22"/>
              </w:rPr>
            </w:pPr>
            <w:r w:rsidRPr="00F95185">
              <w:rPr>
                <w:rFonts w:ascii="Calibri" w:eastAsiaTheme="minorHAnsi" w:hAnsi="Calibri"/>
                <w:sz w:val="22"/>
                <w:szCs w:val="22"/>
              </w:rPr>
              <w:t>Antimicrobial stewardship in hospitals</w:t>
            </w:r>
          </w:p>
        </w:tc>
        <w:tc>
          <w:tcPr>
            <w:tcW w:w="6368" w:type="dxa"/>
            <w:tcBorders>
              <w:top w:val="nil"/>
              <w:left w:val="nil"/>
              <w:bottom w:val="single" w:sz="8" w:space="0" w:color="auto"/>
              <w:right w:val="single" w:sz="8" w:space="0" w:color="auto"/>
            </w:tcBorders>
            <w:tcMar>
              <w:top w:w="0" w:type="dxa"/>
              <w:left w:w="108" w:type="dxa"/>
              <w:bottom w:w="0" w:type="dxa"/>
              <w:right w:w="108" w:type="dxa"/>
            </w:tcMar>
            <w:hideMark/>
          </w:tcPr>
          <w:p w:rsidR="004F29C4" w:rsidRDefault="00A35BBE" w:rsidP="00212EC2">
            <w:pPr>
              <w:spacing w:after="0"/>
              <w:rPr>
                <w:rFonts w:ascii="Calibri" w:eastAsiaTheme="minorHAnsi" w:hAnsi="Calibri"/>
                <w:sz w:val="22"/>
                <w:szCs w:val="22"/>
              </w:rPr>
            </w:pPr>
            <w:hyperlink r:id="rId10" w:history="1">
              <w:r w:rsidR="004F29C4" w:rsidRPr="00F95185">
                <w:rPr>
                  <w:rFonts w:ascii="Calibri" w:eastAsiaTheme="minorHAnsi" w:hAnsi="Calibri"/>
                  <w:sz w:val="22"/>
                  <w:szCs w:val="22"/>
                </w:rPr>
                <w:t>https://safetyandquality.gov.au/wp-content/uploads/2011/01/Antimicrobial-stewardship-in-Australian-Hospitals-2011.pdf</w:t>
              </w:r>
            </w:hyperlink>
          </w:p>
        </w:tc>
      </w:tr>
      <w:tr w:rsidR="004F29C4" w:rsidRPr="00F95185" w:rsidTr="00212EC2">
        <w:tc>
          <w:tcPr>
            <w:tcW w:w="1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9C4" w:rsidRDefault="004F29C4" w:rsidP="00212EC2">
            <w:pPr>
              <w:spacing w:after="0"/>
              <w:rPr>
                <w:rFonts w:ascii="Calibri" w:eastAsiaTheme="minorHAnsi" w:hAnsi="Calibri"/>
                <w:sz w:val="22"/>
                <w:szCs w:val="22"/>
              </w:rPr>
            </w:pPr>
            <w:r w:rsidRPr="00F95185">
              <w:rPr>
                <w:rFonts w:ascii="Calibri" w:eastAsiaTheme="minorHAnsi" w:hAnsi="Calibri"/>
                <w:sz w:val="22"/>
                <w:szCs w:val="22"/>
              </w:rPr>
              <w:t>Australian Commission on Safety and Quality in Healthcare</w:t>
            </w:r>
          </w:p>
        </w:tc>
        <w:tc>
          <w:tcPr>
            <w:tcW w:w="1491" w:type="dxa"/>
            <w:tcBorders>
              <w:top w:val="nil"/>
              <w:left w:val="nil"/>
              <w:bottom w:val="single" w:sz="8" w:space="0" w:color="auto"/>
              <w:right w:val="single" w:sz="8" w:space="0" w:color="auto"/>
            </w:tcBorders>
            <w:tcMar>
              <w:top w:w="0" w:type="dxa"/>
              <w:left w:w="108" w:type="dxa"/>
              <w:bottom w:w="0" w:type="dxa"/>
              <w:right w:w="108" w:type="dxa"/>
            </w:tcMar>
            <w:hideMark/>
          </w:tcPr>
          <w:p w:rsidR="004F29C4" w:rsidRDefault="004F29C4" w:rsidP="00212EC2">
            <w:pPr>
              <w:spacing w:after="0"/>
              <w:rPr>
                <w:rFonts w:ascii="Calibri" w:eastAsiaTheme="minorHAnsi" w:hAnsi="Calibri"/>
                <w:sz w:val="22"/>
                <w:szCs w:val="22"/>
              </w:rPr>
            </w:pPr>
            <w:r w:rsidRPr="00F95185">
              <w:rPr>
                <w:rFonts w:ascii="Calibri" w:eastAsiaTheme="minorHAnsi" w:hAnsi="Calibri"/>
                <w:sz w:val="22"/>
                <w:szCs w:val="22"/>
              </w:rPr>
              <w:t>Antimicrobial prescribing and infections in Australian residential aged care facilities</w:t>
            </w: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4F29C4" w:rsidRDefault="00A35BBE" w:rsidP="00212EC2">
            <w:pPr>
              <w:spacing w:after="0"/>
              <w:rPr>
                <w:rFonts w:ascii="Calibri" w:eastAsiaTheme="minorHAnsi" w:hAnsi="Calibri"/>
                <w:sz w:val="22"/>
                <w:szCs w:val="22"/>
              </w:rPr>
            </w:pPr>
            <w:hyperlink r:id="rId11" w:history="1">
              <w:r w:rsidR="004F29C4" w:rsidRPr="00F95185">
                <w:rPr>
                  <w:rFonts w:ascii="Calibri" w:eastAsiaTheme="minorHAnsi" w:hAnsi="Calibri"/>
                  <w:sz w:val="22"/>
                  <w:szCs w:val="22"/>
                </w:rPr>
                <w:t>https://www.safetyandquality.gov.au/wp-content/uploads/2016/06/Antimicrobial-prescribing-and-infections-in-Australian-residential-aged-care-facilities.pdf</w:t>
              </w:r>
            </w:hyperlink>
          </w:p>
          <w:p w:rsidR="004F29C4" w:rsidRDefault="004F29C4" w:rsidP="00212EC2">
            <w:pPr>
              <w:spacing w:after="0"/>
              <w:rPr>
                <w:rFonts w:ascii="Calibri" w:eastAsiaTheme="minorHAnsi" w:hAnsi="Calibri"/>
                <w:sz w:val="22"/>
                <w:szCs w:val="22"/>
              </w:rPr>
            </w:pPr>
          </w:p>
        </w:tc>
      </w:tr>
      <w:tr w:rsidR="004F29C4" w:rsidRPr="00F95185" w:rsidTr="00212EC2">
        <w:tc>
          <w:tcPr>
            <w:tcW w:w="1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9C4" w:rsidRDefault="004F29C4" w:rsidP="00212EC2">
            <w:pPr>
              <w:spacing w:after="0"/>
              <w:rPr>
                <w:rFonts w:ascii="Calibri" w:eastAsiaTheme="minorHAnsi" w:hAnsi="Calibri"/>
                <w:sz w:val="22"/>
                <w:szCs w:val="22"/>
              </w:rPr>
            </w:pPr>
            <w:r w:rsidRPr="00F95185">
              <w:rPr>
                <w:rFonts w:ascii="Calibri" w:eastAsiaTheme="minorHAnsi" w:hAnsi="Calibri"/>
                <w:sz w:val="22"/>
                <w:szCs w:val="22"/>
              </w:rPr>
              <w:t>Australian Commission on Safety and Quality in Healthcare, 2011</w:t>
            </w:r>
          </w:p>
        </w:tc>
        <w:tc>
          <w:tcPr>
            <w:tcW w:w="1491" w:type="dxa"/>
            <w:tcBorders>
              <w:top w:val="nil"/>
              <w:left w:val="nil"/>
              <w:bottom w:val="single" w:sz="8" w:space="0" w:color="auto"/>
              <w:right w:val="single" w:sz="8" w:space="0" w:color="auto"/>
            </w:tcBorders>
            <w:tcMar>
              <w:top w:w="0" w:type="dxa"/>
              <w:left w:w="108" w:type="dxa"/>
              <w:bottom w:w="0" w:type="dxa"/>
              <w:right w:w="108" w:type="dxa"/>
            </w:tcMar>
            <w:hideMark/>
          </w:tcPr>
          <w:p w:rsidR="004F29C4" w:rsidRDefault="004F29C4" w:rsidP="00212EC2">
            <w:pPr>
              <w:spacing w:after="0"/>
              <w:rPr>
                <w:rFonts w:ascii="Calibri" w:eastAsiaTheme="minorHAnsi" w:hAnsi="Calibri"/>
                <w:sz w:val="22"/>
                <w:szCs w:val="22"/>
              </w:rPr>
            </w:pPr>
            <w:r w:rsidRPr="00F95185">
              <w:rPr>
                <w:rFonts w:ascii="Calibri" w:eastAsiaTheme="minorHAnsi" w:hAnsi="Calibri"/>
                <w:sz w:val="22"/>
                <w:szCs w:val="22"/>
              </w:rPr>
              <w:t>Antimicrobial Stewardship in Australian Hospitals</w:t>
            </w: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4F29C4" w:rsidRDefault="00A35BBE" w:rsidP="00212EC2">
            <w:pPr>
              <w:spacing w:after="0"/>
              <w:rPr>
                <w:rFonts w:ascii="Calibri" w:eastAsiaTheme="minorHAnsi" w:hAnsi="Calibri"/>
                <w:sz w:val="22"/>
                <w:szCs w:val="22"/>
              </w:rPr>
            </w:pPr>
            <w:hyperlink r:id="rId12" w:history="1">
              <w:r w:rsidR="004F29C4" w:rsidRPr="00F95185">
                <w:rPr>
                  <w:rFonts w:ascii="Calibri" w:eastAsiaTheme="minorHAnsi" w:hAnsi="Calibri"/>
                  <w:sz w:val="22"/>
                  <w:szCs w:val="22"/>
                </w:rPr>
                <w:t>https://www.safetyandquality.gov.au/our-work/healthcare-associated-infection/antimicrobial-stewardship/book/</w:t>
              </w:r>
            </w:hyperlink>
          </w:p>
          <w:p w:rsidR="004F29C4" w:rsidRDefault="004F29C4" w:rsidP="00212EC2">
            <w:pPr>
              <w:spacing w:after="0"/>
              <w:rPr>
                <w:rFonts w:ascii="Calibri" w:eastAsiaTheme="minorHAnsi" w:hAnsi="Calibri"/>
                <w:sz w:val="22"/>
                <w:szCs w:val="22"/>
              </w:rPr>
            </w:pPr>
          </w:p>
        </w:tc>
      </w:tr>
      <w:tr w:rsidR="004F29C4" w:rsidRPr="00F95185" w:rsidTr="00212EC2">
        <w:tc>
          <w:tcPr>
            <w:tcW w:w="1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9C4" w:rsidRDefault="004F29C4" w:rsidP="00212EC2">
            <w:pPr>
              <w:spacing w:after="0"/>
              <w:rPr>
                <w:rFonts w:ascii="Calibri" w:eastAsiaTheme="minorHAnsi" w:hAnsi="Calibri"/>
                <w:sz w:val="22"/>
                <w:szCs w:val="22"/>
              </w:rPr>
            </w:pPr>
            <w:r w:rsidRPr="00F95185">
              <w:rPr>
                <w:rFonts w:ascii="Calibri" w:eastAsiaTheme="minorHAnsi" w:hAnsi="Calibri"/>
                <w:sz w:val="22"/>
                <w:szCs w:val="22"/>
              </w:rPr>
              <w:t>Australian Government</w:t>
            </w:r>
          </w:p>
        </w:tc>
        <w:tc>
          <w:tcPr>
            <w:tcW w:w="1491" w:type="dxa"/>
            <w:tcBorders>
              <w:top w:val="nil"/>
              <w:left w:val="nil"/>
              <w:bottom w:val="single" w:sz="8" w:space="0" w:color="auto"/>
              <w:right w:val="single" w:sz="8" w:space="0" w:color="auto"/>
            </w:tcBorders>
            <w:tcMar>
              <w:top w:w="0" w:type="dxa"/>
              <w:left w:w="108" w:type="dxa"/>
              <w:bottom w:w="0" w:type="dxa"/>
              <w:right w:w="108" w:type="dxa"/>
            </w:tcMar>
            <w:hideMark/>
          </w:tcPr>
          <w:p w:rsidR="004F29C4" w:rsidRDefault="004F29C4" w:rsidP="00212EC2">
            <w:pPr>
              <w:spacing w:after="0"/>
              <w:rPr>
                <w:rFonts w:ascii="Calibri" w:eastAsiaTheme="minorHAnsi" w:hAnsi="Calibri"/>
                <w:sz w:val="22"/>
                <w:szCs w:val="22"/>
              </w:rPr>
            </w:pPr>
            <w:r w:rsidRPr="00F95185">
              <w:rPr>
                <w:rFonts w:ascii="Calibri" w:eastAsiaTheme="minorHAnsi" w:hAnsi="Calibri"/>
                <w:sz w:val="22"/>
                <w:szCs w:val="22"/>
              </w:rPr>
              <w:t>Antimicrobial Resistance</w:t>
            </w:r>
          </w:p>
        </w:tc>
        <w:tc>
          <w:tcPr>
            <w:tcW w:w="6368" w:type="dxa"/>
            <w:tcBorders>
              <w:top w:val="nil"/>
              <w:left w:val="nil"/>
              <w:bottom w:val="single" w:sz="8" w:space="0" w:color="auto"/>
              <w:right w:val="single" w:sz="8" w:space="0" w:color="auto"/>
            </w:tcBorders>
            <w:tcMar>
              <w:top w:w="0" w:type="dxa"/>
              <w:left w:w="108" w:type="dxa"/>
              <w:bottom w:w="0" w:type="dxa"/>
              <w:right w:w="108" w:type="dxa"/>
            </w:tcMar>
            <w:hideMark/>
          </w:tcPr>
          <w:p w:rsidR="004F29C4" w:rsidRDefault="00A35BBE" w:rsidP="00212EC2">
            <w:pPr>
              <w:spacing w:after="0"/>
              <w:rPr>
                <w:rFonts w:ascii="Calibri" w:eastAsiaTheme="minorHAnsi" w:hAnsi="Calibri"/>
                <w:sz w:val="22"/>
                <w:szCs w:val="22"/>
              </w:rPr>
            </w:pPr>
            <w:hyperlink r:id="rId13" w:history="1">
              <w:r w:rsidR="004F29C4" w:rsidRPr="00F95185">
                <w:rPr>
                  <w:rFonts w:ascii="Calibri" w:eastAsiaTheme="minorHAnsi" w:hAnsi="Calibri"/>
                  <w:sz w:val="22"/>
                  <w:szCs w:val="22"/>
                </w:rPr>
                <w:t>https://www.amr.gov.au/</w:t>
              </w:r>
            </w:hyperlink>
          </w:p>
        </w:tc>
      </w:tr>
      <w:tr w:rsidR="004F29C4" w:rsidRPr="00F95185" w:rsidTr="00212EC2">
        <w:tc>
          <w:tcPr>
            <w:tcW w:w="1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9C4" w:rsidRDefault="004F29C4" w:rsidP="00212EC2">
            <w:pPr>
              <w:spacing w:after="0"/>
              <w:rPr>
                <w:rFonts w:ascii="Calibri" w:eastAsiaTheme="minorHAnsi" w:hAnsi="Calibri"/>
                <w:sz w:val="22"/>
                <w:szCs w:val="22"/>
              </w:rPr>
            </w:pPr>
            <w:r w:rsidRPr="00F95185">
              <w:rPr>
                <w:rFonts w:ascii="Calibri" w:eastAsiaTheme="minorHAnsi" w:hAnsi="Calibri"/>
                <w:sz w:val="22"/>
                <w:szCs w:val="22"/>
              </w:rPr>
              <w:t>Cochrane Australia</w:t>
            </w:r>
          </w:p>
        </w:tc>
        <w:tc>
          <w:tcPr>
            <w:tcW w:w="1491" w:type="dxa"/>
            <w:tcBorders>
              <w:top w:val="nil"/>
              <w:left w:val="nil"/>
              <w:bottom w:val="single" w:sz="8" w:space="0" w:color="auto"/>
              <w:right w:val="single" w:sz="8" w:space="0" w:color="auto"/>
            </w:tcBorders>
            <w:tcMar>
              <w:top w:w="0" w:type="dxa"/>
              <w:left w:w="108" w:type="dxa"/>
              <w:bottom w:w="0" w:type="dxa"/>
              <w:right w:w="108" w:type="dxa"/>
            </w:tcMar>
            <w:hideMark/>
          </w:tcPr>
          <w:p w:rsidR="004F29C4" w:rsidRDefault="004F29C4" w:rsidP="00212EC2">
            <w:pPr>
              <w:spacing w:after="0"/>
              <w:rPr>
                <w:rFonts w:ascii="Calibri" w:eastAsiaTheme="minorHAnsi" w:hAnsi="Calibri"/>
                <w:sz w:val="22"/>
                <w:szCs w:val="22"/>
              </w:rPr>
            </w:pPr>
            <w:r w:rsidRPr="00F95185">
              <w:rPr>
                <w:rFonts w:ascii="Calibri" w:eastAsiaTheme="minorHAnsi" w:hAnsi="Calibri"/>
                <w:sz w:val="22"/>
                <w:szCs w:val="22"/>
              </w:rPr>
              <w:t xml:space="preserve">A very </w:t>
            </w:r>
            <w:proofErr w:type="spellStart"/>
            <w:r w:rsidRPr="00F95185">
              <w:rPr>
                <w:rFonts w:ascii="Calibri" w:eastAsiaTheme="minorHAnsi" w:hAnsi="Calibri"/>
                <w:sz w:val="22"/>
                <w:szCs w:val="22"/>
              </w:rPr>
              <w:t>handi</w:t>
            </w:r>
            <w:proofErr w:type="spellEnd"/>
            <w:r w:rsidRPr="00F95185">
              <w:rPr>
                <w:rFonts w:ascii="Calibri" w:eastAsiaTheme="minorHAnsi" w:hAnsi="Calibri"/>
                <w:sz w:val="22"/>
                <w:szCs w:val="22"/>
              </w:rPr>
              <w:t xml:space="preserve"> practice guide (non-drug interventions for infections)</w:t>
            </w: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4F29C4" w:rsidRDefault="00A35BBE" w:rsidP="00212EC2">
            <w:pPr>
              <w:spacing w:after="0"/>
              <w:rPr>
                <w:rFonts w:ascii="Calibri" w:eastAsiaTheme="minorHAnsi" w:hAnsi="Calibri"/>
                <w:sz w:val="22"/>
                <w:szCs w:val="22"/>
              </w:rPr>
            </w:pPr>
            <w:hyperlink r:id="rId14" w:history="1">
              <w:r w:rsidR="004F29C4" w:rsidRPr="00F95185">
                <w:rPr>
                  <w:rFonts w:ascii="Calibri" w:eastAsiaTheme="minorHAnsi" w:hAnsi="Calibri"/>
                  <w:sz w:val="22"/>
                  <w:szCs w:val="22"/>
                </w:rPr>
                <w:t>http://australia.cochrane.org/news/very-handi-resource-putting-evidence-practice</w:t>
              </w:r>
            </w:hyperlink>
          </w:p>
          <w:p w:rsidR="004F29C4" w:rsidRPr="00F95185" w:rsidRDefault="004F29C4" w:rsidP="00212EC2">
            <w:pPr>
              <w:spacing w:after="0"/>
              <w:rPr>
                <w:rFonts w:ascii="Calibri" w:eastAsiaTheme="minorHAnsi" w:hAnsi="Calibri"/>
                <w:sz w:val="22"/>
                <w:szCs w:val="22"/>
              </w:rPr>
            </w:pPr>
          </w:p>
          <w:p w:rsidR="004F29C4" w:rsidRPr="00F95185" w:rsidRDefault="004F29C4" w:rsidP="00212EC2">
            <w:pPr>
              <w:spacing w:after="0"/>
              <w:rPr>
                <w:rFonts w:ascii="Calibri" w:eastAsiaTheme="minorHAnsi" w:hAnsi="Calibri"/>
                <w:sz w:val="22"/>
                <w:szCs w:val="22"/>
              </w:rPr>
            </w:pPr>
            <w:r w:rsidRPr="00F95185">
              <w:rPr>
                <w:rFonts w:ascii="Calibri" w:eastAsiaTheme="minorHAnsi" w:hAnsi="Calibri"/>
                <w:sz w:val="22"/>
                <w:szCs w:val="22"/>
              </w:rPr>
              <w:t>Source: Cherie Hugo</w:t>
            </w:r>
          </w:p>
        </w:tc>
      </w:tr>
      <w:tr w:rsidR="004F29C4" w:rsidRPr="00F95185" w:rsidTr="00212EC2">
        <w:tc>
          <w:tcPr>
            <w:tcW w:w="1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9C4" w:rsidRDefault="004F29C4" w:rsidP="00212EC2">
            <w:pPr>
              <w:spacing w:after="0"/>
              <w:rPr>
                <w:rFonts w:ascii="Calibri" w:eastAsiaTheme="minorHAnsi" w:hAnsi="Calibri"/>
                <w:sz w:val="22"/>
                <w:szCs w:val="22"/>
              </w:rPr>
            </w:pPr>
            <w:r w:rsidRPr="00F95185">
              <w:rPr>
                <w:rFonts w:ascii="Calibri" w:eastAsiaTheme="minorHAnsi" w:hAnsi="Calibri"/>
                <w:sz w:val="22"/>
                <w:szCs w:val="22"/>
              </w:rPr>
              <w:t>Department of Health</w:t>
            </w:r>
          </w:p>
        </w:tc>
        <w:tc>
          <w:tcPr>
            <w:tcW w:w="1491" w:type="dxa"/>
            <w:tcBorders>
              <w:top w:val="nil"/>
              <w:left w:val="nil"/>
              <w:bottom w:val="single" w:sz="8" w:space="0" w:color="auto"/>
              <w:right w:val="single" w:sz="8" w:space="0" w:color="auto"/>
            </w:tcBorders>
            <w:tcMar>
              <w:top w:w="0" w:type="dxa"/>
              <w:left w:w="108" w:type="dxa"/>
              <w:bottom w:w="0" w:type="dxa"/>
              <w:right w:w="108" w:type="dxa"/>
            </w:tcMar>
          </w:tcPr>
          <w:p w:rsidR="004F29C4" w:rsidRDefault="004F29C4" w:rsidP="00212EC2">
            <w:pPr>
              <w:spacing w:after="0"/>
              <w:rPr>
                <w:rFonts w:ascii="Calibri" w:eastAsiaTheme="minorHAnsi" w:hAnsi="Calibri"/>
                <w:sz w:val="22"/>
                <w:szCs w:val="22"/>
              </w:rPr>
            </w:pPr>
            <w:r w:rsidRPr="00F95185">
              <w:rPr>
                <w:rFonts w:ascii="Calibri" w:eastAsiaTheme="minorHAnsi" w:hAnsi="Calibri"/>
                <w:sz w:val="22"/>
                <w:szCs w:val="22"/>
              </w:rPr>
              <w:t>Antimicrobial resistance (AMR) National Strategy</w:t>
            </w:r>
          </w:p>
          <w:p w:rsidR="004F29C4" w:rsidRDefault="004F29C4" w:rsidP="00212EC2">
            <w:pPr>
              <w:spacing w:after="0"/>
              <w:rPr>
                <w:rFonts w:ascii="Calibri" w:eastAsiaTheme="minorHAnsi" w:hAnsi="Calibri"/>
                <w:sz w:val="22"/>
                <w:szCs w:val="22"/>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4F29C4" w:rsidRDefault="00A35BBE" w:rsidP="00212EC2">
            <w:pPr>
              <w:spacing w:after="0"/>
              <w:rPr>
                <w:rFonts w:ascii="Calibri" w:eastAsiaTheme="minorHAnsi" w:hAnsi="Calibri"/>
                <w:sz w:val="22"/>
                <w:szCs w:val="22"/>
              </w:rPr>
            </w:pPr>
            <w:hyperlink r:id="rId15" w:history="1">
              <w:r w:rsidR="004F29C4" w:rsidRPr="00F95185">
                <w:rPr>
                  <w:rFonts w:ascii="Calibri" w:eastAsiaTheme="minorHAnsi" w:hAnsi="Calibri"/>
                  <w:sz w:val="22"/>
                  <w:szCs w:val="22"/>
                </w:rPr>
                <w:t>http://www.health.gov.au/internet/main/publishing.nsf/Content/ohp-amr.htm</w:t>
              </w:r>
            </w:hyperlink>
          </w:p>
          <w:p w:rsidR="004F29C4" w:rsidRDefault="004F29C4" w:rsidP="00212EC2">
            <w:pPr>
              <w:spacing w:after="0"/>
              <w:rPr>
                <w:rFonts w:ascii="Calibri" w:eastAsiaTheme="minorHAnsi" w:hAnsi="Calibri"/>
                <w:sz w:val="22"/>
                <w:szCs w:val="22"/>
              </w:rPr>
            </w:pPr>
          </w:p>
        </w:tc>
      </w:tr>
      <w:tr w:rsidR="004F29C4" w:rsidRPr="00F95185" w:rsidTr="00212EC2">
        <w:tc>
          <w:tcPr>
            <w:tcW w:w="1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9C4" w:rsidRDefault="004F29C4" w:rsidP="00212EC2">
            <w:pPr>
              <w:spacing w:after="0"/>
              <w:rPr>
                <w:rFonts w:ascii="Calibri" w:eastAsiaTheme="minorHAnsi" w:hAnsi="Calibri"/>
                <w:sz w:val="22"/>
                <w:szCs w:val="22"/>
              </w:rPr>
            </w:pPr>
            <w:r w:rsidRPr="00F95185">
              <w:rPr>
                <w:rFonts w:ascii="Calibri" w:eastAsiaTheme="minorHAnsi" w:hAnsi="Calibri"/>
                <w:sz w:val="22"/>
                <w:szCs w:val="22"/>
              </w:rPr>
              <w:t>Department of Health and Human Services, Victoria</w:t>
            </w:r>
          </w:p>
        </w:tc>
        <w:tc>
          <w:tcPr>
            <w:tcW w:w="1491" w:type="dxa"/>
            <w:tcBorders>
              <w:top w:val="nil"/>
              <w:left w:val="nil"/>
              <w:bottom w:val="single" w:sz="8" w:space="0" w:color="auto"/>
              <w:right w:val="single" w:sz="8" w:space="0" w:color="auto"/>
            </w:tcBorders>
            <w:tcMar>
              <w:top w:w="0" w:type="dxa"/>
              <w:left w:w="108" w:type="dxa"/>
              <w:bottom w:w="0" w:type="dxa"/>
              <w:right w:w="108" w:type="dxa"/>
            </w:tcMar>
            <w:hideMark/>
          </w:tcPr>
          <w:p w:rsidR="004F29C4" w:rsidRDefault="004F29C4" w:rsidP="00212EC2">
            <w:pPr>
              <w:spacing w:after="0"/>
              <w:rPr>
                <w:rFonts w:ascii="Calibri" w:eastAsiaTheme="minorHAnsi" w:hAnsi="Calibri"/>
                <w:sz w:val="22"/>
                <w:szCs w:val="22"/>
              </w:rPr>
            </w:pPr>
            <w:r w:rsidRPr="00F95185">
              <w:rPr>
                <w:rFonts w:ascii="Calibri" w:eastAsiaTheme="minorHAnsi" w:hAnsi="Calibri"/>
                <w:sz w:val="22"/>
                <w:szCs w:val="22"/>
              </w:rPr>
              <w:t>Infection prevention through antimicrobial stewardship.</w:t>
            </w: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4F29C4" w:rsidRDefault="00A35BBE" w:rsidP="00212EC2">
            <w:pPr>
              <w:spacing w:after="0"/>
              <w:rPr>
                <w:rFonts w:ascii="Calibri" w:eastAsiaTheme="minorHAnsi" w:hAnsi="Calibri"/>
                <w:sz w:val="22"/>
                <w:szCs w:val="22"/>
              </w:rPr>
            </w:pPr>
            <w:hyperlink r:id="rId16" w:history="1">
              <w:r w:rsidR="004F29C4" w:rsidRPr="00F95185">
                <w:rPr>
                  <w:rFonts w:ascii="Calibri" w:eastAsiaTheme="minorHAnsi" w:hAnsi="Calibri"/>
                  <w:sz w:val="22"/>
                  <w:szCs w:val="22"/>
                </w:rPr>
                <w:t>https://www2.health.vic.gov.au/hospitals-and-health-services/quality-safety-service/infection-prevention/antimicrobial-stewardship-infect</w:t>
              </w:r>
            </w:hyperlink>
            <w:r w:rsidR="004F29C4" w:rsidRPr="00F95185">
              <w:rPr>
                <w:rFonts w:ascii="Calibri" w:eastAsiaTheme="minorHAnsi" w:hAnsi="Calibri"/>
                <w:sz w:val="22"/>
                <w:szCs w:val="22"/>
              </w:rPr>
              <w:t xml:space="preserve"> </w:t>
            </w:r>
          </w:p>
          <w:p w:rsidR="004F29C4" w:rsidRPr="00F95185" w:rsidRDefault="004F29C4" w:rsidP="00212EC2">
            <w:pPr>
              <w:spacing w:after="0"/>
              <w:rPr>
                <w:rFonts w:ascii="Calibri" w:eastAsiaTheme="minorHAnsi" w:hAnsi="Calibri"/>
                <w:sz w:val="22"/>
                <w:szCs w:val="22"/>
              </w:rPr>
            </w:pPr>
          </w:p>
          <w:p w:rsidR="004F29C4" w:rsidRPr="00F95185" w:rsidRDefault="004F29C4" w:rsidP="00212EC2">
            <w:pPr>
              <w:spacing w:after="0"/>
              <w:rPr>
                <w:rFonts w:ascii="Calibri" w:eastAsiaTheme="minorHAnsi" w:hAnsi="Calibri"/>
                <w:sz w:val="22"/>
                <w:szCs w:val="22"/>
              </w:rPr>
            </w:pPr>
          </w:p>
        </w:tc>
      </w:tr>
      <w:tr w:rsidR="004F29C4" w:rsidRPr="00F95185" w:rsidTr="00212EC2">
        <w:tc>
          <w:tcPr>
            <w:tcW w:w="1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9C4" w:rsidRDefault="004F29C4" w:rsidP="00212EC2">
            <w:pPr>
              <w:spacing w:after="0"/>
              <w:rPr>
                <w:rFonts w:ascii="Calibri" w:eastAsiaTheme="minorHAnsi" w:hAnsi="Calibri"/>
                <w:sz w:val="22"/>
                <w:szCs w:val="22"/>
              </w:rPr>
            </w:pPr>
            <w:r w:rsidRPr="00F95185">
              <w:rPr>
                <w:rFonts w:ascii="Calibri" w:eastAsiaTheme="minorHAnsi" w:hAnsi="Calibri"/>
                <w:sz w:val="22"/>
                <w:szCs w:val="22"/>
              </w:rPr>
              <w:t>Literature review: Lim et al 2015, Focus, Royal Australian C</w:t>
            </w:r>
            <w:r>
              <w:rPr>
                <w:rFonts w:ascii="Calibri" w:eastAsiaTheme="minorHAnsi" w:hAnsi="Calibri"/>
                <w:sz w:val="22"/>
                <w:szCs w:val="22"/>
              </w:rPr>
              <w:t>ollege of General Practitioners</w:t>
            </w:r>
          </w:p>
        </w:tc>
        <w:tc>
          <w:tcPr>
            <w:tcW w:w="1491" w:type="dxa"/>
            <w:tcBorders>
              <w:top w:val="nil"/>
              <w:left w:val="nil"/>
              <w:bottom w:val="single" w:sz="8" w:space="0" w:color="auto"/>
              <w:right w:val="single" w:sz="8" w:space="0" w:color="auto"/>
            </w:tcBorders>
            <w:tcMar>
              <w:top w:w="0" w:type="dxa"/>
              <w:left w:w="108" w:type="dxa"/>
              <w:bottom w:w="0" w:type="dxa"/>
              <w:right w:w="108" w:type="dxa"/>
            </w:tcMar>
            <w:hideMark/>
          </w:tcPr>
          <w:p w:rsidR="004F29C4" w:rsidRDefault="004F29C4" w:rsidP="00212EC2">
            <w:pPr>
              <w:spacing w:after="0"/>
              <w:rPr>
                <w:rFonts w:ascii="Calibri" w:eastAsiaTheme="minorHAnsi" w:hAnsi="Calibri"/>
                <w:sz w:val="22"/>
                <w:szCs w:val="22"/>
              </w:rPr>
            </w:pPr>
            <w:r w:rsidRPr="00F95185">
              <w:rPr>
                <w:rFonts w:ascii="Calibri" w:eastAsiaTheme="minorHAnsi" w:hAnsi="Calibri"/>
                <w:sz w:val="22"/>
                <w:szCs w:val="22"/>
              </w:rPr>
              <w:t>Antibiotic use in residential aged care facilities</w:t>
            </w:r>
          </w:p>
        </w:tc>
        <w:tc>
          <w:tcPr>
            <w:tcW w:w="6368" w:type="dxa"/>
            <w:tcBorders>
              <w:top w:val="nil"/>
              <w:left w:val="nil"/>
              <w:bottom w:val="single" w:sz="8" w:space="0" w:color="auto"/>
              <w:right w:val="single" w:sz="8" w:space="0" w:color="auto"/>
            </w:tcBorders>
            <w:tcMar>
              <w:top w:w="0" w:type="dxa"/>
              <w:left w:w="108" w:type="dxa"/>
              <w:bottom w:w="0" w:type="dxa"/>
              <w:right w:w="108" w:type="dxa"/>
            </w:tcMar>
            <w:hideMark/>
          </w:tcPr>
          <w:p w:rsidR="004F29C4" w:rsidRDefault="00A35BBE" w:rsidP="00212EC2">
            <w:pPr>
              <w:spacing w:after="0"/>
              <w:rPr>
                <w:rFonts w:ascii="Calibri" w:eastAsiaTheme="minorHAnsi" w:hAnsi="Calibri"/>
                <w:sz w:val="22"/>
                <w:szCs w:val="22"/>
              </w:rPr>
            </w:pPr>
            <w:hyperlink r:id="rId17" w:history="1">
              <w:r w:rsidR="004F29C4" w:rsidRPr="00F95185">
                <w:rPr>
                  <w:rFonts w:ascii="Calibri" w:eastAsiaTheme="minorHAnsi" w:hAnsi="Calibri"/>
                  <w:sz w:val="22"/>
                  <w:szCs w:val="22"/>
                </w:rPr>
                <w:t>https://www.racgp.org.au/afp/authorslist/l/ching-jou-lim/</w:t>
              </w:r>
            </w:hyperlink>
          </w:p>
        </w:tc>
      </w:tr>
      <w:tr w:rsidR="004F29C4" w:rsidRPr="00F95185" w:rsidTr="00212EC2">
        <w:tc>
          <w:tcPr>
            <w:tcW w:w="1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9C4" w:rsidRDefault="004F29C4" w:rsidP="00212EC2">
            <w:pPr>
              <w:spacing w:after="0"/>
              <w:rPr>
                <w:rFonts w:ascii="Calibri" w:eastAsiaTheme="minorHAnsi" w:hAnsi="Calibri"/>
                <w:sz w:val="22"/>
                <w:szCs w:val="22"/>
              </w:rPr>
            </w:pPr>
          </w:p>
          <w:p w:rsidR="004F29C4" w:rsidRDefault="004F29C4" w:rsidP="00212EC2">
            <w:pPr>
              <w:spacing w:after="0"/>
              <w:rPr>
                <w:rFonts w:ascii="Calibri" w:eastAsiaTheme="minorHAnsi" w:hAnsi="Calibri"/>
                <w:sz w:val="22"/>
                <w:szCs w:val="22"/>
              </w:rPr>
            </w:pPr>
            <w:r w:rsidRPr="00F95185">
              <w:rPr>
                <w:rFonts w:ascii="Calibri" w:eastAsiaTheme="minorHAnsi" w:hAnsi="Calibri"/>
                <w:sz w:val="22"/>
                <w:szCs w:val="22"/>
              </w:rPr>
              <w:t xml:space="preserve">Royal Australian College of General </w:t>
            </w:r>
            <w:r w:rsidRPr="00F95185">
              <w:rPr>
                <w:rFonts w:ascii="Calibri" w:eastAsiaTheme="minorHAnsi" w:hAnsi="Calibri"/>
                <w:sz w:val="22"/>
                <w:szCs w:val="22"/>
              </w:rPr>
              <w:lastRenderedPageBreak/>
              <w:t>Practitioners</w:t>
            </w:r>
          </w:p>
        </w:tc>
        <w:tc>
          <w:tcPr>
            <w:tcW w:w="1491" w:type="dxa"/>
            <w:tcBorders>
              <w:top w:val="nil"/>
              <w:left w:val="nil"/>
              <w:bottom w:val="single" w:sz="8" w:space="0" w:color="auto"/>
              <w:right w:val="single" w:sz="8" w:space="0" w:color="auto"/>
            </w:tcBorders>
            <w:tcMar>
              <w:top w:w="0" w:type="dxa"/>
              <w:left w:w="108" w:type="dxa"/>
              <w:bottom w:w="0" w:type="dxa"/>
              <w:right w:w="108" w:type="dxa"/>
            </w:tcMar>
            <w:hideMark/>
          </w:tcPr>
          <w:p w:rsidR="004F29C4" w:rsidRDefault="004F29C4" w:rsidP="00212EC2">
            <w:pPr>
              <w:spacing w:after="0"/>
              <w:rPr>
                <w:rFonts w:ascii="Calibri" w:eastAsiaTheme="minorHAnsi" w:hAnsi="Calibri"/>
                <w:sz w:val="22"/>
                <w:szCs w:val="22"/>
              </w:rPr>
            </w:pPr>
          </w:p>
          <w:p w:rsidR="004F29C4" w:rsidRDefault="004F29C4" w:rsidP="00212EC2">
            <w:pPr>
              <w:spacing w:after="0"/>
              <w:rPr>
                <w:rFonts w:ascii="Calibri" w:eastAsiaTheme="minorHAnsi" w:hAnsi="Calibri"/>
                <w:sz w:val="22"/>
                <w:szCs w:val="22"/>
              </w:rPr>
            </w:pPr>
            <w:r w:rsidRPr="00F95185">
              <w:rPr>
                <w:rFonts w:ascii="Calibri" w:eastAsiaTheme="minorHAnsi" w:hAnsi="Calibri"/>
                <w:sz w:val="22"/>
                <w:szCs w:val="22"/>
              </w:rPr>
              <w:t>Antibiotic use in residential aged care facilities</w:t>
            </w: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4F29C4" w:rsidRDefault="004F29C4" w:rsidP="00212EC2">
            <w:pPr>
              <w:spacing w:after="0"/>
              <w:rPr>
                <w:rFonts w:ascii="Calibri" w:eastAsiaTheme="minorHAnsi" w:hAnsi="Calibri"/>
                <w:sz w:val="22"/>
                <w:szCs w:val="22"/>
              </w:rPr>
            </w:pPr>
          </w:p>
          <w:p w:rsidR="004F29C4" w:rsidRDefault="00A35BBE" w:rsidP="00212EC2">
            <w:pPr>
              <w:spacing w:after="0"/>
              <w:rPr>
                <w:rFonts w:ascii="Calibri" w:eastAsiaTheme="minorHAnsi" w:hAnsi="Calibri"/>
                <w:sz w:val="22"/>
                <w:szCs w:val="22"/>
              </w:rPr>
            </w:pPr>
            <w:hyperlink r:id="rId18" w:history="1">
              <w:r w:rsidR="004F29C4" w:rsidRPr="00F95185">
                <w:rPr>
                  <w:rFonts w:ascii="Calibri" w:eastAsiaTheme="minorHAnsi" w:hAnsi="Calibri"/>
                  <w:sz w:val="22"/>
                  <w:szCs w:val="22"/>
                </w:rPr>
                <w:t>https://www.racgp.org.au/afp/2015/april/antibiotic-use-in-residential-%E2%80%A8aged-care-facilities/</w:t>
              </w:r>
            </w:hyperlink>
          </w:p>
          <w:p w:rsidR="004F29C4" w:rsidRDefault="004F29C4" w:rsidP="00212EC2">
            <w:pPr>
              <w:spacing w:after="0"/>
              <w:rPr>
                <w:rFonts w:ascii="Calibri" w:eastAsiaTheme="minorHAnsi" w:hAnsi="Calibri"/>
                <w:sz w:val="22"/>
                <w:szCs w:val="22"/>
              </w:rPr>
            </w:pPr>
          </w:p>
        </w:tc>
      </w:tr>
      <w:tr w:rsidR="004F29C4" w:rsidRPr="00F95185" w:rsidTr="00212EC2">
        <w:tc>
          <w:tcPr>
            <w:tcW w:w="1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9C4" w:rsidRDefault="004F29C4" w:rsidP="00212EC2">
            <w:pPr>
              <w:spacing w:after="0"/>
              <w:rPr>
                <w:rFonts w:ascii="Calibri" w:eastAsiaTheme="minorHAnsi" w:hAnsi="Calibri"/>
                <w:sz w:val="22"/>
                <w:szCs w:val="22"/>
              </w:rPr>
            </w:pPr>
            <w:r w:rsidRPr="00F95185">
              <w:rPr>
                <w:rFonts w:ascii="Calibri" w:eastAsiaTheme="minorHAnsi" w:hAnsi="Calibri"/>
                <w:sz w:val="22"/>
                <w:szCs w:val="22"/>
              </w:rPr>
              <w:lastRenderedPageBreak/>
              <w:t>The Lancet</w:t>
            </w:r>
          </w:p>
        </w:tc>
        <w:tc>
          <w:tcPr>
            <w:tcW w:w="1491" w:type="dxa"/>
            <w:tcBorders>
              <w:top w:val="nil"/>
              <w:left w:val="nil"/>
              <w:bottom w:val="single" w:sz="8" w:space="0" w:color="auto"/>
              <w:right w:val="single" w:sz="8" w:space="0" w:color="auto"/>
            </w:tcBorders>
            <w:tcMar>
              <w:top w:w="0" w:type="dxa"/>
              <w:left w:w="108" w:type="dxa"/>
              <w:bottom w:w="0" w:type="dxa"/>
              <w:right w:w="108" w:type="dxa"/>
            </w:tcMar>
          </w:tcPr>
          <w:p w:rsidR="004F29C4" w:rsidRDefault="004F29C4" w:rsidP="00212EC2">
            <w:pPr>
              <w:spacing w:after="0"/>
              <w:rPr>
                <w:rFonts w:ascii="Calibri" w:eastAsiaTheme="minorHAnsi" w:hAnsi="Calibri"/>
                <w:sz w:val="22"/>
                <w:szCs w:val="22"/>
              </w:rPr>
            </w:pPr>
            <w:r w:rsidRPr="00F95185">
              <w:rPr>
                <w:rFonts w:ascii="Calibri" w:eastAsiaTheme="minorHAnsi" w:hAnsi="Calibri"/>
                <w:sz w:val="22"/>
                <w:szCs w:val="22"/>
              </w:rPr>
              <w:t xml:space="preserve">Note: this information is international and not representative of the Australian Context: Antimicrobial resistance in food production and messaging from the World Health Organisation. </w:t>
            </w:r>
          </w:p>
          <w:p w:rsidR="004F29C4" w:rsidRDefault="004F29C4" w:rsidP="00212EC2">
            <w:pPr>
              <w:spacing w:after="0"/>
              <w:rPr>
                <w:rFonts w:ascii="Calibri" w:eastAsiaTheme="minorHAnsi" w:hAnsi="Calibri"/>
                <w:sz w:val="22"/>
                <w:szCs w:val="22"/>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4F29C4" w:rsidRDefault="00A35BBE" w:rsidP="00212EC2">
            <w:pPr>
              <w:spacing w:after="0"/>
              <w:rPr>
                <w:rFonts w:ascii="Calibri" w:eastAsiaTheme="minorHAnsi" w:hAnsi="Calibri"/>
                <w:sz w:val="22"/>
                <w:szCs w:val="22"/>
              </w:rPr>
            </w:pPr>
            <w:hyperlink r:id="rId19" w:history="1">
              <w:r w:rsidR="004F29C4" w:rsidRPr="00F95185">
                <w:rPr>
                  <w:rFonts w:ascii="Calibri" w:eastAsiaTheme="minorHAnsi" w:hAnsi="Calibri"/>
                  <w:sz w:val="22"/>
                  <w:szCs w:val="22"/>
                </w:rPr>
                <w:t>http://www.thelancet.com/journals/lancet/article/PIIS0140-6736(17)32900-8/fulltext?elsca1=etoc</w:t>
              </w:r>
            </w:hyperlink>
          </w:p>
          <w:p w:rsidR="004F29C4" w:rsidRPr="00F95185" w:rsidRDefault="004F29C4" w:rsidP="00212EC2">
            <w:pPr>
              <w:spacing w:after="0"/>
              <w:rPr>
                <w:rFonts w:ascii="Calibri" w:eastAsiaTheme="minorHAnsi" w:hAnsi="Calibri"/>
                <w:sz w:val="22"/>
                <w:szCs w:val="22"/>
              </w:rPr>
            </w:pPr>
          </w:p>
        </w:tc>
      </w:tr>
      <w:tr w:rsidR="004F29C4" w:rsidRPr="00F95185" w:rsidTr="00212EC2">
        <w:tc>
          <w:tcPr>
            <w:tcW w:w="138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F29C4" w:rsidRDefault="004F29C4" w:rsidP="00212EC2">
            <w:pPr>
              <w:spacing w:after="0"/>
              <w:rPr>
                <w:rFonts w:ascii="Calibri" w:eastAsiaTheme="minorHAnsi" w:hAnsi="Calibri"/>
                <w:sz w:val="22"/>
                <w:szCs w:val="22"/>
              </w:rPr>
            </w:pPr>
            <w:proofErr w:type="spellStart"/>
            <w:r w:rsidRPr="00F95185">
              <w:rPr>
                <w:rFonts w:ascii="Calibri" w:eastAsiaTheme="minorHAnsi" w:hAnsi="Calibri"/>
                <w:sz w:val="22"/>
                <w:szCs w:val="22"/>
              </w:rPr>
              <w:t>Thursky</w:t>
            </w:r>
            <w:proofErr w:type="spellEnd"/>
            <w:r w:rsidRPr="00F95185">
              <w:rPr>
                <w:rFonts w:ascii="Calibri" w:eastAsiaTheme="minorHAnsi" w:hAnsi="Calibri"/>
                <w:sz w:val="22"/>
                <w:szCs w:val="22"/>
              </w:rPr>
              <w:t xml:space="preserve"> K and Bennett N, 2016 National Centre for Antimicrobial Stewardship</w:t>
            </w:r>
          </w:p>
          <w:p w:rsidR="004F29C4" w:rsidRPr="00F95185" w:rsidRDefault="004F29C4" w:rsidP="00212EC2">
            <w:pPr>
              <w:spacing w:after="0"/>
              <w:rPr>
                <w:rFonts w:ascii="Calibri" w:eastAsiaTheme="minorHAnsi" w:hAnsi="Calibri"/>
                <w:sz w:val="22"/>
                <w:szCs w:val="22"/>
              </w:rPr>
            </w:pPr>
          </w:p>
          <w:p w:rsidR="004F29C4" w:rsidRDefault="004F29C4" w:rsidP="00212EC2">
            <w:pPr>
              <w:spacing w:after="0"/>
              <w:rPr>
                <w:rFonts w:ascii="Calibri" w:eastAsiaTheme="minorHAnsi" w:hAnsi="Calibri"/>
                <w:sz w:val="22"/>
                <w:szCs w:val="22"/>
              </w:rPr>
            </w:pPr>
            <w:r w:rsidRPr="00F95185">
              <w:rPr>
                <w:rFonts w:ascii="Calibri" w:eastAsiaTheme="minorHAnsi" w:hAnsi="Calibri"/>
                <w:sz w:val="22"/>
                <w:szCs w:val="22"/>
              </w:rPr>
              <w:t>ACIP Conference</w:t>
            </w:r>
          </w:p>
        </w:tc>
        <w:tc>
          <w:tcPr>
            <w:tcW w:w="1491" w:type="dxa"/>
            <w:tcBorders>
              <w:top w:val="nil"/>
              <w:left w:val="nil"/>
              <w:bottom w:val="single" w:sz="8" w:space="0" w:color="auto"/>
              <w:right w:val="single" w:sz="8" w:space="0" w:color="auto"/>
            </w:tcBorders>
            <w:tcMar>
              <w:top w:w="0" w:type="dxa"/>
              <w:left w:w="108" w:type="dxa"/>
              <w:bottom w:w="0" w:type="dxa"/>
              <w:right w:w="108" w:type="dxa"/>
            </w:tcMar>
          </w:tcPr>
          <w:p w:rsidR="004F29C4" w:rsidRDefault="004F29C4" w:rsidP="00212EC2">
            <w:pPr>
              <w:spacing w:after="0"/>
              <w:rPr>
                <w:rFonts w:ascii="Calibri" w:eastAsiaTheme="minorHAnsi" w:hAnsi="Calibri"/>
                <w:sz w:val="22"/>
                <w:szCs w:val="22"/>
              </w:rPr>
            </w:pPr>
            <w:r w:rsidRPr="00F95185">
              <w:rPr>
                <w:rFonts w:ascii="Calibri" w:eastAsiaTheme="minorHAnsi" w:hAnsi="Calibri"/>
                <w:sz w:val="22"/>
                <w:szCs w:val="22"/>
              </w:rPr>
              <w:t>Antimicrobial stewardship in residential aged care facilities – results of the first aged are national antimicrobial prescribing survey</w:t>
            </w:r>
          </w:p>
          <w:p w:rsidR="004F29C4" w:rsidRDefault="004F29C4" w:rsidP="00212EC2">
            <w:pPr>
              <w:spacing w:after="0"/>
              <w:rPr>
                <w:rFonts w:ascii="Calibri" w:eastAsiaTheme="minorHAnsi" w:hAnsi="Calibri"/>
                <w:sz w:val="22"/>
                <w:szCs w:val="22"/>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4F29C4" w:rsidRDefault="00A35BBE" w:rsidP="00212EC2">
            <w:pPr>
              <w:spacing w:after="0"/>
              <w:rPr>
                <w:rFonts w:ascii="Calibri" w:eastAsiaTheme="minorHAnsi" w:hAnsi="Calibri"/>
                <w:sz w:val="22"/>
                <w:szCs w:val="22"/>
              </w:rPr>
            </w:pPr>
            <w:hyperlink r:id="rId20" w:history="1">
              <w:r w:rsidR="004F29C4" w:rsidRPr="00F95185">
                <w:rPr>
                  <w:rFonts w:ascii="Calibri" w:eastAsiaTheme="minorHAnsi" w:hAnsi="Calibri"/>
                  <w:sz w:val="22"/>
                  <w:szCs w:val="22"/>
                </w:rPr>
                <w:t>http://2016.acipcconference.com.au/wp-content/uploads/2016/02/Antimicrobial-stewardship-in-Residential-Aged-Care-facilities.pdf</w:t>
              </w:r>
            </w:hyperlink>
          </w:p>
          <w:p w:rsidR="004F29C4" w:rsidRDefault="004F29C4" w:rsidP="00212EC2">
            <w:pPr>
              <w:spacing w:after="0"/>
              <w:rPr>
                <w:rFonts w:ascii="Calibri" w:eastAsiaTheme="minorHAnsi" w:hAnsi="Calibri"/>
                <w:sz w:val="22"/>
                <w:szCs w:val="22"/>
              </w:rPr>
            </w:pPr>
          </w:p>
        </w:tc>
      </w:tr>
      <w:tr w:rsidR="004F29C4" w:rsidRPr="00F95185" w:rsidTr="00212EC2">
        <w:tc>
          <w:tcPr>
            <w:tcW w:w="1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9C4" w:rsidRDefault="004F29C4" w:rsidP="00212EC2">
            <w:pPr>
              <w:spacing w:after="0"/>
              <w:rPr>
                <w:rFonts w:ascii="Calibri" w:eastAsiaTheme="minorHAnsi" w:hAnsi="Calibri"/>
                <w:sz w:val="22"/>
                <w:szCs w:val="22"/>
              </w:rPr>
            </w:pPr>
            <w:r w:rsidRPr="00F95185">
              <w:rPr>
                <w:rFonts w:ascii="Calibri" w:eastAsiaTheme="minorHAnsi" w:hAnsi="Calibri"/>
                <w:sz w:val="22"/>
                <w:szCs w:val="22"/>
              </w:rPr>
              <w:t>University of Melbourne</w:t>
            </w:r>
          </w:p>
        </w:tc>
        <w:tc>
          <w:tcPr>
            <w:tcW w:w="1491" w:type="dxa"/>
            <w:tcBorders>
              <w:top w:val="nil"/>
              <w:left w:val="nil"/>
              <w:bottom w:val="single" w:sz="8" w:space="0" w:color="auto"/>
              <w:right w:val="single" w:sz="8" w:space="0" w:color="auto"/>
            </w:tcBorders>
            <w:tcMar>
              <w:top w:w="0" w:type="dxa"/>
              <w:left w:w="108" w:type="dxa"/>
              <w:bottom w:w="0" w:type="dxa"/>
              <w:right w:w="108" w:type="dxa"/>
            </w:tcMar>
            <w:hideMark/>
          </w:tcPr>
          <w:p w:rsidR="004F29C4" w:rsidRDefault="004F29C4" w:rsidP="00212EC2">
            <w:pPr>
              <w:spacing w:after="0"/>
              <w:rPr>
                <w:rFonts w:ascii="Calibri" w:eastAsiaTheme="minorHAnsi" w:hAnsi="Calibri"/>
                <w:sz w:val="22"/>
                <w:szCs w:val="22"/>
              </w:rPr>
            </w:pPr>
            <w:r w:rsidRPr="00F95185">
              <w:rPr>
                <w:rFonts w:ascii="Calibri" w:eastAsiaTheme="minorHAnsi" w:hAnsi="Calibri"/>
                <w:sz w:val="22"/>
                <w:szCs w:val="22"/>
              </w:rPr>
              <w:t>Antimicrobial stewardship in residential aged care facilities</w:t>
            </w:r>
          </w:p>
        </w:tc>
        <w:tc>
          <w:tcPr>
            <w:tcW w:w="6368" w:type="dxa"/>
            <w:tcBorders>
              <w:top w:val="nil"/>
              <w:left w:val="nil"/>
              <w:bottom w:val="single" w:sz="8" w:space="0" w:color="auto"/>
              <w:right w:val="single" w:sz="8" w:space="0" w:color="auto"/>
            </w:tcBorders>
            <w:tcMar>
              <w:top w:w="0" w:type="dxa"/>
              <w:left w:w="108" w:type="dxa"/>
              <w:bottom w:w="0" w:type="dxa"/>
              <w:right w:w="108" w:type="dxa"/>
            </w:tcMar>
            <w:hideMark/>
          </w:tcPr>
          <w:p w:rsidR="004F29C4" w:rsidRDefault="00A35BBE" w:rsidP="00212EC2">
            <w:pPr>
              <w:spacing w:after="0"/>
              <w:rPr>
                <w:rFonts w:ascii="Calibri" w:eastAsiaTheme="minorHAnsi" w:hAnsi="Calibri"/>
                <w:sz w:val="22"/>
                <w:szCs w:val="22"/>
              </w:rPr>
            </w:pPr>
            <w:hyperlink r:id="rId21" w:history="1">
              <w:r w:rsidR="004F29C4" w:rsidRPr="00F95185">
                <w:rPr>
                  <w:rFonts w:ascii="Calibri" w:eastAsiaTheme="minorHAnsi" w:hAnsi="Calibri"/>
                  <w:sz w:val="22"/>
                  <w:szCs w:val="22"/>
                </w:rPr>
                <w:t>http://medicine.unimelb.edu.au/research-groups/medicine-and-radiology-research/royal-melbourne-hospital/the-national-centre-for-antimicrobial-stewardship-ncas/antimicrobial-stewardship-ams-in-residential-aged-care-facilities</w:t>
              </w:r>
            </w:hyperlink>
          </w:p>
        </w:tc>
      </w:tr>
      <w:tr w:rsidR="004F29C4" w:rsidRPr="00F95185" w:rsidTr="00212EC2">
        <w:tc>
          <w:tcPr>
            <w:tcW w:w="1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9C4" w:rsidRDefault="004F29C4" w:rsidP="00212EC2">
            <w:pPr>
              <w:spacing w:after="0"/>
              <w:rPr>
                <w:rFonts w:ascii="Calibri" w:eastAsiaTheme="minorHAnsi" w:hAnsi="Calibri"/>
                <w:sz w:val="22"/>
                <w:szCs w:val="22"/>
              </w:rPr>
            </w:pPr>
            <w:r w:rsidRPr="00F95185">
              <w:rPr>
                <w:rFonts w:ascii="Calibri" w:eastAsiaTheme="minorHAnsi" w:hAnsi="Calibri"/>
                <w:sz w:val="22"/>
                <w:szCs w:val="22"/>
              </w:rPr>
              <w:t>World Health Organisation</w:t>
            </w:r>
          </w:p>
        </w:tc>
        <w:tc>
          <w:tcPr>
            <w:tcW w:w="1491" w:type="dxa"/>
            <w:tcBorders>
              <w:top w:val="nil"/>
              <w:left w:val="nil"/>
              <w:bottom w:val="single" w:sz="8" w:space="0" w:color="auto"/>
              <w:right w:val="single" w:sz="8" w:space="0" w:color="auto"/>
            </w:tcBorders>
            <w:tcMar>
              <w:top w:w="0" w:type="dxa"/>
              <w:left w:w="108" w:type="dxa"/>
              <w:bottom w:w="0" w:type="dxa"/>
              <w:right w:w="108" w:type="dxa"/>
            </w:tcMar>
            <w:hideMark/>
          </w:tcPr>
          <w:p w:rsidR="004F29C4" w:rsidRDefault="004F29C4" w:rsidP="00212EC2">
            <w:pPr>
              <w:spacing w:after="0"/>
              <w:rPr>
                <w:rFonts w:ascii="Calibri" w:eastAsiaTheme="minorHAnsi" w:hAnsi="Calibri"/>
                <w:sz w:val="22"/>
                <w:szCs w:val="22"/>
              </w:rPr>
            </w:pPr>
            <w:r w:rsidRPr="00F95185">
              <w:rPr>
                <w:rFonts w:ascii="Calibri" w:eastAsiaTheme="minorHAnsi" w:hAnsi="Calibri"/>
                <w:sz w:val="22"/>
                <w:szCs w:val="22"/>
              </w:rPr>
              <w:t>Antimicrobial resistance</w:t>
            </w: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4F29C4" w:rsidRDefault="00A35BBE" w:rsidP="00212EC2">
            <w:pPr>
              <w:spacing w:after="0"/>
              <w:rPr>
                <w:rFonts w:ascii="Calibri" w:eastAsiaTheme="minorHAnsi" w:hAnsi="Calibri"/>
                <w:sz w:val="22"/>
                <w:szCs w:val="22"/>
              </w:rPr>
            </w:pPr>
            <w:hyperlink r:id="rId22" w:history="1">
              <w:r w:rsidR="004F29C4" w:rsidRPr="00F95185">
                <w:rPr>
                  <w:rFonts w:ascii="Calibri" w:eastAsiaTheme="minorHAnsi" w:hAnsi="Calibri"/>
                  <w:sz w:val="22"/>
                  <w:szCs w:val="22"/>
                </w:rPr>
                <w:t>http://www.who.int/mediacentre/factsheets/fs194/en/</w:t>
              </w:r>
            </w:hyperlink>
          </w:p>
          <w:p w:rsidR="004F29C4" w:rsidRDefault="004F29C4" w:rsidP="00212EC2">
            <w:pPr>
              <w:spacing w:after="0"/>
              <w:rPr>
                <w:rFonts w:ascii="Calibri" w:eastAsiaTheme="minorHAnsi" w:hAnsi="Calibri"/>
                <w:sz w:val="22"/>
                <w:szCs w:val="22"/>
              </w:rPr>
            </w:pPr>
          </w:p>
        </w:tc>
      </w:tr>
    </w:tbl>
    <w:p w:rsidR="004F29C4" w:rsidRDefault="004F29C4" w:rsidP="004F29C4"/>
    <w:p w:rsidR="004F29C4" w:rsidRDefault="004F29C4" w:rsidP="004F29C4">
      <w:pPr>
        <w:spacing w:after="0"/>
        <w:rPr>
          <w:rFonts w:ascii="Calibri" w:eastAsiaTheme="minorHAnsi" w:hAnsi="Calibri"/>
          <w:sz w:val="22"/>
          <w:szCs w:val="22"/>
        </w:rPr>
      </w:pPr>
    </w:p>
    <w:p w:rsidR="004F29C4" w:rsidRPr="00EF72C1" w:rsidRDefault="004F29C4" w:rsidP="00EF72C1">
      <w:pPr>
        <w:pStyle w:val="ListParagraph"/>
        <w:spacing w:before="0" w:after="0" w:line="240" w:lineRule="auto"/>
        <w:ind w:left="0"/>
        <w:rPr>
          <w:sz w:val="22"/>
          <w:szCs w:val="22"/>
          <w:lang w:eastAsia="en-US"/>
        </w:rPr>
      </w:pPr>
    </w:p>
    <w:sectPr w:rsidR="004F29C4" w:rsidRPr="00EF72C1">
      <w:headerReference w:type="default"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BBE" w:rsidRDefault="00A35BBE" w:rsidP="003823EC">
      <w:pPr>
        <w:spacing w:after="0"/>
      </w:pPr>
      <w:r>
        <w:separator/>
      </w:r>
    </w:p>
  </w:endnote>
  <w:endnote w:type="continuationSeparator" w:id="0">
    <w:p w:rsidR="00A35BBE" w:rsidRDefault="00A35BBE" w:rsidP="003823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3EC" w:rsidRDefault="003823EC" w:rsidP="003823EC">
    <w:pPr>
      <w:spacing w:before="10" w:after="10"/>
      <w:ind w:right="-454"/>
      <w:jc w:val="right"/>
      <w:rPr>
        <w:bCs/>
        <w:i/>
        <w:sz w:val="18"/>
        <w:szCs w:val="18"/>
      </w:rPr>
    </w:pPr>
    <w:r w:rsidRPr="000D3E40">
      <w:rPr>
        <w:rFonts w:cs="Arial"/>
        <w:i/>
        <w:sz w:val="18"/>
        <w:szCs w:val="18"/>
      </w:rPr>
      <w:t xml:space="preserve">Communique </w:t>
    </w:r>
    <w:r>
      <w:rPr>
        <w:rFonts w:cs="Arial"/>
        <w:i/>
        <w:sz w:val="18"/>
        <w:szCs w:val="18"/>
      </w:rPr>
      <w:t>3</w:t>
    </w:r>
    <w:r>
      <w:rPr>
        <w:rFonts w:cs="Arial"/>
        <w:i/>
        <w:sz w:val="18"/>
        <w:szCs w:val="18"/>
      </w:rPr>
      <w:t xml:space="preserve">: </w:t>
    </w:r>
    <w:r>
      <w:rPr>
        <w:rFonts w:cs="Arial"/>
        <w:i/>
        <w:sz w:val="18"/>
        <w:szCs w:val="18"/>
      </w:rPr>
      <w:t>Third meeting of the standard guidance reference group</w:t>
    </w:r>
    <w:r>
      <w:rPr>
        <w:bCs/>
        <w:i/>
        <w:sz w:val="18"/>
        <w:szCs w:val="18"/>
      </w:rPr>
      <w:t xml:space="preserve">. </w:t>
    </w:r>
    <w:r>
      <w:rPr>
        <w:bCs/>
        <w:i/>
        <w:sz w:val="18"/>
        <w:szCs w:val="18"/>
      </w:rPr>
      <w:t>30 November 2017</w:t>
    </w:r>
  </w:p>
  <w:p w:rsidR="003823EC" w:rsidRPr="000D3E40" w:rsidRDefault="003823EC" w:rsidP="003823EC">
    <w:pPr>
      <w:spacing w:before="10" w:after="10"/>
      <w:ind w:right="-454"/>
      <w:jc w:val="right"/>
      <w:rPr>
        <w:bCs/>
        <w:i/>
        <w:sz w:val="18"/>
        <w:szCs w:val="18"/>
      </w:rPr>
    </w:pPr>
    <w:r>
      <w:rPr>
        <w:bCs/>
        <w:i/>
        <w:sz w:val="18"/>
        <w:szCs w:val="18"/>
      </w:rPr>
      <w:t>For more information see Australian Aged Care Quality Agency website www.aacqa.gov.au</w:t>
    </w:r>
  </w:p>
  <w:p w:rsidR="003823EC" w:rsidRDefault="003823EC">
    <w:pPr>
      <w:pStyle w:val="Footer"/>
    </w:pPr>
  </w:p>
  <w:p w:rsidR="003823EC" w:rsidRDefault="003823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BBE" w:rsidRDefault="00A35BBE" w:rsidP="003823EC">
      <w:pPr>
        <w:spacing w:after="0"/>
      </w:pPr>
      <w:r>
        <w:separator/>
      </w:r>
    </w:p>
  </w:footnote>
  <w:footnote w:type="continuationSeparator" w:id="0">
    <w:p w:rsidR="00A35BBE" w:rsidRDefault="00A35BBE" w:rsidP="003823E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3EC" w:rsidRDefault="003823EC">
    <w:pPr>
      <w:pStyle w:val="Header"/>
    </w:pPr>
  </w:p>
  <w:p w:rsidR="003823EC" w:rsidRDefault="003823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C7C6F"/>
    <w:multiLevelType w:val="hybridMultilevel"/>
    <w:tmpl w:val="0A54A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EC8478B"/>
    <w:multiLevelType w:val="hybridMultilevel"/>
    <w:tmpl w:val="F948C17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nsid w:val="7AF01121"/>
    <w:multiLevelType w:val="hybridMultilevel"/>
    <w:tmpl w:val="FABA373A"/>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8D0"/>
    <w:rsid w:val="000730CE"/>
    <w:rsid w:val="000746D1"/>
    <w:rsid w:val="00083851"/>
    <w:rsid w:val="00085EB6"/>
    <w:rsid w:val="000B69F6"/>
    <w:rsid w:val="001B1007"/>
    <w:rsid w:val="001B2563"/>
    <w:rsid w:val="002514D8"/>
    <w:rsid w:val="002607CE"/>
    <w:rsid w:val="00283FF4"/>
    <w:rsid w:val="0030198E"/>
    <w:rsid w:val="003823EC"/>
    <w:rsid w:val="00396102"/>
    <w:rsid w:val="003F23DA"/>
    <w:rsid w:val="004620B7"/>
    <w:rsid w:val="004C1B15"/>
    <w:rsid w:val="004C6F05"/>
    <w:rsid w:val="004D4FE8"/>
    <w:rsid w:val="004F29C4"/>
    <w:rsid w:val="00523FFD"/>
    <w:rsid w:val="005328D0"/>
    <w:rsid w:val="00611DA8"/>
    <w:rsid w:val="00622A25"/>
    <w:rsid w:val="00735B4A"/>
    <w:rsid w:val="00747592"/>
    <w:rsid w:val="00747807"/>
    <w:rsid w:val="007C7B9D"/>
    <w:rsid w:val="00830715"/>
    <w:rsid w:val="008740FE"/>
    <w:rsid w:val="008D4E80"/>
    <w:rsid w:val="008E7EF3"/>
    <w:rsid w:val="0091000B"/>
    <w:rsid w:val="00914F95"/>
    <w:rsid w:val="00954524"/>
    <w:rsid w:val="00966B5C"/>
    <w:rsid w:val="00972BF6"/>
    <w:rsid w:val="009A58D7"/>
    <w:rsid w:val="009D5518"/>
    <w:rsid w:val="00A07868"/>
    <w:rsid w:val="00A153EB"/>
    <w:rsid w:val="00A32073"/>
    <w:rsid w:val="00A35BBE"/>
    <w:rsid w:val="00A7400B"/>
    <w:rsid w:val="00BA404F"/>
    <w:rsid w:val="00BE0858"/>
    <w:rsid w:val="00BE6430"/>
    <w:rsid w:val="00C81899"/>
    <w:rsid w:val="00CE2CD3"/>
    <w:rsid w:val="00D05C38"/>
    <w:rsid w:val="00D43469"/>
    <w:rsid w:val="00D81F0D"/>
    <w:rsid w:val="00DF7B2C"/>
    <w:rsid w:val="00EB3CF9"/>
    <w:rsid w:val="00EF72C1"/>
    <w:rsid w:val="00F22A4A"/>
    <w:rsid w:val="00F459AB"/>
    <w:rsid w:val="00FC65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8D0"/>
    <w:pPr>
      <w:spacing w:after="6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328D0"/>
    <w:rPr>
      <w:color w:val="0000FF" w:themeColor="hyperlink"/>
      <w:u w:val="single"/>
    </w:rPr>
  </w:style>
  <w:style w:type="character" w:customStyle="1" w:styleId="ListParagraphChar">
    <w:name w:val="List Paragraph Char"/>
    <w:aliases w:val="Bullet Point Char,Bullet point Char,L Char,List Paragraph1 Char,List Paragraph11 Char,Recommendation Char,Bulletr List Paragraph Char,Content descriptions Char,FooterText Char,List Bullet 1 Char,List Paragraph2 Char,Listeafsnit1 Char"/>
    <w:basedOn w:val="DefaultParagraphFont"/>
    <w:link w:val="ListParagraph"/>
    <w:uiPriority w:val="34"/>
    <w:locked/>
    <w:rsid w:val="005328D0"/>
    <w:rPr>
      <w:rFonts w:ascii="Arial" w:eastAsia="Times New Roman" w:hAnsi="Arial" w:cs="Times New Roman"/>
      <w:sz w:val="20"/>
      <w:szCs w:val="20"/>
      <w:lang w:eastAsia="en-AU"/>
    </w:rPr>
  </w:style>
  <w:style w:type="paragraph" w:styleId="ListParagraph">
    <w:name w:val="List Paragraph"/>
    <w:aliases w:val="Bullet Point,Bullet point,L,List Paragraph1,List Paragraph11,Recommendation,Bulletr List Paragraph,Content descriptions,FooterText,List Bullet 1,List Paragraph2,List Paragraph21,Listeafsnit1,NFP GP Bulleted List,Paragraphe de liste1,リスト段落"/>
    <w:basedOn w:val="Normal"/>
    <w:link w:val="ListParagraphChar"/>
    <w:uiPriority w:val="34"/>
    <w:qFormat/>
    <w:rsid w:val="005328D0"/>
    <w:pPr>
      <w:spacing w:before="80" w:after="160" w:line="280" w:lineRule="exact"/>
      <w:ind w:left="720"/>
      <w:contextualSpacing/>
    </w:pPr>
    <w:rPr>
      <w:sz w:val="20"/>
      <w:szCs w:val="20"/>
      <w:lang w:eastAsia="en-AU"/>
    </w:rPr>
  </w:style>
  <w:style w:type="paragraph" w:styleId="BalloonText">
    <w:name w:val="Balloon Text"/>
    <w:basedOn w:val="Normal"/>
    <w:link w:val="BalloonTextChar"/>
    <w:uiPriority w:val="99"/>
    <w:semiHidden/>
    <w:unhideWhenUsed/>
    <w:rsid w:val="005328D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8D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B69F6"/>
    <w:rPr>
      <w:sz w:val="16"/>
      <w:szCs w:val="16"/>
    </w:rPr>
  </w:style>
  <w:style w:type="paragraph" w:styleId="CommentText">
    <w:name w:val="annotation text"/>
    <w:basedOn w:val="Normal"/>
    <w:link w:val="CommentTextChar"/>
    <w:uiPriority w:val="99"/>
    <w:semiHidden/>
    <w:unhideWhenUsed/>
    <w:rsid w:val="000B69F6"/>
    <w:rPr>
      <w:sz w:val="20"/>
      <w:szCs w:val="20"/>
    </w:rPr>
  </w:style>
  <w:style w:type="character" w:customStyle="1" w:styleId="CommentTextChar">
    <w:name w:val="Comment Text Char"/>
    <w:basedOn w:val="DefaultParagraphFont"/>
    <w:link w:val="CommentText"/>
    <w:uiPriority w:val="99"/>
    <w:semiHidden/>
    <w:rsid w:val="000B69F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B69F6"/>
    <w:rPr>
      <w:b/>
      <w:bCs/>
    </w:rPr>
  </w:style>
  <w:style w:type="character" w:customStyle="1" w:styleId="CommentSubjectChar">
    <w:name w:val="Comment Subject Char"/>
    <w:basedOn w:val="CommentTextChar"/>
    <w:link w:val="CommentSubject"/>
    <w:uiPriority w:val="99"/>
    <w:semiHidden/>
    <w:rsid w:val="000B69F6"/>
    <w:rPr>
      <w:rFonts w:ascii="Arial" w:eastAsia="Times New Roman" w:hAnsi="Arial" w:cs="Times New Roman"/>
      <w:b/>
      <w:bCs/>
      <w:sz w:val="20"/>
      <w:szCs w:val="20"/>
    </w:rPr>
  </w:style>
  <w:style w:type="paragraph" w:styleId="Header">
    <w:name w:val="header"/>
    <w:basedOn w:val="Normal"/>
    <w:link w:val="HeaderChar"/>
    <w:uiPriority w:val="99"/>
    <w:unhideWhenUsed/>
    <w:rsid w:val="003823EC"/>
    <w:pPr>
      <w:tabs>
        <w:tab w:val="center" w:pos="4513"/>
        <w:tab w:val="right" w:pos="9026"/>
      </w:tabs>
      <w:spacing w:after="0"/>
    </w:pPr>
  </w:style>
  <w:style w:type="character" w:customStyle="1" w:styleId="HeaderChar">
    <w:name w:val="Header Char"/>
    <w:basedOn w:val="DefaultParagraphFont"/>
    <w:link w:val="Header"/>
    <w:uiPriority w:val="99"/>
    <w:rsid w:val="003823EC"/>
    <w:rPr>
      <w:rFonts w:ascii="Arial" w:eastAsia="Times New Roman" w:hAnsi="Arial" w:cs="Times New Roman"/>
      <w:sz w:val="24"/>
      <w:szCs w:val="24"/>
    </w:rPr>
  </w:style>
  <w:style w:type="paragraph" w:styleId="Footer">
    <w:name w:val="footer"/>
    <w:basedOn w:val="Normal"/>
    <w:link w:val="FooterChar"/>
    <w:uiPriority w:val="99"/>
    <w:unhideWhenUsed/>
    <w:rsid w:val="003823EC"/>
    <w:pPr>
      <w:tabs>
        <w:tab w:val="center" w:pos="4513"/>
        <w:tab w:val="right" w:pos="9026"/>
      </w:tabs>
      <w:spacing w:after="0"/>
    </w:pPr>
  </w:style>
  <w:style w:type="character" w:customStyle="1" w:styleId="FooterChar">
    <w:name w:val="Footer Char"/>
    <w:basedOn w:val="DefaultParagraphFont"/>
    <w:link w:val="Footer"/>
    <w:uiPriority w:val="99"/>
    <w:rsid w:val="003823EC"/>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8D0"/>
    <w:pPr>
      <w:spacing w:after="6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328D0"/>
    <w:rPr>
      <w:color w:val="0000FF" w:themeColor="hyperlink"/>
      <w:u w:val="single"/>
    </w:rPr>
  </w:style>
  <w:style w:type="character" w:customStyle="1" w:styleId="ListParagraphChar">
    <w:name w:val="List Paragraph Char"/>
    <w:aliases w:val="Bullet Point Char,Bullet point Char,L Char,List Paragraph1 Char,List Paragraph11 Char,Recommendation Char,Bulletr List Paragraph Char,Content descriptions Char,FooterText Char,List Bullet 1 Char,List Paragraph2 Char,Listeafsnit1 Char"/>
    <w:basedOn w:val="DefaultParagraphFont"/>
    <w:link w:val="ListParagraph"/>
    <w:uiPriority w:val="34"/>
    <w:locked/>
    <w:rsid w:val="005328D0"/>
    <w:rPr>
      <w:rFonts w:ascii="Arial" w:eastAsia="Times New Roman" w:hAnsi="Arial" w:cs="Times New Roman"/>
      <w:sz w:val="20"/>
      <w:szCs w:val="20"/>
      <w:lang w:eastAsia="en-AU"/>
    </w:rPr>
  </w:style>
  <w:style w:type="paragraph" w:styleId="ListParagraph">
    <w:name w:val="List Paragraph"/>
    <w:aliases w:val="Bullet Point,Bullet point,L,List Paragraph1,List Paragraph11,Recommendation,Bulletr List Paragraph,Content descriptions,FooterText,List Bullet 1,List Paragraph2,List Paragraph21,Listeafsnit1,NFP GP Bulleted List,Paragraphe de liste1,リスト段落"/>
    <w:basedOn w:val="Normal"/>
    <w:link w:val="ListParagraphChar"/>
    <w:uiPriority w:val="34"/>
    <w:qFormat/>
    <w:rsid w:val="005328D0"/>
    <w:pPr>
      <w:spacing w:before="80" w:after="160" w:line="280" w:lineRule="exact"/>
      <w:ind w:left="720"/>
      <w:contextualSpacing/>
    </w:pPr>
    <w:rPr>
      <w:sz w:val="20"/>
      <w:szCs w:val="20"/>
      <w:lang w:eastAsia="en-AU"/>
    </w:rPr>
  </w:style>
  <w:style w:type="paragraph" w:styleId="BalloonText">
    <w:name w:val="Balloon Text"/>
    <w:basedOn w:val="Normal"/>
    <w:link w:val="BalloonTextChar"/>
    <w:uiPriority w:val="99"/>
    <w:semiHidden/>
    <w:unhideWhenUsed/>
    <w:rsid w:val="005328D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8D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B69F6"/>
    <w:rPr>
      <w:sz w:val="16"/>
      <w:szCs w:val="16"/>
    </w:rPr>
  </w:style>
  <w:style w:type="paragraph" w:styleId="CommentText">
    <w:name w:val="annotation text"/>
    <w:basedOn w:val="Normal"/>
    <w:link w:val="CommentTextChar"/>
    <w:uiPriority w:val="99"/>
    <w:semiHidden/>
    <w:unhideWhenUsed/>
    <w:rsid w:val="000B69F6"/>
    <w:rPr>
      <w:sz w:val="20"/>
      <w:szCs w:val="20"/>
    </w:rPr>
  </w:style>
  <w:style w:type="character" w:customStyle="1" w:styleId="CommentTextChar">
    <w:name w:val="Comment Text Char"/>
    <w:basedOn w:val="DefaultParagraphFont"/>
    <w:link w:val="CommentText"/>
    <w:uiPriority w:val="99"/>
    <w:semiHidden/>
    <w:rsid w:val="000B69F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B69F6"/>
    <w:rPr>
      <w:b/>
      <w:bCs/>
    </w:rPr>
  </w:style>
  <w:style w:type="character" w:customStyle="1" w:styleId="CommentSubjectChar">
    <w:name w:val="Comment Subject Char"/>
    <w:basedOn w:val="CommentTextChar"/>
    <w:link w:val="CommentSubject"/>
    <w:uiPriority w:val="99"/>
    <w:semiHidden/>
    <w:rsid w:val="000B69F6"/>
    <w:rPr>
      <w:rFonts w:ascii="Arial" w:eastAsia="Times New Roman" w:hAnsi="Arial" w:cs="Times New Roman"/>
      <w:b/>
      <w:bCs/>
      <w:sz w:val="20"/>
      <w:szCs w:val="20"/>
    </w:rPr>
  </w:style>
  <w:style w:type="paragraph" w:styleId="Header">
    <w:name w:val="header"/>
    <w:basedOn w:val="Normal"/>
    <w:link w:val="HeaderChar"/>
    <w:uiPriority w:val="99"/>
    <w:unhideWhenUsed/>
    <w:rsid w:val="003823EC"/>
    <w:pPr>
      <w:tabs>
        <w:tab w:val="center" w:pos="4513"/>
        <w:tab w:val="right" w:pos="9026"/>
      </w:tabs>
      <w:spacing w:after="0"/>
    </w:pPr>
  </w:style>
  <w:style w:type="character" w:customStyle="1" w:styleId="HeaderChar">
    <w:name w:val="Header Char"/>
    <w:basedOn w:val="DefaultParagraphFont"/>
    <w:link w:val="Header"/>
    <w:uiPriority w:val="99"/>
    <w:rsid w:val="003823EC"/>
    <w:rPr>
      <w:rFonts w:ascii="Arial" w:eastAsia="Times New Roman" w:hAnsi="Arial" w:cs="Times New Roman"/>
      <w:sz w:val="24"/>
      <w:szCs w:val="24"/>
    </w:rPr>
  </w:style>
  <w:style w:type="paragraph" w:styleId="Footer">
    <w:name w:val="footer"/>
    <w:basedOn w:val="Normal"/>
    <w:link w:val="FooterChar"/>
    <w:uiPriority w:val="99"/>
    <w:unhideWhenUsed/>
    <w:rsid w:val="003823EC"/>
    <w:pPr>
      <w:tabs>
        <w:tab w:val="center" w:pos="4513"/>
        <w:tab w:val="right" w:pos="9026"/>
      </w:tabs>
      <w:spacing w:after="0"/>
    </w:pPr>
  </w:style>
  <w:style w:type="character" w:customStyle="1" w:styleId="FooterChar">
    <w:name w:val="Footer Char"/>
    <w:basedOn w:val="DefaultParagraphFont"/>
    <w:link w:val="Footer"/>
    <w:uiPriority w:val="99"/>
    <w:rsid w:val="003823EC"/>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722402">
      <w:bodyDiv w:val="1"/>
      <w:marLeft w:val="0"/>
      <w:marRight w:val="0"/>
      <w:marTop w:val="0"/>
      <w:marBottom w:val="0"/>
      <w:divBdr>
        <w:top w:val="none" w:sz="0" w:space="0" w:color="auto"/>
        <w:left w:val="none" w:sz="0" w:space="0" w:color="auto"/>
        <w:bottom w:val="none" w:sz="0" w:space="0" w:color="auto"/>
        <w:right w:val="none" w:sz="0" w:space="0" w:color="auto"/>
      </w:divBdr>
    </w:div>
    <w:div w:id="42611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mr.gov.au/" TargetMode="External"/><Relationship Id="rId18" Type="http://schemas.openxmlformats.org/officeDocument/2006/relationships/hyperlink" Target="https://www.racgp.org.au/afp/2015/april/antibiotic-use-in-residential-%E2%80%A8aged-care-facilities/"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medicine.unimelb.edu.au/research-groups/medicine-and-radiology-research/royal-melbourne-hospital/the-national-centre-for-antimicrobial-stewardship-ncas/antimicrobial-stewardship-ams-in-residential-aged-care-facilities" TargetMode="External"/><Relationship Id="rId7" Type="http://schemas.openxmlformats.org/officeDocument/2006/relationships/endnotes" Target="endnotes.xml"/><Relationship Id="rId12" Type="http://schemas.openxmlformats.org/officeDocument/2006/relationships/hyperlink" Target="https://www.safetyandquality.gov.au/our-work/healthcare-associated-infection/antimicrobial-stewardship/book/" TargetMode="External"/><Relationship Id="rId17" Type="http://schemas.openxmlformats.org/officeDocument/2006/relationships/hyperlink" Target="https://www.racgp.org.au/afp/authorslist/l/ching-jou-li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2.health.vic.gov.au/hospitals-and-health-services/quality-safety-service/infection-prevention/antimicrobial-stewardship-infect" TargetMode="External"/><Relationship Id="rId20" Type="http://schemas.openxmlformats.org/officeDocument/2006/relationships/hyperlink" Target="http://2016.acipcconference.com.au/wp-content/uploads/2016/02/Antimicrobial-stewardship-in-Residential-Aged-Care-facilities.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afetyandquality.gov.au/wp-content/uploads/2016/06/Antimicrobial-prescribing-and-infections-in-Australian-residential-aged-care-facilities.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health.gov.au/internet/main/publishing.nsf/Content/ohp-amr.htm" TargetMode="External"/><Relationship Id="rId23" Type="http://schemas.openxmlformats.org/officeDocument/2006/relationships/header" Target="header1.xml"/><Relationship Id="rId10" Type="http://schemas.openxmlformats.org/officeDocument/2006/relationships/hyperlink" Target="https://safetyandquality.gov.au/wp-content/uploads/2011/01/Antimicrobial-stewardship-in-Australian-Hospitals-2011.pdf" TargetMode="External"/><Relationship Id="rId19" Type="http://schemas.openxmlformats.org/officeDocument/2006/relationships/hyperlink" Target="http://www.thelancet.com/journals/lancet/article/PIIS0140-6736(17)32900-8/fulltext?elsca1=etoc" TargetMode="External"/><Relationship Id="rId4" Type="http://schemas.openxmlformats.org/officeDocument/2006/relationships/settings" Target="settings.xml"/><Relationship Id="rId9" Type="http://schemas.openxmlformats.org/officeDocument/2006/relationships/hyperlink" Target="mailto:mary.goddard@aacqa.gov.au" TargetMode="External"/><Relationship Id="rId14" Type="http://schemas.openxmlformats.org/officeDocument/2006/relationships/hyperlink" Target="http://australia.cochrane.org/news/very-handi-resource-putting-evidence-practice" TargetMode="External"/><Relationship Id="rId22" Type="http://schemas.openxmlformats.org/officeDocument/2006/relationships/hyperlink" Target="http://www.who.int/mediacentre/factsheets/fs194/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1065</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Aged Care Standards and Accreditation Agency Ltd</Company>
  <LinksUpToDate>false</LinksUpToDate>
  <CharactersWithSpaces>7128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Rigg</dc:creator>
  <cp:lastModifiedBy>Cath Snow</cp:lastModifiedBy>
  <cp:revision>2</cp:revision>
  <dcterms:created xsi:type="dcterms:W3CDTF">2018-01-23T01:43:00Z</dcterms:created>
  <dcterms:modified xsi:type="dcterms:W3CDTF">2018-01-23T01:43:00Z</dcterms:modified>
</cp:coreProperties>
</file>