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61835" w14:textId="77777777" w:rsidR="006253B0" w:rsidRPr="00C456AB" w:rsidRDefault="006253B0" w:rsidP="006253B0">
      <w:pPr>
        <w:keepNext/>
        <w:keepLines/>
        <w:pBdr>
          <w:bottom w:val="single" w:sz="4" w:space="1" w:color="auto"/>
        </w:pBdr>
        <w:spacing w:before="240" w:after="0"/>
        <w:outlineLvl w:val="0"/>
        <w:rPr>
          <w:rFonts w:ascii="Arial" w:eastAsiaTheme="majorEastAsia" w:hAnsi="Arial" w:cs="Arial"/>
          <w:b/>
          <w:sz w:val="40"/>
          <w:szCs w:val="32"/>
          <w:lang w:eastAsia="en-AU"/>
        </w:rPr>
      </w:pPr>
      <w:r w:rsidRPr="00C456AB">
        <w:rPr>
          <w:rFonts w:ascii="Arial" w:eastAsiaTheme="majorEastAsia" w:hAnsi="Arial" w:cs="Arial"/>
          <w:b/>
          <w:sz w:val="40"/>
          <w:szCs w:val="32"/>
          <w:lang w:eastAsia="en-AU"/>
        </w:rPr>
        <w:t xml:space="preserve">TRANSITIONAL ARRANGEMENTS </w:t>
      </w:r>
    </w:p>
    <w:p w14:paraId="05BB8D36" w14:textId="77777777" w:rsidR="006253B0" w:rsidRPr="00C456AB" w:rsidRDefault="006253B0" w:rsidP="006253B0">
      <w:pPr>
        <w:keepNext/>
        <w:keepLines/>
        <w:pBdr>
          <w:bottom w:val="single" w:sz="4" w:space="1" w:color="auto"/>
        </w:pBdr>
        <w:spacing w:after="0"/>
        <w:outlineLvl w:val="0"/>
        <w:rPr>
          <w:rFonts w:ascii="Arial" w:eastAsiaTheme="majorEastAsia" w:hAnsi="Arial" w:cs="Arial"/>
          <w:b/>
          <w:sz w:val="40"/>
          <w:szCs w:val="32"/>
          <w:lang w:eastAsia="en-AU"/>
        </w:rPr>
      </w:pPr>
      <w:r w:rsidRPr="00C456AB">
        <w:rPr>
          <w:rFonts w:ascii="Arial" w:eastAsiaTheme="majorEastAsia" w:hAnsi="Arial" w:cs="Arial"/>
          <w:b/>
          <w:sz w:val="40"/>
          <w:szCs w:val="32"/>
          <w:lang w:eastAsia="en-AU"/>
        </w:rPr>
        <w:t>FACT SHEET</w:t>
      </w:r>
    </w:p>
    <w:p w14:paraId="07250FEF" w14:textId="77777777" w:rsidR="006253B0" w:rsidRPr="00C456AB" w:rsidRDefault="006253B0" w:rsidP="006253B0">
      <w:pPr>
        <w:keepNext/>
        <w:keepLines/>
        <w:pBdr>
          <w:bottom w:val="single" w:sz="4" w:space="1" w:color="auto"/>
        </w:pBdr>
        <w:spacing w:after="0"/>
        <w:outlineLvl w:val="0"/>
        <w:rPr>
          <w:rFonts w:ascii="Arial" w:eastAsia="Times New Roman" w:hAnsi="Arial" w:cs="Arial"/>
          <w:b/>
          <w:sz w:val="40"/>
          <w:szCs w:val="32"/>
          <w:lang w:eastAsia="en-AU"/>
        </w:rPr>
      </w:pPr>
      <w:r w:rsidRPr="00C456AB">
        <w:rPr>
          <w:rFonts w:ascii="Arial" w:eastAsiaTheme="majorEastAsia" w:hAnsi="Arial" w:cs="Arial"/>
          <w:b/>
          <w:sz w:val="40"/>
          <w:szCs w:val="32"/>
          <w:lang w:eastAsia="en-AU"/>
        </w:rPr>
        <w:t xml:space="preserve">Key changes under the new Rules </w:t>
      </w:r>
    </w:p>
    <w:p w14:paraId="33E109F5" w14:textId="77777777" w:rsidR="006253B0" w:rsidRPr="00C456AB" w:rsidRDefault="006253B0" w:rsidP="006253B0">
      <w:pPr>
        <w:rPr>
          <w:rFonts w:ascii="Arial" w:hAnsi="Arial" w:cs="Arial"/>
          <w:b/>
          <w:color w:val="0070C0"/>
          <w:sz w:val="24"/>
          <w:szCs w:val="24"/>
          <w:u w:val="single"/>
        </w:rPr>
      </w:pPr>
    </w:p>
    <w:p w14:paraId="5B47D671" w14:textId="77777777" w:rsidR="006253B0" w:rsidRPr="00C456AB" w:rsidRDefault="006253B0" w:rsidP="006253B0">
      <w:pPr>
        <w:rPr>
          <w:rFonts w:ascii="Arial" w:hAnsi="Arial" w:cs="Arial"/>
          <w:sz w:val="24"/>
          <w:szCs w:val="24"/>
        </w:rPr>
      </w:pPr>
      <w:r w:rsidRPr="00C456AB">
        <w:rPr>
          <w:rFonts w:ascii="Arial" w:hAnsi="Arial" w:cs="Arial"/>
          <w:sz w:val="24"/>
          <w:szCs w:val="24"/>
        </w:rPr>
        <w:t>Transitional provisions allow the Commissioner to continue with regulatory activities that had started prior to commencement of the Rules. The Commissioner may make any arrangements as are necessary for the purposes of completing the activities.</w:t>
      </w:r>
    </w:p>
    <w:p w14:paraId="6DFA901A" w14:textId="77777777" w:rsidR="006253B0" w:rsidRPr="00C456AB" w:rsidRDefault="006253B0" w:rsidP="006253B0">
      <w:pPr>
        <w:spacing w:before="240"/>
        <w:contextualSpacing/>
        <w:rPr>
          <w:rFonts w:ascii="Arial" w:hAnsi="Arial" w:cs="Arial"/>
          <w:sz w:val="24"/>
          <w:szCs w:val="24"/>
        </w:rPr>
      </w:pPr>
      <w:r w:rsidRPr="00C456AB">
        <w:rPr>
          <w:rFonts w:ascii="Arial" w:hAnsi="Arial" w:cs="Arial"/>
          <w:sz w:val="24"/>
          <w:szCs w:val="24"/>
        </w:rPr>
        <w:t>The Rules provide for processes commenced before 1 January 2019 to continue to be progressed as if the steps had been taken under the Rules. This includes applications for re-accreditation, quality reviews and monitoring processes.</w:t>
      </w:r>
    </w:p>
    <w:p w14:paraId="40773A98" w14:textId="77777777" w:rsidR="006253B0" w:rsidRPr="00C456AB" w:rsidRDefault="006253B0" w:rsidP="006253B0">
      <w:pPr>
        <w:spacing w:before="240"/>
        <w:contextualSpacing/>
        <w:rPr>
          <w:rFonts w:ascii="Arial" w:hAnsi="Arial" w:cs="Arial"/>
          <w:sz w:val="24"/>
          <w:szCs w:val="24"/>
        </w:rPr>
      </w:pPr>
    </w:p>
    <w:p w14:paraId="390FAA84" w14:textId="77777777" w:rsidR="006253B0" w:rsidRPr="00C456AB" w:rsidRDefault="006253B0" w:rsidP="006253B0">
      <w:pPr>
        <w:spacing w:before="240"/>
        <w:contextualSpacing/>
        <w:rPr>
          <w:rFonts w:ascii="Arial" w:hAnsi="Arial" w:cs="Arial"/>
          <w:sz w:val="24"/>
          <w:szCs w:val="24"/>
        </w:rPr>
      </w:pPr>
      <w:r w:rsidRPr="00C456AB">
        <w:rPr>
          <w:rFonts w:ascii="Arial" w:hAnsi="Arial" w:cs="Arial"/>
          <w:sz w:val="24"/>
          <w:szCs w:val="24"/>
        </w:rPr>
        <w:t>Residential services accredited under the Quality Agency Principles 2013 are taken to be accredited under the Rules.</w:t>
      </w:r>
    </w:p>
    <w:p w14:paraId="290D66DE" w14:textId="77777777" w:rsidR="006253B0" w:rsidRPr="00C456AB" w:rsidRDefault="006253B0" w:rsidP="006253B0">
      <w:pPr>
        <w:spacing w:before="240"/>
        <w:contextualSpacing/>
        <w:rPr>
          <w:rFonts w:ascii="Arial" w:hAnsi="Arial" w:cs="Arial"/>
          <w:sz w:val="24"/>
          <w:szCs w:val="24"/>
        </w:rPr>
      </w:pPr>
    </w:p>
    <w:p w14:paraId="02300F1F" w14:textId="77777777" w:rsidR="006253B0" w:rsidRDefault="006253B0" w:rsidP="006253B0">
      <w:pPr>
        <w:spacing w:before="240"/>
        <w:contextualSpacing/>
        <w:rPr>
          <w:rFonts w:ascii="Arial" w:hAnsi="Arial" w:cs="Arial"/>
          <w:sz w:val="24"/>
          <w:szCs w:val="24"/>
        </w:rPr>
      </w:pPr>
      <w:r w:rsidRPr="00C456AB">
        <w:rPr>
          <w:rFonts w:ascii="Arial" w:hAnsi="Arial" w:cs="Arial"/>
          <w:sz w:val="24"/>
          <w:szCs w:val="24"/>
        </w:rPr>
        <w:t>Applications for reconsideration or review of decisions made prior to 1 January 2019 will still have the same timeframe to make the application and will be able to have that application considered under the Rules.</w:t>
      </w:r>
    </w:p>
    <w:p w14:paraId="08C0BBC8" w14:textId="77777777" w:rsidR="0027375A" w:rsidRPr="00C456AB" w:rsidRDefault="0027375A" w:rsidP="006253B0">
      <w:pPr>
        <w:spacing w:before="240"/>
        <w:contextualSpacing/>
        <w:rPr>
          <w:rFonts w:ascii="Arial" w:hAnsi="Arial" w:cs="Arial"/>
          <w:sz w:val="24"/>
          <w:szCs w:val="24"/>
        </w:rPr>
      </w:pPr>
    </w:p>
    <w:p w14:paraId="64F09EE1" w14:textId="77777777" w:rsidR="006253B0" w:rsidRPr="00C456AB" w:rsidRDefault="006253B0" w:rsidP="006253B0">
      <w:pPr>
        <w:outlineLvl w:val="1"/>
        <w:rPr>
          <w:rFonts w:ascii="Arial" w:hAnsi="Arial" w:cs="Arial"/>
          <w:b/>
          <w:color w:val="1F497D" w:themeColor="text2"/>
          <w:sz w:val="28"/>
          <w:szCs w:val="24"/>
        </w:rPr>
      </w:pPr>
      <w:r w:rsidRPr="00C456AB">
        <w:rPr>
          <w:rFonts w:ascii="Arial" w:hAnsi="Arial" w:cs="Arial"/>
          <w:b/>
          <w:color w:val="00577D"/>
          <w:sz w:val="28"/>
          <w:szCs w:val="24"/>
        </w:rPr>
        <w:t xml:space="preserve">What if a service has a current timetable for improvement at the commencement of the Commission? </w:t>
      </w:r>
    </w:p>
    <w:p w14:paraId="7E0C098C" w14:textId="77777777" w:rsidR="006253B0" w:rsidRPr="00C456AB" w:rsidRDefault="006253B0" w:rsidP="006253B0">
      <w:pPr>
        <w:rPr>
          <w:rFonts w:ascii="Arial" w:hAnsi="Arial" w:cs="Arial"/>
          <w:sz w:val="24"/>
          <w:szCs w:val="24"/>
        </w:rPr>
      </w:pPr>
      <w:r w:rsidRPr="00C456AB">
        <w:rPr>
          <w:rFonts w:ascii="Arial" w:hAnsi="Arial" w:cs="Arial"/>
          <w:sz w:val="24"/>
          <w:szCs w:val="24"/>
        </w:rPr>
        <w:t>Where a provider has a timetable for improvement (TFI) set before 1 January 2019, that timetable continues (including the day by which improvements must be made) as does the requirement to revise the provider’s plan for continuous improvement and any arrangements for assessment contacts that have been notified to the provider.</w:t>
      </w:r>
    </w:p>
    <w:p w14:paraId="2ED73F64" w14:textId="77777777" w:rsidR="006253B0" w:rsidRPr="00C456AB" w:rsidRDefault="006253B0" w:rsidP="006253B0">
      <w:pPr>
        <w:rPr>
          <w:rFonts w:ascii="Arial" w:hAnsi="Arial" w:cs="Arial"/>
          <w:sz w:val="24"/>
          <w:szCs w:val="24"/>
        </w:rPr>
      </w:pPr>
      <w:r w:rsidRPr="00C456AB">
        <w:rPr>
          <w:rFonts w:ascii="Arial" w:hAnsi="Arial" w:cs="Arial"/>
          <w:sz w:val="24"/>
          <w:szCs w:val="24"/>
        </w:rPr>
        <w:t xml:space="preserve">Providers with TFIs that were due to expire just prior to 1 January 2019 have had those TFIs extended for four weeks. </w:t>
      </w:r>
    </w:p>
    <w:p w14:paraId="12A798CD" w14:textId="77777777" w:rsidR="006253B0" w:rsidRPr="00C456AB" w:rsidRDefault="006253B0" w:rsidP="006253B0">
      <w:pPr>
        <w:outlineLvl w:val="1"/>
        <w:rPr>
          <w:rFonts w:ascii="Arial" w:hAnsi="Arial" w:cs="Arial"/>
          <w:b/>
          <w:color w:val="00577D"/>
          <w:sz w:val="28"/>
          <w:szCs w:val="24"/>
        </w:rPr>
      </w:pPr>
      <w:r w:rsidRPr="00C456AB">
        <w:rPr>
          <w:rFonts w:ascii="Arial" w:hAnsi="Arial" w:cs="Arial"/>
          <w:b/>
          <w:color w:val="00577D"/>
          <w:sz w:val="28"/>
          <w:szCs w:val="24"/>
        </w:rPr>
        <w:t>Regulatory Policy Helpdesk</w:t>
      </w:r>
    </w:p>
    <w:p w14:paraId="429DB029" w14:textId="77777777" w:rsidR="006253B0" w:rsidRPr="006253B0" w:rsidRDefault="006253B0" w:rsidP="006253B0">
      <w:pPr>
        <w:spacing w:before="240"/>
        <w:contextualSpacing/>
        <w:rPr>
          <w:rFonts w:ascii="Arial" w:hAnsi="Arial" w:cs="Arial"/>
          <w:sz w:val="24"/>
          <w:szCs w:val="24"/>
        </w:rPr>
      </w:pPr>
      <w:r w:rsidRPr="00C456AB">
        <w:rPr>
          <w:rFonts w:ascii="Arial" w:hAnsi="Arial" w:cs="Arial"/>
          <w:sz w:val="24"/>
          <w:szCs w:val="24"/>
        </w:rPr>
        <w:t xml:space="preserve">For support in understanding the Rules and their operational implications, please contact the Regulatory Policy team at </w:t>
      </w:r>
      <w:hyperlink r:id="rId6" w:history="1">
        <w:r w:rsidRPr="00C456AB">
          <w:rPr>
            <w:rFonts w:ascii="Arial" w:hAnsi="Arial" w:cs="Arial"/>
            <w:color w:val="0000FF" w:themeColor="hyperlink"/>
            <w:sz w:val="24"/>
            <w:szCs w:val="24"/>
            <w:u w:val="single"/>
          </w:rPr>
          <w:t>regulatorypolicy@agedcarequality.gov.au</w:t>
        </w:r>
      </w:hyperlink>
      <w:r w:rsidRPr="00C456AB">
        <w:rPr>
          <w:rFonts w:ascii="Arial" w:hAnsi="Arial" w:cs="Arial"/>
          <w:sz w:val="24"/>
          <w:szCs w:val="24"/>
        </w:rPr>
        <w:t xml:space="preserve"> or speak with your local </w:t>
      </w:r>
      <w:hyperlink r:id="rId7" w:history="1">
        <w:r w:rsidRPr="00E647CA">
          <w:rPr>
            <w:rStyle w:val="Hyperlink"/>
            <w:rFonts w:ascii="Arial" w:hAnsi="Arial" w:cs="Arial"/>
            <w:sz w:val="24"/>
            <w:szCs w:val="24"/>
          </w:rPr>
          <w:t>Regional offic</w:t>
        </w:r>
        <w:r w:rsidR="00E647CA" w:rsidRPr="00E647CA">
          <w:rPr>
            <w:rStyle w:val="Hyperlink"/>
            <w:rFonts w:ascii="Arial" w:hAnsi="Arial" w:cs="Arial"/>
            <w:sz w:val="24"/>
            <w:szCs w:val="24"/>
          </w:rPr>
          <w:t>e</w:t>
        </w:r>
      </w:hyperlink>
      <w:r w:rsidR="00E647CA">
        <w:rPr>
          <w:rFonts w:ascii="Arial" w:hAnsi="Arial" w:cs="Arial"/>
          <w:sz w:val="24"/>
          <w:szCs w:val="24"/>
        </w:rPr>
        <w:t>.</w:t>
      </w:r>
      <w:r w:rsidRPr="006253B0">
        <w:rPr>
          <w:rFonts w:ascii="Arial" w:hAnsi="Arial" w:cs="Arial"/>
          <w:sz w:val="24"/>
          <w:szCs w:val="24"/>
        </w:rPr>
        <w:t xml:space="preserve"> </w:t>
      </w:r>
    </w:p>
    <w:p w14:paraId="367BFDDF" w14:textId="77777777" w:rsidR="006253B0" w:rsidRPr="006253B0" w:rsidRDefault="006253B0" w:rsidP="006253B0">
      <w:pPr>
        <w:rPr>
          <w:rFonts w:ascii="Arial" w:hAnsi="Arial" w:cs="Arial"/>
          <w:sz w:val="24"/>
          <w:szCs w:val="24"/>
        </w:rPr>
      </w:pPr>
    </w:p>
    <w:p w14:paraId="4DC719D8" w14:textId="77777777" w:rsidR="006253B0" w:rsidRPr="006253B0" w:rsidRDefault="006253B0" w:rsidP="006253B0">
      <w:pPr>
        <w:rPr>
          <w:rFonts w:ascii="Arial" w:hAnsi="Arial" w:cs="Arial"/>
          <w:sz w:val="24"/>
          <w:szCs w:val="24"/>
        </w:rPr>
      </w:pPr>
    </w:p>
    <w:p w14:paraId="6A375865" w14:textId="77777777" w:rsidR="007F4412" w:rsidRDefault="007F4412"/>
    <w:sectPr w:rsidR="007F4412" w:rsidSect="0000657E">
      <w:headerReference w:type="default" r:id="rId8"/>
      <w:pgSz w:w="11906" w:h="16838"/>
      <w:pgMar w:top="1843"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5D263" w14:textId="77777777" w:rsidR="009020A7" w:rsidRDefault="009020A7">
      <w:pPr>
        <w:spacing w:after="0" w:line="240" w:lineRule="auto"/>
      </w:pPr>
      <w:r>
        <w:separator/>
      </w:r>
    </w:p>
  </w:endnote>
  <w:endnote w:type="continuationSeparator" w:id="0">
    <w:p w14:paraId="09752268" w14:textId="77777777" w:rsidR="009020A7" w:rsidRDefault="00902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B31DE" w14:textId="77777777" w:rsidR="009020A7" w:rsidRDefault="009020A7">
      <w:pPr>
        <w:spacing w:after="0" w:line="240" w:lineRule="auto"/>
      </w:pPr>
      <w:r>
        <w:separator/>
      </w:r>
    </w:p>
  </w:footnote>
  <w:footnote w:type="continuationSeparator" w:id="0">
    <w:p w14:paraId="1BA88898" w14:textId="77777777" w:rsidR="009020A7" w:rsidRDefault="009020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1B521" w14:textId="77777777" w:rsidR="00000000" w:rsidRDefault="006253B0">
    <w:pPr>
      <w:pStyle w:val="Header"/>
    </w:pPr>
    <w:r>
      <w:rPr>
        <w:noProof/>
        <w:lang w:eastAsia="en-AU"/>
      </w:rPr>
      <w:drawing>
        <wp:inline distT="0" distB="0" distL="0" distR="0" wp14:anchorId="770FC50F" wp14:editId="3307D3A6">
          <wp:extent cx="3549296"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3398" cy="596224"/>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53B0"/>
    <w:rsid w:val="00086A33"/>
    <w:rsid w:val="00135548"/>
    <w:rsid w:val="0027375A"/>
    <w:rsid w:val="005B1248"/>
    <w:rsid w:val="006253B0"/>
    <w:rsid w:val="007F4412"/>
    <w:rsid w:val="008E3789"/>
    <w:rsid w:val="009020A7"/>
    <w:rsid w:val="00A505D7"/>
    <w:rsid w:val="00BF781A"/>
    <w:rsid w:val="00C456AB"/>
    <w:rsid w:val="00D9629A"/>
    <w:rsid w:val="00E647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9F1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53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53B0"/>
  </w:style>
  <w:style w:type="paragraph" w:styleId="BalloonText">
    <w:name w:val="Balloon Text"/>
    <w:basedOn w:val="Normal"/>
    <w:link w:val="BalloonTextChar"/>
    <w:uiPriority w:val="99"/>
    <w:semiHidden/>
    <w:unhideWhenUsed/>
    <w:rsid w:val="006253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53B0"/>
    <w:rPr>
      <w:rFonts w:ascii="Tahoma" w:hAnsi="Tahoma" w:cs="Tahoma"/>
      <w:sz w:val="16"/>
      <w:szCs w:val="16"/>
    </w:rPr>
  </w:style>
  <w:style w:type="character" w:styleId="CommentReference">
    <w:name w:val="annotation reference"/>
    <w:basedOn w:val="DefaultParagraphFont"/>
    <w:uiPriority w:val="99"/>
    <w:semiHidden/>
    <w:unhideWhenUsed/>
    <w:rsid w:val="00086A33"/>
    <w:rPr>
      <w:sz w:val="16"/>
      <w:szCs w:val="16"/>
    </w:rPr>
  </w:style>
  <w:style w:type="paragraph" w:styleId="CommentText">
    <w:name w:val="annotation text"/>
    <w:basedOn w:val="Normal"/>
    <w:link w:val="CommentTextChar"/>
    <w:uiPriority w:val="99"/>
    <w:semiHidden/>
    <w:unhideWhenUsed/>
    <w:rsid w:val="00086A33"/>
    <w:pPr>
      <w:spacing w:line="240" w:lineRule="auto"/>
    </w:pPr>
    <w:rPr>
      <w:sz w:val="20"/>
      <w:szCs w:val="20"/>
    </w:rPr>
  </w:style>
  <w:style w:type="character" w:customStyle="1" w:styleId="CommentTextChar">
    <w:name w:val="Comment Text Char"/>
    <w:basedOn w:val="DefaultParagraphFont"/>
    <w:link w:val="CommentText"/>
    <w:uiPriority w:val="99"/>
    <w:semiHidden/>
    <w:rsid w:val="00086A33"/>
    <w:rPr>
      <w:sz w:val="20"/>
      <w:szCs w:val="20"/>
    </w:rPr>
  </w:style>
  <w:style w:type="paragraph" w:styleId="CommentSubject">
    <w:name w:val="annotation subject"/>
    <w:basedOn w:val="CommentText"/>
    <w:next w:val="CommentText"/>
    <w:link w:val="CommentSubjectChar"/>
    <w:uiPriority w:val="99"/>
    <w:semiHidden/>
    <w:unhideWhenUsed/>
    <w:rsid w:val="00086A33"/>
    <w:rPr>
      <w:b/>
      <w:bCs/>
    </w:rPr>
  </w:style>
  <w:style w:type="character" w:customStyle="1" w:styleId="CommentSubjectChar">
    <w:name w:val="Comment Subject Char"/>
    <w:basedOn w:val="CommentTextChar"/>
    <w:link w:val="CommentSubject"/>
    <w:uiPriority w:val="99"/>
    <w:semiHidden/>
    <w:rsid w:val="00086A33"/>
    <w:rPr>
      <w:b/>
      <w:bCs/>
      <w:sz w:val="20"/>
      <w:szCs w:val="20"/>
    </w:rPr>
  </w:style>
  <w:style w:type="character" w:styleId="Hyperlink">
    <w:name w:val="Hyperlink"/>
    <w:basedOn w:val="DefaultParagraphFont"/>
    <w:uiPriority w:val="99"/>
    <w:unhideWhenUsed/>
    <w:rsid w:val="00E647CA"/>
    <w:rPr>
      <w:color w:val="0000FF" w:themeColor="hyperlink"/>
      <w:u w:val="single"/>
    </w:rPr>
  </w:style>
  <w:style w:type="paragraph" w:styleId="Footer">
    <w:name w:val="footer"/>
    <w:basedOn w:val="Normal"/>
    <w:link w:val="FooterChar"/>
    <w:uiPriority w:val="99"/>
    <w:unhideWhenUsed/>
    <w:rsid w:val="00A505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05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agedcarequality.gov.au/contact-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egulatorypolicy@agedcarequality.gov.a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1517</Characters>
  <Application>Microsoft Office Word</Application>
  <DocSecurity>0</DocSecurity>
  <Lines>12</Lines>
  <Paragraphs>3</Paragraphs>
  <ScaleCrop>false</ScaleCrop>
  <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2025-09-22T02:01:00Z</dcterms:created>
  <dcterms:modified xsi:type="dcterms:W3CDTF">2025-09-22T02:01:00Z</dcterms:modified>
</cp:coreProperties>
</file>