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0A4A" w14:textId="1A8CAF9B" w:rsidR="0062317D" w:rsidRDefault="00FA2CE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2A98149" wp14:editId="0265E847">
                <wp:simplePos x="0" y="0"/>
                <wp:positionH relativeFrom="column">
                  <wp:posOffset>-895350</wp:posOffset>
                </wp:positionH>
                <wp:positionV relativeFrom="paragraph">
                  <wp:posOffset>722630</wp:posOffset>
                </wp:positionV>
                <wp:extent cx="5686425" cy="1727200"/>
                <wp:effectExtent l="0" t="0" r="0" b="0"/>
                <wp:wrapSquare wrapText="bothSides"/>
                <wp:docPr id="76341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1FE02" w14:textId="77777777" w:rsidR="0062317D" w:rsidRDefault="001820E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F1A66CB" w14:textId="77777777" w:rsidR="0062317D" w:rsidRPr="001E694D" w:rsidRDefault="001820E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2E6724F" w14:textId="77777777" w:rsidR="0062317D" w:rsidRPr="001E694D" w:rsidRDefault="001820E2" w:rsidP="009504D0">
                            <w:pPr>
                              <w:pStyle w:val="ContactNumber"/>
                              <w:spacing w:after="600"/>
                              <w:rPr>
                                <w:rFonts w:ascii="Open Sans" w:hAnsi="Open Sans" w:cs="Open Sans"/>
                              </w:rPr>
                            </w:pPr>
                            <w:r w:rsidRPr="001E694D">
                              <w:rPr>
                                <w:rFonts w:ascii="Open Sans" w:hAnsi="Open Sans" w:cs="Open Sans"/>
                              </w:rPr>
                              <w:t>Agedcarequality.gov.au</w:t>
                            </w:r>
                          </w:p>
                          <w:p w14:paraId="4DBBFE37" w14:textId="77777777" w:rsidR="0062317D" w:rsidRDefault="006231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A9814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C21FE02" w14:textId="77777777" w:rsidR="0062317D" w:rsidRDefault="001820E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F1A66CB" w14:textId="77777777" w:rsidR="0062317D" w:rsidRPr="001E694D" w:rsidRDefault="001820E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2E6724F" w14:textId="77777777" w:rsidR="0062317D" w:rsidRPr="001E694D" w:rsidRDefault="001820E2" w:rsidP="009504D0">
                      <w:pPr>
                        <w:pStyle w:val="ContactNumber"/>
                        <w:spacing w:after="600"/>
                        <w:rPr>
                          <w:rFonts w:ascii="Open Sans" w:hAnsi="Open Sans" w:cs="Open Sans"/>
                        </w:rPr>
                      </w:pPr>
                      <w:r w:rsidRPr="001E694D">
                        <w:rPr>
                          <w:rFonts w:ascii="Open Sans" w:hAnsi="Open Sans" w:cs="Open Sans"/>
                        </w:rPr>
                        <w:t>Agedcarequality.gov.au</w:t>
                      </w:r>
                    </w:p>
                    <w:p w14:paraId="4DBBFE37" w14:textId="77777777" w:rsidR="0062317D" w:rsidRDefault="0062317D"/>
                  </w:txbxContent>
                </v:textbox>
                <w10:wrap type="square"/>
              </v:shape>
            </w:pict>
          </mc:Fallback>
        </mc:AlternateContent>
      </w:r>
      <w:r w:rsidR="001820E2">
        <w:rPr>
          <w:noProof/>
        </w:rPr>
        <w:drawing>
          <wp:anchor distT="360045" distB="180340" distL="114300" distR="114300" simplePos="0" relativeHeight="251659264" behindDoc="1" locked="0" layoutInCell="1" allowOverlap="1" wp14:anchorId="5BD1A050" wp14:editId="1400124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E428310" w14:textId="77777777" w:rsidR="0062317D" w:rsidRPr="001E694D" w:rsidRDefault="0062317D" w:rsidP="001E694D">
      <w:pPr>
        <w:tabs>
          <w:tab w:val="left" w:pos="4569"/>
        </w:tabs>
        <w:rPr>
          <w:rFonts w:ascii="Open Sans" w:hAnsi="Open Sans" w:cs="Open Sans"/>
          <w:color w:val="FFFFFF" w:themeColor="background1"/>
          <w:sz w:val="66"/>
          <w:szCs w:val="66"/>
        </w:rPr>
      </w:pPr>
    </w:p>
    <w:p w14:paraId="68AACFE8" w14:textId="77777777" w:rsidR="0062317D" w:rsidRDefault="0062317D" w:rsidP="00372ED2">
      <w:pPr>
        <w:spacing w:after="0"/>
        <w:rPr>
          <w:rFonts w:ascii="Open Sans" w:hAnsi="Open Sans" w:cs="Open Sans"/>
          <w:b/>
          <w:bCs/>
          <w:color w:val="FFFFFF" w:themeColor="background1"/>
          <w:sz w:val="66"/>
          <w:szCs w:val="66"/>
        </w:rPr>
      </w:pPr>
    </w:p>
    <w:p w14:paraId="7BF6E1FA" w14:textId="77777777" w:rsidR="0062317D" w:rsidRDefault="0062317D" w:rsidP="00372ED2">
      <w:pPr>
        <w:spacing w:after="0"/>
        <w:rPr>
          <w:rFonts w:ascii="Open Sans" w:hAnsi="Open Sans" w:cs="Open Sans"/>
          <w:b/>
          <w:bCs/>
          <w:color w:val="FFFFFF" w:themeColor="background1"/>
          <w:sz w:val="66"/>
          <w:szCs w:val="66"/>
        </w:rPr>
      </w:pPr>
    </w:p>
    <w:p w14:paraId="494826D6" w14:textId="77777777" w:rsidR="0062317D" w:rsidRPr="00412FC5" w:rsidRDefault="0062317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C0074B" w14:paraId="7FFC3611" w14:textId="77777777" w:rsidTr="00C0074B">
        <w:tc>
          <w:tcPr>
            <w:cnfStyle w:val="001000000000" w:firstRow="0" w:lastRow="0" w:firstColumn="1" w:lastColumn="0" w:oddVBand="0" w:evenVBand="0" w:oddHBand="0" w:evenHBand="0" w:firstRowFirstColumn="0" w:firstRowLastColumn="0" w:lastRowFirstColumn="0" w:lastRowLastColumn="0"/>
            <w:tcW w:w="3227" w:type="dxa"/>
          </w:tcPr>
          <w:p w14:paraId="7006B2AF" w14:textId="77777777" w:rsidR="0062317D" w:rsidRPr="001E694D" w:rsidRDefault="001820E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C01E6B3" w14:textId="77777777" w:rsidR="0062317D" w:rsidRPr="001E694D" w:rsidRDefault="001820E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Eabrai Weston ACT</w:t>
            </w:r>
          </w:p>
        </w:tc>
      </w:tr>
      <w:tr w:rsidR="00C0074B" w14:paraId="7E0384B2"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9B3309A" w14:textId="77777777" w:rsidR="0062317D" w:rsidRPr="001E694D" w:rsidRDefault="001820E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A5C3254" w14:textId="77777777" w:rsidR="0062317D" w:rsidRPr="001E694D" w:rsidRDefault="001820E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2915</w:t>
            </w:r>
          </w:p>
        </w:tc>
      </w:tr>
      <w:tr w:rsidR="00C0074B" w14:paraId="60B3ACA6" w14:textId="77777777" w:rsidTr="00C0074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06AC1A" w14:textId="77777777" w:rsidR="0062317D" w:rsidRPr="001E694D" w:rsidRDefault="001820E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30562FF" w14:textId="77777777" w:rsidR="0062317D" w:rsidRPr="001E694D" w:rsidRDefault="001820E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 Namatjira</w:t>
            </w:r>
            <w:r w:rsidRPr="001E694D">
              <w:rPr>
                <w:rFonts w:ascii="Open Sans" w:eastAsia="Times New Roman" w:hAnsi="Open Sans" w:cs="Open Sans"/>
                <w:lang w:eastAsia="en-AU"/>
              </w:rPr>
              <w:t xml:space="preserve"> Drive, WESTON, Australian Capital Territory, 2611</w:t>
            </w:r>
          </w:p>
        </w:tc>
      </w:tr>
      <w:tr w:rsidR="00C0074B" w14:paraId="3111F5DD"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F3383D" w14:textId="77777777" w:rsidR="0062317D" w:rsidRPr="001E694D" w:rsidRDefault="001820E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8C1777D" w14:textId="77777777" w:rsidR="0062317D" w:rsidRPr="001E694D" w:rsidRDefault="001820E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0074B" w14:paraId="40E3FC88" w14:textId="77777777" w:rsidTr="00C0074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11F814" w14:textId="77777777" w:rsidR="0062317D" w:rsidRPr="001E694D" w:rsidRDefault="001820E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166D41B" w14:textId="77777777" w:rsidR="0062317D" w:rsidRPr="001E694D" w:rsidRDefault="001820E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26 November 2024 </w:t>
            </w:r>
            <w:r w:rsidRPr="001E694D">
              <w:rPr>
                <w:rFonts w:ascii="Open Sans" w:hAnsi="Open Sans" w:cs="Open Sans"/>
              </w:rPr>
              <w:t>to 28 November 2024</w:t>
            </w:r>
          </w:p>
        </w:tc>
      </w:tr>
      <w:tr w:rsidR="00C0074B" w14:paraId="441B6EF1"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55BB664" w14:textId="77777777" w:rsidR="0062317D" w:rsidRPr="001E694D" w:rsidRDefault="001820E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123898653"/>
            <w:placeholder>
              <w:docPart w:val="DefaultPlaceholder_-1854013437"/>
            </w:placeholder>
            <w:date w:fullDate="2025-02-03T00:00:00Z">
              <w:dateFormat w:val="d MMMM yyyy"/>
              <w:lid w:val="en-AU"/>
              <w:storeMappedDataAs w:val="dateTime"/>
              <w:calendar w:val="gregorian"/>
            </w:date>
          </w:sdtPr>
          <w:sdtEndPr/>
          <w:sdtContent>
            <w:tc>
              <w:tcPr>
                <w:tcW w:w="7114" w:type="dxa"/>
                <w:shd w:val="clear" w:color="auto" w:fill="FFFFFF" w:themeFill="background1"/>
              </w:tcPr>
              <w:p w14:paraId="2A70CAA9" w14:textId="79753AD8" w:rsidR="0062317D" w:rsidRPr="001E694D" w:rsidRDefault="0042557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February 2025</w:t>
                </w:r>
              </w:p>
            </w:tc>
          </w:sdtContent>
        </w:sdt>
      </w:tr>
      <w:tr w:rsidR="00C0074B" w14:paraId="4E308A63" w14:textId="77777777" w:rsidTr="00C0074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B7BDA35" w14:textId="77777777" w:rsidR="0062317D" w:rsidRPr="001E694D" w:rsidRDefault="001820E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96F081C" w14:textId="77777777" w:rsidR="0062317D" w:rsidRPr="001E694D" w:rsidRDefault="001820E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1352 The Uniting Church in Australia Property Trust (NSW) </w:t>
            </w:r>
          </w:p>
          <w:p w14:paraId="0396E089" w14:textId="77777777" w:rsidR="0062317D" w:rsidRPr="001E694D" w:rsidRDefault="001820E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1202 Uniting Eabrai Weston ACT</w:t>
            </w:r>
          </w:p>
        </w:tc>
      </w:tr>
    </w:tbl>
    <w:bookmarkEnd w:id="0"/>
    <w:p w14:paraId="3739CEA8" w14:textId="77777777" w:rsidR="0062317D" w:rsidRPr="001E694D" w:rsidRDefault="001820E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FB9E2F1" w14:textId="77777777" w:rsidR="0062317D" w:rsidRPr="003E162B" w:rsidRDefault="001820E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943FE35" w14:textId="77777777" w:rsidR="0062317D" w:rsidRPr="001E694D" w:rsidRDefault="001820E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Eabrai Weston ACT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Katrina Platt</w:t>
      </w:r>
      <w:r w:rsidRPr="00667E5F">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07C1C1C" w14:textId="77777777" w:rsidR="0062317D" w:rsidRPr="001E694D" w:rsidRDefault="001820E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44F2461" w14:textId="77777777" w:rsidR="0062317D" w:rsidRPr="001E694D" w:rsidRDefault="001820E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B337EA4" w14:textId="77777777" w:rsidR="0062317D" w:rsidRPr="003E162B" w:rsidRDefault="001820E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18E5EE1" w14:textId="77777777" w:rsidR="0062317D" w:rsidRPr="001E694D" w:rsidRDefault="001820E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DDA969C" w14:textId="6019FF84" w:rsidR="0062317D" w:rsidRPr="0077498B" w:rsidRDefault="001820E2" w:rsidP="0071275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w:t>
      </w:r>
      <w:r w:rsidRPr="0077498B">
        <w:rPr>
          <w:rFonts w:ascii="Open Sans" w:hAnsi="Open Sans" w:cs="Open Sans"/>
        </w:rPr>
        <w:t xml:space="preserve">assessment team’s report for the Site Audit report was informed by a site assessment, </w:t>
      </w:r>
      <w:r w:rsidRPr="0077498B">
        <w:rPr>
          <w:rFonts w:ascii="Open Sans" w:hAnsi="Open Sans" w:cs="Open Sans"/>
        </w:rPr>
        <w:t>observations at the service, review of documents and interviews with staff, older people/representatives and others</w:t>
      </w:r>
    </w:p>
    <w:p w14:paraId="55D0B357" w14:textId="20053DFD" w:rsidR="0062317D" w:rsidRPr="0077498B" w:rsidRDefault="001820E2" w:rsidP="00712752">
      <w:pPr>
        <w:pStyle w:val="ListParagraph"/>
        <w:numPr>
          <w:ilvl w:val="0"/>
          <w:numId w:val="2"/>
        </w:numPr>
        <w:spacing w:line="240" w:lineRule="atLeast"/>
        <w:ind w:left="714" w:hanging="357"/>
        <w:contextualSpacing w:val="0"/>
        <w:rPr>
          <w:rFonts w:ascii="Open Sans" w:hAnsi="Open Sans" w:cs="Open Sans"/>
        </w:rPr>
      </w:pPr>
      <w:r w:rsidRPr="0077498B">
        <w:rPr>
          <w:rFonts w:ascii="Open Sans" w:hAnsi="Open Sans" w:cs="Open Sans"/>
        </w:rPr>
        <w:t xml:space="preserve">the provider’s response to the assessment team’s report received </w:t>
      </w:r>
      <w:r w:rsidR="00296F8A" w:rsidRPr="0077498B">
        <w:rPr>
          <w:rFonts w:ascii="Open Sans" w:hAnsi="Open Sans" w:cs="Open Sans"/>
        </w:rPr>
        <w:t>on 10 January 2025.</w:t>
      </w:r>
    </w:p>
    <w:p w14:paraId="4FE3D970" w14:textId="062EAC01" w:rsidR="0062317D" w:rsidRPr="0077498B" w:rsidRDefault="001820E2" w:rsidP="00296F8A">
      <w:pPr>
        <w:spacing w:line="22" w:lineRule="atLeast"/>
        <w:ind w:left="357"/>
        <w:rPr>
          <w:rFonts w:ascii="Open Sans" w:hAnsi="Open Sans" w:cs="Open Sans"/>
        </w:rPr>
      </w:pPr>
      <w:r w:rsidRPr="0077498B">
        <w:rPr>
          <w:rFonts w:ascii="Open Sans" w:hAnsi="Open Sans" w:cs="Open Sans"/>
        </w:rPr>
        <w:br w:type="page"/>
      </w:r>
    </w:p>
    <w:p w14:paraId="73198935" w14:textId="77777777" w:rsidR="0062317D" w:rsidRPr="003E162B" w:rsidRDefault="001820E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1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2146"/>
      </w:tblGrid>
      <w:tr w:rsidR="00C0074B" w14:paraId="5DB2B8D4" w14:textId="77777777" w:rsidTr="00667E5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9" w:type="pct"/>
            <w:shd w:val="clear" w:color="auto" w:fill="auto"/>
          </w:tcPr>
          <w:p w14:paraId="35B1A932" w14:textId="77777777" w:rsidR="0062317D" w:rsidRPr="001E694D" w:rsidRDefault="001820E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41" w:type="pct"/>
            <w:shd w:val="clear" w:color="auto" w:fill="auto"/>
          </w:tcPr>
          <w:p w14:paraId="7BB4AF37" w14:textId="77777777" w:rsidR="0062317D" w:rsidRPr="001E694D" w:rsidRDefault="001820E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1660292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28800B67" w14:textId="77777777" w:rsidTr="00667E5F">
        <w:trPr>
          <w:trHeight w:val="227"/>
        </w:trPr>
        <w:tc>
          <w:tcPr>
            <w:cnfStyle w:val="001000000000" w:firstRow="0" w:lastRow="0" w:firstColumn="1" w:lastColumn="0" w:oddVBand="0" w:evenVBand="0" w:oddHBand="0" w:evenHBand="0" w:firstRowFirstColumn="0" w:firstRowLastColumn="0" w:lastRowFirstColumn="0" w:lastRowLastColumn="0"/>
            <w:tcW w:w="3859" w:type="pct"/>
            <w:shd w:val="clear" w:color="auto" w:fill="auto"/>
          </w:tcPr>
          <w:p w14:paraId="2C6993EE" w14:textId="77777777" w:rsidR="0062317D" w:rsidRPr="001E694D" w:rsidRDefault="001820E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41" w:type="pct"/>
            <w:shd w:val="clear" w:color="auto" w:fill="auto"/>
          </w:tcPr>
          <w:p w14:paraId="695CCF0D" w14:textId="77777777" w:rsidR="0062317D" w:rsidRPr="001E694D" w:rsidRDefault="001820E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3212968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0074B" w14:paraId="0D1F3974" w14:textId="77777777" w:rsidTr="00667E5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9" w:type="pct"/>
            <w:shd w:val="clear" w:color="auto" w:fill="auto"/>
          </w:tcPr>
          <w:p w14:paraId="5342348D" w14:textId="77777777" w:rsidR="0062317D" w:rsidRPr="001E694D" w:rsidRDefault="001820E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41" w:type="pct"/>
            <w:shd w:val="clear" w:color="auto" w:fill="auto"/>
          </w:tcPr>
          <w:p w14:paraId="2DE6DFAA" w14:textId="70347CE3" w:rsidR="0062317D" w:rsidRPr="001E694D" w:rsidRDefault="001820E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24787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03DFD">
                  <w:rPr>
                    <w:rFonts w:ascii="Open Sans" w:hAnsi="Open Sans" w:cs="Open Sans"/>
                    <w:b/>
                    <w:bCs/>
                  </w:rPr>
                  <w:t>Not Compliant</w:t>
                </w:r>
              </w:sdtContent>
            </w:sdt>
          </w:p>
        </w:tc>
      </w:tr>
      <w:tr w:rsidR="00C0074B" w14:paraId="1C9695B8" w14:textId="77777777" w:rsidTr="00667E5F">
        <w:trPr>
          <w:trHeight w:val="227"/>
        </w:trPr>
        <w:tc>
          <w:tcPr>
            <w:cnfStyle w:val="001000000000" w:firstRow="0" w:lastRow="0" w:firstColumn="1" w:lastColumn="0" w:oddVBand="0" w:evenVBand="0" w:oddHBand="0" w:evenHBand="0" w:firstRowFirstColumn="0" w:firstRowLastColumn="0" w:lastRowFirstColumn="0" w:lastRowLastColumn="0"/>
            <w:tcW w:w="3859" w:type="pct"/>
            <w:shd w:val="clear" w:color="auto" w:fill="auto"/>
          </w:tcPr>
          <w:p w14:paraId="01EBCF91" w14:textId="77777777" w:rsidR="0062317D" w:rsidRPr="001E694D" w:rsidRDefault="001820E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41" w:type="pct"/>
            <w:shd w:val="clear" w:color="auto" w:fill="auto"/>
          </w:tcPr>
          <w:p w14:paraId="4E869889" w14:textId="77777777" w:rsidR="0062317D" w:rsidRPr="001E694D" w:rsidRDefault="001820E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429530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0074B" w14:paraId="0BA4CD8A" w14:textId="77777777" w:rsidTr="00667E5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9" w:type="pct"/>
            <w:shd w:val="clear" w:color="auto" w:fill="auto"/>
          </w:tcPr>
          <w:p w14:paraId="57FA6512" w14:textId="77777777" w:rsidR="0062317D" w:rsidRPr="001E694D" w:rsidRDefault="001820E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41" w:type="pct"/>
            <w:shd w:val="clear" w:color="auto" w:fill="auto"/>
          </w:tcPr>
          <w:p w14:paraId="3C044A57" w14:textId="77777777" w:rsidR="0062317D" w:rsidRPr="001E694D" w:rsidRDefault="001820E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4106192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0074B" w14:paraId="43CDFCBA" w14:textId="77777777" w:rsidTr="00667E5F">
        <w:trPr>
          <w:trHeight w:val="227"/>
        </w:trPr>
        <w:tc>
          <w:tcPr>
            <w:cnfStyle w:val="001000000000" w:firstRow="0" w:lastRow="0" w:firstColumn="1" w:lastColumn="0" w:oddVBand="0" w:evenVBand="0" w:oddHBand="0" w:evenHBand="0" w:firstRowFirstColumn="0" w:firstRowLastColumn="0" w:lastRowFirstColumn="0" w:lastRowLastColumn="0"/>
            <w:tcW w:w="3859" w:type="pct"/>
            <w:shd w:val="clear" w:color="auto" w:fill="auto"/>
          </w:tcPr>
          <w:p w14:paraId="4C6DEA1E" w14:textId="77777777" w:rsidR="0062317D" w:rsidRPr="001E694D" w:rsidRDefault="001820E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41" w:type="pct"/>
            <w:shd w:val="clear" w:color="auto" w:fill="auto"/>
          </w:tcPr>
          <w:p w14:paraId="2FBB6993" w14:textId="77777777" w:rsidR="0062317D" w:rsidRPr="001E694D" w:rsidRDefault="001820E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305854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0074B" w14:paraId="08520110" w14:textId="77777777" w:rsidTr="00667E5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9" w:type="pct"/>
            <w:shd w:val="clear" w:color="auto" w:fill="auto"/>
          </w:tcPr>
          <w:p w14:paraId="50653A9E" w14:textId="77777777" w:rsidR="0062317D" w:rsidRPr="001E694D" w:rsidRDefault="001820E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41" w:type="pct"/>
            <w:shd w:val="clear" w:color="auto" w:fill="auto"/>
          </w:tcPr>
          <w:p w14:paraId="5686B170" w14:textId="77777777" w:rsidR="0062317D" w:rsidRPr="001E694D" w:rsidRDefault="001820E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814695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0074B" w14:paraId="46EEB0AF" w14:textId="77777777" w:rsidTr="00667E5F">
        <w:trPr>
          <w:trHeight w:val="227"/>
        </w:trPr>
        <w:tc>
          <w:tcPr>
            <w:cnfStyle w:val="001000000000" w:firstRow="0" w:lastRow="0" w:firstColumn="1" w:lastColumn="0" w:oddVBand="0" w:evenVBand="0" w:oddHBand="0" w:evenHBand="0" w:firstRowFirstColumn="0" w:firstRowLastColumn="0" w:lastRowFirstColumn="0" w:lastRowLastColumn="0"/>
            <w:tcW w:w="3859" w:type="pct"/>
            <w:shd w:val="clear" w:color="auto" w:fill="auto"/>
          </w:tcPr>
          <w:p w14:paraId="4CFF8174" w14:textId="77777777" w:rsidR="0062317D" w:rsidRPr="001E694D" w:rsidRDefault="001820E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41" w:type="pct"/>
            <w:shd w:val="clear" w:color="auto" w:fill="auto"/>
          </w:tcPr>
          <w:p w14:paraId="0116134A" w14:textId="1F9B0580" w:rsidR="0062317D" w:rsidRPr="001E694D" w:rsidRDefault="001820E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762727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D7682">
                  <w:rPr>
                    <w:rFonts w:ascii="Open Sans" w:hAnsi="Open Sans" w:cs="Open Sans"/>
                    <w:b/>
                    <w:bCs/>
                  </w:rPr>
                  <w:t>Not Compliant</w:t>
                </w:r>
              </w:sdtContent>
            </w:sdt>
          </w:p>
        </w:tc>
      </w:tr>
    </w:tbl>
    <w:p w14:paraId="4DFD0942" w14:textId="77777777" w:rsidR="0062317D" w:rsidRPr="001E694D" w:rsidRDefault="001820E2"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w:t>
      </w:r>
      <w:r w:rsidRPr="001E694D">
        <w:rPr>
          <w:rFonts w:ascii="Open Sans" w:hAnsi="Open Sans" w:cs="Open Sans"/>
        </w:rPr>
        <w:t>each assessed Standard.</w:t>
      </w:r>
    </w:p>
    <w:p w14:paraId="7F590C8D" w14:textId="77777777" w:rsidR="0062317D" w:rsidRPr="003E162B" w:rsidRDefault="001820E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06F104C" w14:textId="77777777" w:rsidR="0062317D" w:rsidRPr="001E694D" w:rsidRDefault="001820E2"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xml:space="preserve">. This is based on non-compliance with the Quality Standards as described in this </w:t>
      </w:r>
      <w:r w:rsidRPr="001E694D">
        <w:rPr>
          <w:rFonts w:ascii="Open Sans" w:hAnsi="Open Sans" w:cs="Open Sans"/>
        </w:rPr>
        <w:t>performance report.</w:t>
      </w:r>
    </w:p>
    <w:sdt>
      <w:sdtPr>
        <w:rPr>
          <w:rFonts w:ascii="Open Sans" w:hAnsi="Open Sans" w:cs="Open Sans"/>
          <w:color w:val="auto"/>
        </w:rPr>
        <w:alias w:val="Insert comments here"/>
        <w:tag w:val="Insert comments here"/>
        <w:id w:val="812351940"/>
        <w:placeholder>
          <w:docPart w:val="31A6E85FD01B4416BCA5D6257A7AFB1E"/>
        </w:placeholder>
      </w:sdtPr>
      <w:sdtEndPr/>
      <w:sdtContent>
        <w:p w14:paraId="30FC4254" w14:textId="6D693AB0" w:rsidR="006D7682" w:rsidRDefault="009020E6" w:rsidP="00712752">
          <w:pPr>
            <w:pStyle w:val="ListBullet"/>
            <w:spacing w:before="0" w:after="120" w:line="22" w:lineRule="atLeast"/>
            <w:ind w:left="425" w:hanging="425"/>
            <w:rPr>
              <w:rFonts w:ascii="Open Sans" w:hAnsi="Open Sans" w:cs="Open Sans"/>
              <w:color w:val="auto"/>
            </w:rPr>
          </w:pPr>
          <w:r w:rsidRPr="006D7682">
            <w:rPr>
              <w:rFonts w:ascii="Open Sans" w:hAnsi="Open Sans" w:cs="Open Sans"/>
              <w:color w:val="auto"/>
            </w:rPr>
            <w:t>Requirement 3(3)(b) – the approved provider ensures that high-impact high-prevalence risks are managed in accordance</w:t>
          </w:r>
          <w:r w:rsidR="006D7682" w:rsidRPr="006D7682">
            <w:rPr>
              <w:rFonts w:ascii="Open Sans" w:hAnsi="Open Sans" w:cs="Open Sans"/>
              <w:color w:val="auto"/>
            </w:rPr>
            <w:t xml:space="preserve"> with the Quality Standards and other legislation including the </w:t>
          </w:r>
          <w:proofErr w:type="gramStart"/>
          <w:r w:rsidR="006D7682" w:rsidRPr="00425572">
            <w:rPr>
              <w:rFonts w:ascii="Open Sans" w:hAnsi="Open Sans" w:cs="Open Sans"/>
              <w:i/>
              <w:iCs/>
              <w:color w:val="auto"/>
            </w:rPr>
            <w:t>Quality of Care</w:t>
          </w:r>
          <w:proofErr w:type="gramEnd"/>
          <w:r w:rsidR="006D7682" w:rsidRPr="00425572">
            <w:rPr>
              <w:rFonts w:ascii="Open Sans" w:hAnsi="Open Sans" w:cs="Open Sans"/>
              <w:i/>
              <w:iCs/>
              <w:color w:val="auto"/>
            </w:rPr>
            <w:t xml:space="preserve"> Principles</w:t>
          </w:r>
          <w:r w:rsidR="00425572" w:rsidRPr="00425572">
            <w:rPr>
              <w:rFonts w:ascii="Open Sans" w:hAnsi="Open Sans" w:cs="Open Sans"/>
              <w:i/>
              <w:iCs/>
              <w:color w:val="auto"/>
            </w:rPr>
            <w:t xml:space="preserve"> 2014</w:t>
          </w:r>
          <w:r w:rsidR="00425572">
            <w:rPr>
              <w:rFonts w:ascii="Open Sans" w:hAnsi="Open Sans" w:cs="Open Sans"/>
              <w:color w:val="auto"/>
            </w:rPr>
            <w:t xml:space="preserve"> (Cth)</w:t>
          </w:r>
          <w:r w:rsidR="006D7682" w:rsidRPr="006D7682">
            <w:rPr>
              <w:rFonts w:ascii="Open Sans" w:hAnsi="Open Sans" w:cs="Open Sans"/>
              <w:color w:val="auto"/>
            </w:rPr>
            <w:t xml:space="preserve">. This includes for restrictive practices, which include comprehensive and individualised assessment to ensure the use of any restrictive practice is used as a measure of last resort to prevent harm to consumers or others, and to the extent possible, that best practice alternative strategies are used before the use of a restrictive practice. </w:t>
          </w:r>
        </w:p>
        <w:p w14:paraId="5FD10654" w14:textId="3451A37C" w:rsidR="0062317D" w:rsidRPr="006D7682" w:rsidRDefault="006D7682" w:rsidP="00712752">
          <w:pPr>
            <w:pStyle w:val="ListBullet"/>
            <w:spacing w:before="0" w:after="120" w:line="22" w:lineRule="atLeast"/>
            <w:ind w:left="425" w:hanging="425"/>
            <w:rPr>
              <w:rFonts w:ascii="Open Sans" w:hAnsi="Open Sans" w:cs="Open Sans"/>
              <w:color w:val="auto"/>
            </w:rPr>
          </w:pPr>
          <w:r>
            <w:rPr>
              <w:rFonts w:ascii="Open Sans" w:hAnsi="Open Sans" w:cs="Open Sans"/>
              <w:color w:val="auto"/>
            </w:rPr>
            <w:t xml:space="preserve">Requirement 8(3)(c) – the approved provider ensures </w:t>
          </w:r>
          <w:r w:rsidR="00425572">
            <w:rPr>
              <w:rFonts w:ascii="Open Sans" w:hAnsi="Open Sans" w:cs="Open Sans"/>
              <w:color w:val="auto"/>
            </w:rPr>
            <w:t xml:space="preserve">an effective governance framework is in place for the purposes of regulatory compliance, particularly for the management of restrictive practices in accordance with the </w:t>
          </w:r>
          <w:proofErr w:type="gramStart"/>
          <w:r w:rsidR="00425572" w:rsidRPr="00425572">
            <w:rPr>
              <w:rFonts w:ascii="Open Sans" w:hAnsi="Open Sans" w:cs="Open Sans"/>
              <w:i/>
              <w:iCs/>
              <w:color w:val="auto"/>
            </w:rPr>
            <w:t>Quality of Care</w:t>
          </w:r>
          <w:proofErr w:type="gramEnd"/>
          <w:r w:rsidR="00425572" w:rsidRPr="00425572">
            <w:rPr>
              <w:rFonts w:ascii="Open Sans" w:hAnsi="Open Sans" w:cs="Open Sans"/>
              <w:i/>
              <w:iCs/>
              <w:color w:val="auto"/>
            </w:rPr>
            <w:t xml:space="preserve"> Principles 2014</w:t>
          </w:r>
          <w:r w:rsidR="00425572">
            <w:rPr>
              <w:rFonts w:ascii="Open Sans" w:hAnsi="Open Sans" w:cs="Open Sans"/>
              <w:color w:val="auto"/>
            </w:rPr>
            <w:t xml:space="preserve"> (Cth).</w:t>
          </w:r>
        </w:p>
      </w:sdtContent>
    </w:sdt>
    <w:p w14:paraId="4391B78E" w14:textId="22B8D7B5" w:rsidR="0062317D" w:rsidRPr="001E694D" w:rsidRDefault="001820E2" w:rsidP="0036130C">
      <w:pPr>
        <w:pStyle w:val="NormalArial"/>
        <w:rPr>
          <w:rFonts w:ascii="Open Sans" w:hAnsi="Open Sans" w:cs="Open Sans"/>
        </w:rPr>
      </w:pPr>
      <w:r w:rsidRPr="001E694D">
        <w:rPr>
          <w:rFonts w:ascii="Open Sans" w:hAnsi="Open Sans" w:cs="Open Sans"/>
        </w:rPr>
        <w:br w:type="page"/>
      </w:r>
    </w:p>
    <w:p w14:paraId="483B93BC" w14:textId="77777777" w:rsidR="0062317D" w:rsidRPr="001E694D" w:rsidRDefault="0018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0074B" w14:paraId="5CCF1A35" w14:textId="77777777" w:rsidTr="00C00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09F6246" w14:textId="77777777" w:rsidR="0062317D" w:rsidRPr="001E694D" w:rsidRDefault="001820E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D89DC23" w14:textId="77777777" w:rsidR="0062317D" w:rsidRPr="001E694D" w:rsidRDefault="006231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74B" w14:paraId="547F4A44"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2D47E3" w14:textId="77777777" w:rsidR="0062317D" w:rsidRPr="001E694D" w:rsidRDefault="001820E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42B80C5" w14:textId="77777777" w:rsidR="0062317D" w:rsidRPr="001E694D" w:rsidRDefault="001820E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3F7CCFA" w14:textId="77777777" w:rsidR="0062317D" w:rsidRPr="001E694D" w:rsidRDefault="001820E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359259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4051DD4D"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50FC6E"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7F0C6C0"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B0595D5"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52559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7A14FBB3"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A3B368"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6266DDA"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B513290" w14:textId="77777777" w:rsidR="0062317D" w:rsidRPr="001E694D" w:rsidRDefault="001820E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50DAD82" w14:textId="77777777" w:rsidR="0062317D" w:rsidRPr="001E694D" w:rsidRDefault="001820E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8C61CFC" w14:textId="77777777" w:rsidR="0062317D" w:rsidRPr="001E694D" w:rsidRDefault="001820E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352B157" w14:textId="77777777" w:rsidR="0062317D" w:rsidRPr="001E694D" w:rsidRDefault="001820E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669F627"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454893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43043383"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090874"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F95F885"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live the best life </w:t>
            </w:r>
            <w:r w:rsidRPr="001E694D">
              <w:rPr>
                <w:rFonts w:ascii="Open Sans" w:hAnsi="Open Sans" w:cs="Open Sans"/>
              </w:rPr>
              <w:t>they can.</w:t>
            </w:r>
          </w:p>
        </w:tc>
        <w:tc>
          <w:tcPr>
            <w:tcW w:w="1977" w:type="dxa"/>
            <w:shd w:val="clear" w:color="auto" w:fill="auto"/>
          </w:tcPr>
          <w:p w14:paraId="376BF0DE" w14:textId="77777777" w:rsidR="0062317D" w:rsidRPr="001E694D" w:rsidRDefault="001820E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366270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065DD0EA"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3911A4"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F668D62" w14:textId="77777777" w:rsidR="0062317D" w:rsidRPr="001E694D" w:rsidRDefault="001820E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6C4AA30B"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116388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6317C205"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24547B"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4C9EAB9"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w:t>
            </w:r>
            <w:r w:rsidRPr="001E694D">
              <w:rPr>
                <w:rFonts w:ascii="Open Sans" w:hAnsi="Open Sans" w:cs="Open Sans"/>
              </w:rPr>
              <w:t xml:space="preserve">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513E6E3C"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158430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17B2BEF" w14:textId="77777777" w:rsidR="0062317D" w:rsidRPr="003E162B" w:rsidRDefault="001820E2" w:rsidP="001A5684">
      <w:pPr>
        <w:pStyle w:val="Heading20"/>
        <w:rPr>
          <w:rFonts w:ascii="Open Sans" w:hAnsi="Open Sans" w:cs="Open Sans"/>
          <w:color w:val="781E77"/>
        </w:rPr>
      </w:pPr>
      <w:r w:rsidRPr="003E162B">
        <w:rPr>
          <w:rFonts w:ascii="Open Sans" w:hAnsi="Open Sans" w:cs="Open Sans"/>
          <w:color w:val="781E77"/>
        </w:rPr>
        <w:t>Findings</w:t>
      </w:r>
    </w:p>
    <w:p w14:paraId="5BC97B9E" w14:textId="782131D8" w:rsidR="00A97E8F" w:rsidRDefault="00A97E8F" w:rsidP="0036130C">
      <w:pPr>
        <w:pStyle w:val="NormalArial"/>
        <w:rPr>
          <w:rFonts w:ascii="Open Sans" w:hAnsi="Open Sans" w:cs="Open Sans"/>
        </w:rPr>
      </w:pPr>
      <w:r>
        <w:rPr>
          <w:rFonts w:ascii="Open Sans" w:hAnsi="Open Sans" w:cs="Open Sans"/>
        </w:rPr>
        <w:t>This Quality Standard is Compliant as 6 of the 6 Requirements have been assessed as Compliant.</w:t>
      </w:r>
    </w:p>
    <w:p w14:paraId="0D513BCE" w14:textId="5966E76F" w:rsidR="0062317D" w:rsidRPr="001E694D" w:rsidRDefault="00CA715C" w:rsidP="0036130C">
      <w:pPr>
        <w:pStyle w:val="NormalArial"/>
        <w:rPr>
          <w:rFonts w:ascii="Open Sans" w:hAnsi="Open Sans" w:cs="Open Sans"/>
        </w:rPr>
      </w:pPr>
      <w:r>
        <w:rPr>
          <w:rFonts w:ascii="Open Sans" w:hAnsi="Open Sans" w:cs="Open Sans"/>
        </w:rPr>
        <w:t>C</w:t>
      </w:r>
      <w:r w:rsidR="00AC7111">
        <w:rPr>
          <w:rFonts w:ascii="Open Sans" w:hAnsi="Open Sans" w:cs="Open Sans"/>
        </w:rPr>
        <w:t>onsumer representatives</w:t>
      </w:r>
      <w:r w:rsidR="008017A2">
        <w:rPr>
          <w:rFonts w:ascii="Open Sans" w:hAnsi="Open Sans" w:cs="Open Sans"/>
        </w:rPr>
        <w:t xml:space="preserve"> </w:t>
      </w:r>
      <w:r>
        <w:rPr>
          <w:rFonts w:ascii="Open Sans" w:hAnsi="Open Sans" w:cs="Open Sans"/>
        </w:rPr>
        <w:t xml:space="preserve">said their consumers were treated with dignity and respect. Staff discussed </w:t>
      </w:r>
      <w:r w:rsidR="00110FFE">
        <w:rPr>
          <w:rFonts w:ascii="Open Sans" w:hAnsi="Open Sans" w:cs="Open Sans"/>
        </w:rPr>
        <w:t>getting to know consumers and using consumer life story knowledge to build rapport and connection with individual consumers. Management advised that all care and services were provided in accordance with the Charter of Aged Care rights and Code of Conduct for Aged Care.</w:t>
      </w:r>
      <w:r w:rsidR="00110FFE" w:rsidRPr="00110FFE">
        <w:rPr>
          <w:rFonts w:ascii="Open Sans" w:hAnsi="Open Sans" w:cs="Open Sans"/>
        </w:rPr>
        <w:t xml:space="preserve"> </w:t>
      </w:r>
      <w:r w:rsidR="00110FFE">
        <w:rPr>
          <w:rFonts w:ascii="Open Sans" w:hAnsi="Open Sans" w:cs="Open Sans"/>
        </w:rPr>
        <w:t xml:space="preserve">Policies </w:t>
      </w:r>
      <w:r w:rsidR="00110FFE">
        <w:rPr>
          <w:rFonts w:ascii="Open Sans" w:hAnsi="Open Sans" w:cs="Open Sans"/>
        </w:rPr>
        <w:lastRenderedPageBreak/>
        <w:t>for diversity and inclusion and education on culture and dignity supported staff practice and a consumer-focused approach.</w:t>
      </w:r>
    </w:p>
    <w:p w14:paraId="0DD6BDB5" w14:textId="485D7530" w:rsidR="00042C03" w:rsidRDefault="00110FFE" w:rsidP="0036130C">
      <w:pPr>
        <w:pStyle w:val="NormalArial"/>
        <w:rPr>
          <w:rFonts w:ascii="Open Sans" w:hAnsi="Open Sans" w:cs="Open Sans"/>
        </w:rPr>
      </w:pPr>
      <w:r>
        <w:rPr>
          <w:rFonts w:ascii="Open Sans" w:hAnsi="Open Sans" w:cs="Open Sans"/>
        </w:rPr>
        <w:t>Consumer representatives confirmed care and services delivery reflected consumer cultural backgrounds. Staff demonstrated awareness of consumer preferences and cultural needs</w:t>
      </w:r>
      <w:r w:rsidR="00042C03">
        <w:rPr>
          <w:rFonts w:ascii="Open Sans" w:hAnsi="Open Sans" w:cs="Open Sans"/>
        </w:rPr>
        <w:t>, with several cultural backgrounds identified and celebrated. Care and service documentation evidenced social and cultural preferences, routines and practices, and observations confirmed engagement with consumers about important cultural events and relationships.</w:t>
      </w:r>
    </w:p>
    <w:p w14:paraId="54F72C4F" w14:textId="24405A46" w:rsidR="00042C03" w:rsidRDefault="009646AA" w:rsidP="0036130C">
      <w:pPr>
        <w:pStyle w:val="NormalArial"/>
        <w:rPr>
          <w:rFonts w:ascii="Open Sans" w:hAnsi="Open Sans" w:cs="Open Sans"/>
        </w:rPr>
      </w:pPr>
      <w:r>
        <w:rPr>
          <w:rFonts w:ascii="Open Sans" w:hAnsi="Open Sans" w:cs="Open Sans"/>
        </w:rPr>
        <w:t xml:space="preserve">Consumer representatives </w:t>
      </w:r>
      <w:r w:rsidR="00B818A4">
        <w:rPr>
          <w:rFonts w:ascii="Open Sans" w:hAnsi="Open Sans" w:cs="Open Sans"/>
        </w:rPr>
        <w:t xml:space="preserve">consistently </w:t>
      </w:r>
      <w:r>
        <w:rPr>
          <w:rFonts w:ascii="Open Sans" w:hAnsi="Open Sans" w:cs="Open Sans"/>
        </w:rPr>
        <w:t xml:space="preserve">confirmed they were supported to undertake decision-making which reflected the best interests of consumers. </w:t>
      </w:r>
      <w:r w:rsidR="00B818A4">
        <w:rPr>
          <w:rFonts w:ascii="Open Sans" w:hAnsi="Open Sans" w:cs="Open Sans"/>
        </w:rPr>
        <w:t xml:space="preserve">Staff discussed the importance of </w:t>
      </w:r>
      <w:r w:rsidR="0095458B">
        <w:rPr>
          <w:rFonts w:ascii="Open Sans" w:hAnsi="Open Sans" w:cs="Open Sans"/>
        </w:rPr>
        <w:t xml:space="preserve">understanding </w:t>
      </w:r>
      <w:r w:rsidR="00B818A4">
        <w:rPr>
          <w:rFonts w:ascii="Open Sans" w:hAnsi="Open Sans" w:cs="Open Sans"/>
        </w:rPr>
        <w:t xml:space="preserve">consumer relationships and </w:t>
      </w:r>
      <w:r w:rsidR="0095458B">
        <w:rPr>
          <w:rFonts w:ascii="Open Sans" w:hAnsi="Open Sans" w:cs="Open Sans"/>
        </w:rPr>
        <w:t xml:space="preserve">support provided to consumers to facilitate decision-making where possible. </w:t>
      </w:r>
      <w:r w:rsidR="006C1A3C">
        <w:rPr>
          <w:rFonts w:ascii="Open Sans" w:hAnsi="Open Sans" w:cs="Open Sans"/>
        </w:rPr>
        <w:t xml:space="preserve">Management confirmed staff training in person-centred practice was undertaken and consumer choice </w:t>
      </w:r>
      <w:r w:rsidR="0022623A">
        <w:rPr>
          <w:rFonts w:ascii="Open Sans" w:hAnsi="Open Sans" w:cs="Open Sans"/>
        </w:rPr>
        <w:t xml:space="preserve">was evidenced for </w:t>
      </w:r>
      <w:r w:rsidR="006C1A3C">
        <w:rPr>
          <w:rFonts w:ascii="Open Sans" w:hAnsi="Open Sans" w:cs="Open Sans"/>
        </w:rPr>
        <w:t>medical officers and pharmacy.</w:t>
      </w:r>
    </w:p>
    <w:p w14:paraId="1C53AFB2" w14:textId="0027CF35" w:rsidR="00114A18" w:rsidRDefault="00427C09" w:rsidP="0036130C">
      <w:pPr>
        <w:pStyle w:val="NormalArial"/>
        <w:rPr>
          <w:rFonts w:ascii="Open Sans" w:hAnsi="Open Sans" w:cs="Open Sans"/>
        </w:rPr>
      </w:pPr>
      <w:r>
        <w:rPr>
          <w:rFonts w:ascii="Open Sans" w:hAnsi="Open Sans" w:cs="Open Sans"/>
        </w:rPr>
        <w:t>Consumer</w:t>
      </w:r>
      <w:r w:rsidR="00114A18">
        <w:rPr>
          <w:rFonts w:ascii="Open Sans" w:hAnsi="Open Sans" w:cs="Open Sans"/>
        </w:rPr>
        <w:t xml:space="preserve">s were supported to </w:t>
      </w:r>
      <w:r w:rsidR="007E0E83">
        <w:rPr>
          <w:rFonts w:ascii="Open Sans" w:hAnsi="Open Sans" w:cs="Open Sans"/>
        </w:rPr>
        <w:t xml:space="preserve">take risks and appropriate risk assessments were completed. </w:t>
      </w:r>
      <w:r w:rsidR="00114A18">
        <w:rPr>
          <w:rFonts w:ascii="Open Sans" w:hAnsi="Open Sans" w:cs="Open Sans"/>
        </w:rPr>
        <w:t xml:space="preserve">Management discussed balancing risk taking and appropriate safety measures </w:t>
      </w:r>
      <w:r w:rsidR="007E0E83">
        <w:rPr>
          <w:rFonts w:ascii="Open Sans" w:hAnsi="Open Sans" w:cs="Open Sans"/>
        </w:rPr>
        <w:t>to ensure</w:t>
      </w:r>
      <w:r w:rsidR="00114A18">
        <w:rPr>
          <w:rFonts w:ascii="Open Sans" w:hAnsi="Open Sans" w:cs="Open Sans"/>
        </w:rPr>
        <w:t xml:space="preserve"> consumers</w:t>
      </w:r>
      <w:r w:rsidR="007E0E83">
        <w:rPr>
          <w:rFonts w:ascii="Open Sans" w:hAnsi="Open Sans" w:cs="Open Sans"/>
        </w:rPr>
        <w:t xml:space="preserve"> were supported to undertake risks which were tailored to their individual needs and preferences and were consistent with the risk-taking policy.</w:t>
      </w:r>
    </w:p>
    <w:p w14:paraId="7C09B5D3" w14:textId="3271BC3A" w:rsidR="00BC68A0" w:rsidRDefault="007E0E83" w:rsidP="0036130C">
      <w:pPr>
        <w:pStyle w:val="NormalArial"/>
        <w:rPr>
          <w:rFonts w:ascii="Open Sans" w:hAnsi="Open Sans" w:cs="Open Sans"/>
        </w:rPr>
      </w:pPr>
      <w:r>
        <w:rPr>
          <w:rFonts w:ascii="Open Sans" w:hAnsi="Open Sans" w:cs="Open Sans"/>
        </w:rPr>
        <w:t xml:space="preserve">Consumer representatives </w:t>
      </w:r>
      <w:r w:rsidR="008017A2">
        <w:rPr>
          <w:rFonts w:ascii="Open Sans" w:hAnsi="Open Sans" w:cs="Open Sans"/>
        </w:rPr>
        <w:t xml:space="preserve">and appointed guardians </w:t>
      </w:r>
      <w:r w:rsidR="00175359">
        <w:rPr>
          <w:rFonts w:ascii="Open Sans" w:hAnsi="Open Sans" w:cs="Open Sans"/>
        </w:rPr>
        <w:t>confirmed they received sufficient information to make informed decisions and consumer choices</w:t>
      </w:r>
      <w:r w:rsidR="00D2148E">
        <w:rPr>
          <w:rFonts w:ascii="Open Sans" w:hAnsi="Open Sans" w:cs="Open Sans"/>
        </w:rPr>
        <w:t xml:space="preserve">, which included regular newsletters, meeting minutes, email communications, menus and activities calendars. Brochures for interpreter services, dementia specialists and external complaint services were observed. Management discussed monthly consumer representative </w:t>
      </w:r>
      <w:proofErr w:type="gramStart"/>
      <w:r w:rsidR="00D2148E">
        <w:rPr>
          <w:rFonts w:ascii="Open Sans" w:hAnsi="Open Sans" w:cs="Open Sans"/>
        </w:rPr>
        <w:t>meetings</w:t>
      </w:r>
      <w:proofErr w:type="gramEnd"/>
      <w:r w:rsidR="00D2148E">
        <w:rPr>
          <w:rFonts w:ascii="Open Sans" w:hAnsi="Open Sans" w:cs="Open Sans"/>
        </w:rPr>
        <w:t xml:space="preserve"> and </w:t>
      </w:r>
      <w:r w:rsidR="00BC68A0">
        <w:rPr>
          <w:rFonts w:ascii="Open Sans" w:hAnsi="Open Sans" w:cs="Open Sans"/>
        </w:rPr>
        <w:t xml:space="preserve">the monthly </w:t>
      </w:r>
      <w:r w:rsidR="00D2148E">
        <w:rPr>
          <w:rFonts w:ascii="Open Sans" w:hAnsi="Open Sans" w:cs="Open Sans"/>
        </w:rPr>
        <w:t>newsletters were detailed and</w:t>
      </w:r>
      <w:r w:rsidR="00BC68A0">
        <w:rPr>
          <w:rFonts w:ascii="Open Sans" w:hAnsi="Open Sans" w:cs="Open Sans"/>
        </w:rPr>
        <w:t xml:space="preserve"> informative.</w:t>
      </w:r>
    </w:p>
    <w:p w14:paraId="72D637FB" w14:textId="6D22F95A" w:rsidR="007E0E83" w:rsidRDefault="00BC68A0" w:rsidP="0036130C">
      <w:pPr>
        <w:pStyle w:val="NormalArial"/>
        <w:rPr>
          <w:rFonts w:ascii="Open Sans" w:hAnsi="Open Sans" w:cs="Open Sans"/>
        </w:rPr>
      </w:pPr>
      <w:r>
        <w:rPr>
          <w:rFonts w:ascii="Open Sans" w:hAnsi="Open Sans" w:cs="Open Sans"/>
        </w:rPr>
        <w:t xml:space="preserve">Consumer representatives </w:t>
      </w:r>
      <w:proofErr w:type="gramStart"/>
      <w:r>
        <w:rPr>
          <w:rFonts w:ascii="Open Sans" w:hAnsi="Open Sans" w:cs="Open Sans"/>
        </w:rPr>
        <w:t>were</w:t>
      </w:r>
      <w:proofErr w:type="gramEnd"/>
      <w:r>
        <w:rPr>
          <w:rFonts w:ascii="Open Sans" w:hAnsi="Open Sans" w:cs="Open Sans"/>
        </w:rPr>
        <w:t xml:space="preserve"> confident consumer information was kept confidential and consumer privacy was respected. Staff described ways they respected consumer privacy, which included knocking prior to entering a consumer’s room, providing personal and clinical care with consumer agreement and supporting consumers with their individual priva</w:t>
      </w:r>
      <w:r w:rsidR="002C7750">
        <w:rPr>
          <w:rFonts w:ascii="Open Sans" w:hAnsi="Open Sans" w:cs="Open Sans"/>
        </w:rPr>
        <w:t>cy</w:t>
      </w:r>
      <w:r>
        <w:rPr>
          <w:rFonts w:ascii="Open Sans" w:hAnsi="Open Sans" w:cs="Open Sans"/>
        </w:rPr>
        <w:t xml:space="preserve"> needs. </w:t>
      </w:r>
      <w:r w:rsidR="00A359B5">
        <w:rPr>
          <w:rFonts w:ascii="Open Sans" w:hAnsi="Open Sans" w:cs="Open Sans"/>
        </w:rPr>
        <w:t>Consumer medical information was protected</w:t>
      </w:r>
      <w:r w:rsidR="002C7750">
        <w:rPr>
          <w:rFonts w:ascii="Open Sans" w:hAnsi="Open Sans" w:cs="Open Sans"/>
        </w:rPr>
        <w:t xml:space="preserve">, </w:t>
      </w:r>
      <w:r w:rsidR="00A359B5">
        <w:rPr>
          <w:rFonts w:ascii="Open Sans" w:hAnsi="Open Sans" w:cs="Open Sans"/>
        </w:rPr>
        <w:t>stored and archived in accordance with privacy legislation.</w:t>
      </w:r>
    </w:p>
    <w:p w14:paraId="0070085C" w14:textId="5D2FCCF5" w:rsidR="0062317D" w:rsidRPr="001E694D" w:rsidRDefault="001820E2" w:rsidP="0036130C">
      <w:pPr>
        <w:pStyle w:val="NormalArial"/>
        <w:rPr>
          <w:rFonts w:ascii="Open Sans" w:hAnsi="Open Sans" w:cs="Open Sans"/>
        </w:rPr>
      </w:pPr>
      <w:r w:rsidRPr="001E694D">
        <w:rPr>
          <w:rFonts w:ascii="Open Sans" w:hAnsi="Open Sans" w:cs="Open Sans"/>
        </w:rPr>
        <w:br w:type="page"/>
      </w:r>
    </w:p>
    <w:p w14:paraId="64FD5F93" w14:textId="77777777" w:rsidR="0062317D" w:rsidRPr="001E694D" w:rsidRDefault="0018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0074B" w14:paraId="4F1371E9" w14:textId="77777777" w:rsidTr="00C00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7488668" w14:textId="77777777" w:rsidR="0062317D" w:rsidRPr="001E694D" w:rsidRDefault="001820E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45940AF" w14:textId="77777777" w:rsidR="0062317D" w:rsidRPr="001E694D" w:rsidRDefault="006231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74B" w14:paraId="11A1756C" w14:textId="77777777" w:rsidTr="00C0074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805C68B"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09EA699"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16A2F32"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956614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0FBD61F4"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A226535"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4918C35"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w:t>
            </w:r>
            <w:r w:rsidRPr="001E694D">
              <w:rPr>
                <w:rFonts w:ascii="Open Sans" w:hAnsi="Open Sans" w:cs="Open Sans"/>
              </w:rPr>
              <w:t>consumer’s current needs, goals and preferences, including advance care planning and end of life planning if the consumer wishes.</w:t>
            </w:r>
          </w:p>
        </w:tc>
        <w:tc>
          <w:tcPr>
            <w:tcW w:w="970" w:type="pct"/>
            <w:shd w:val="clear" w:color="auto" w:fill="auto"/>
          </w:tcPr>
          <w:p w14:paraId="2EBC7ABD"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590951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36BA67E6" w14:textId="77777777" w:rsidTr="00C0074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639771"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AB5C708"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AA156DA" w14:textId="77777777" w:rsidR="0062317D" w:rsidRPr="001E694D" w:rsidRDefault="001820E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ongoing </w:t>
            </w:r>
            <w:r w:rsidRPr="001E694D">
              <w:rPr>
                <w:rFonts w:ascii="Open Sans" w:hAnsi="Open Sans" w:cs="Open Sans"/>
              </w:rPr>
              <w:t>partnership with the consumer and others that the consumer wishes to involve in assessment, planning and review of the consumer’s care and services; and</w:t>
            </w:r>
          </w:p>
          <w:p w14:paraId="6A8D8D9C" w14:textId="77777777" w:rsidR="0062317D" w:rsidRPr="001E694D" w:rsidRDefault="001820E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37E7E26"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4255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75043612"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830B235"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F3151F3"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221C80B" w14:textId="77777777" w:rsidR="0062317D" w:rsidRPr="001E694D" w:rsidRDefault="001820E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244049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35DFC685" w14:textId="77777777" w:rsidTr="00C0074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D9B35D8"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66D6921"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E66B94F"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512912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4CFA658" w14:textId="77777777" w:rsidR="0062317D" w:rsidRPr="003E162B" w:rsidRDefault="001820E2" w:rsidP="00D87E7C">
      <w:pPr>
        <w:pStyle w:val="Heading20"/>
        <w:rPr>
          <w:rFonts w:ascii="Open Sans" w:hAnsi="Open Sans" w:cs="Open Sans"/>
          <w:color w:val="781E77"/>
        </w:rPr>
      </w:pPr>
      <w:r w:rsidRPr="003E162B">
        <w:rPr>
          <w:rFonts w:ascii="Open Sans" w:hAnsi="Open Sans" w:cs="Open Sans"/>
          <w:color w:val="781E77"/>
        </w:rPr>
        <w:t>Findings</w:t>
      </w:r>
    </w:p>
    <w:p w14:paraId="001DD952" w14:textId="5369CA97" w:rsidR="00A97E8F" w:rsidRDefault="00A97E8F" w:rsidP="00A97E8F">
      <w:pPr>
        <w:pStyle w:val="NormalArial"/>
        <w:rPr>
          <w:rFonts w:ascii="Open Sans" w:hAnsi="Open Sans" w:cs="Open Sans"/>
        </w:rPr>
      </w:pPr>
      <w:r>
        <w:rPr>
          <w:rFonts w:ascii="Open Sans" w:hAnsi="Open Sans" w:cs="Open Sans"/>
        </w:rPr>
        <w:t>This Quality Standard is Compliant as 5 of the 5 Requirements have been assessed as Compliant.</w:t>
      </w:r>
    </w:p>
    <w:p w14:paraId="0D2D697F" w14:textId="7D9E9877" w:rsidR="0062317D" w:rsidRDefault="002C7750" w:rsidP="0036130C">
      <w:pPr>
        <w:pStyle w:val="NormalArial"/>
        <w:rPr>
          <w:rFonts w:ascii="Open Sans" w:hAnsi="Open Sans" w:cs="Open Sans"/>
        </w:rPr>
      </w:pPr>
      <w:r>
        <w:rPr>
          <w:rFonts w:ascii="Open Sans" w:hAnsi="Open Sans" w:cs="Open Sans"/>
        </w:rPr>
        <w:t>Consumer representatives indicated they were regularly consulted during the assessment and care planning process</w:t>
      </w:r>
      <w:r w:rsidR="005166BF">
        <w:rPr>
          <w:rFonts w:ascii="Open Sans" w:hAnsi="Open Sans" w:cs="Open Sans"/>
        </w:rPr>
        <w:t xml:space="preserve"> through in-person conferences and telephone discussions</w:t>
      </w:r>
      <w:r>
        <w:rPr>
          <w:rFonts w:ascii="Open Sans" w:hAnsi="Open Sans" w:cs="Open Sans"/>
        </w:rPr>
        <w:t xml:space="preserve">. Staff described and demonstrated the assessment and planning process and discussed information considered including hospital </w:t>
      </w:r>
      <w:r>
        <w:rPr>
          <w:rFonts w:ascii="Open Sans" w:hAnsi="Open Sans" w:cs="Open Sans"/>
        </w:rPr>
        <w:lastRenderedPageBreak/>
        <w:t xml:space="preserve">discharge summaries, and information provided by medical officers and other health providers. Care and service documentation </w:t>
      </w:r>
      <w:r w:rsidR="005166BF">
        <w:rPr>
          <w:rFonts w:ascii="Open Sans" w:hAnsi="Open Sans" w:cs="Open Sans"/>
        </w:rPr>
        <w:t xml:space="preserve">evidenced individualised consumer management plans which included risks </w:t>
      </w:r>
      <w:r w:rsidR="005A60D8">
        <w:rPr>
          <w:rFonts w:ascii="Open Sans" w:hAnsi="Open Sans" w:cs="Open Sans"/>
        </w:rPr>
        <w:t>related to</w:t>
      </w:r>
      <w:r w:rsidR="005166BF">
        <w:rPr>
          <w:rFonts w:ascii="Open Sans" w:hAnsi="Open Sans" w:cs="Open Sans"/>
        </w:rPr>
        <w:t xml:space="preserve"> falls, pain, behaviours, swallowing, mobility and cognition and mental health. </w:t>
      </w:r>
    </w:p>
    <w:p w14:paraId="6A7AD5C6" w14:textId="476189F4" w:rsidR="005166BF" w:rsidRDefault="005166BF" w:rsidP="0036130C">
      <w:pPr>
        <w:pStyle w:val="NormalArial"/>
        <w:rPr>
          <w:rFonts w:ascii="Open Sans" w:hAnsi="Open Sans" w:cs="Open Sans"/>
        </w:rPr>
      </w:pPr>
      <w:r>
        <w:rPr>
          <w:rFonts w:ascii="Open Sans" w:hAnsi="Open Sans" w:cs="Open Sans"/>
        </w:rPr>
        <w:t xml:space="preserve">Consumer representatives confirmed they participated in </w:t>
      </w:r>
      <w:proofErr w:type="gramStart"/>
      <w:r>
        <w:rPr>
          <w:rFonts w:ascii="Open Sans" w:hAnsi="Open Sans" w:cs="Open Sans"/>
        </w:rPr>
        <w:t>end of life</w:t>
      </w:r>
      <w:proofErr w:type="gramEnd"/>
      <w:r>
        <w:rPr>
          <w:rFonts w:ascii="Open Sans" w:hAnsi="Open Sans" w:cs="Open Sans"/>
        </w:rPr>
        <w:t xml:space="preserve"> discussions during care conferences. Staff were knowledgeable about consumer needs, goals and preferences and care plans were used to capture and review consumer care needs. Care and service documentation confirmed end of life wishes were </w:t>
      </w:r>
      <w:r w:rsidR="005A60D8">
        <w:rPr>
          <w:rFonts w:ascii="Open Sans" w:hAnsi="Open Sans" w:cs="Open Sans"/>
        </w:rPr>
        <w:t xml:space="preserve">considered and included individualised </w:t>
      </w:r>
      <w:r>
        <w:rPr>
          <w:rFonts w:ascii="Open Sans" w:hAnsi="Open Sans" w:cs="Open Sans"/>
        </w:rPr>
        <w:t>comfort measures.</w:t>
      </w:r>
    </w:p>
    <w:p w14:paraId="12875FFD" w14:textId="484C1394" w:rsidR="005166BF" w:rsidRPr="001E694D" w:rsidRDefault="005166BF" w:rsidP="0036130C">
      <w:pPr>
        <w:pStyle w:val="NormalArial"/>
        <w:rPr>
          <w:rFonts w:ascii="Open Sans" w:hAnsi="Open Sans" w:cs="Open Sans"/>
        </w:rPr>
      </w:pPr>
      <w:r>
        <w:rPr>
          <w:rFonts w:ascii="Open Sans" w:hAnsi="Open Sans" w:cs="Open Sans"/>
        </w:rPr>
        <w:t>Consumer representatives</w:t>
      </w:r>
      <w:r w:rsidR="008017A2">
        <w:rPr>
          <w:rFonts w:ascii="Open Sans" w:hAnsi="Open Sans" w:cs="Open Sans"/>
        </w:rPr>
        <w:t xml:space="preserve"> </w:t>
      </w:r>
      <w:r w:rsidR="002A2801">
        <w:rPr>
          <w:rFonts w:ascii="Open Sans" w:hAnsi="Open Sans" w:cs="Open Sans"/>
        </w:rPr>
        <w:t xml:space="preserve">were consulted and provided input to assessment, planning and review of consumer care and services. Staff discussed care conferences </w:t>
      </w:r>
      <w:r w:rsidR="008017A2">
        <w:rPr>
          <w:rFonts w:ascii="Open Sans" w:hAnsi="Open Sans" w:cs="Open Sans"/>
        </w:rPr>
        <w:t xml:space="preserve">which were conducted for consumer changes, or when requested by consumer representatives. Care and service documentation </w:t>
      </w:r>
      <w:r w:rsidR="00C11F08">
        <w:rPr>
          <w:rFonts w:ascii="Open Sans" w:hAnsi="Open Sans" w:cs="Open Sans"/>
        </w:rPr>
        <w:t xml:space="preserve">evidenced regular care conferences </w:t>
      </w:r>
      <w:r w:rsidR="005A60D8">
        <w:rPr>
          <w:rFonts w:ascii="Open Sans" w:hAnsi="Open Sans" w:cs="Open Sans"/>
        </w:rPr>
        <w:t>that</w:t>
      </w:r>
      <w:r w:rsidR="00C11F08">
        <w:rPr>
          <w:rFonts w:ascii="Open Sans" w:hAnsi="Open Sans" w:cs="Open Sans"/>
        </w:rPr>
        <w:t xml:space="preserve"> </w:t>
      </w:r>
      <w:r w:rsidR="005A60D8">
        <w:rPr>
          <w:rFonts w:ascii="Open Sans" w:hAnsi="Open Sans" w:cs="Open Sans"/>
        </w:rPr>
        <w:t>engaged</w:t>
      </w:r>
      <w:r w:rsidR="00C11F08">
        <w:rPr>
          <w:rFonts w:ascii="Open Sans" w:hAnsi="Open Sans" w:cs="Open Sans"/>
        </w:rPr>
        <w:t xml:space="preserve"> </w:t>
      </w:r>
      <w:r w:rsidR="000C4E00">
        <w:rPr>
          <w:rFonts w:ascii="Open Sans" w:hAnsi="Open Sans" w:cs="Open Sans"/>
        </w:rPr>
        <w:t xml:space="preserve">important supports including </w:t>
      </w:r>
      <w:r w:rsidR="00C11F08">
        <w:rPr>
          <w:rFonts w:ascii="Open Sans" w:hAnsi="Open Sans" w:cs="Open Sans"/>
        </w:rPr>
        <w:t>consumer representatives, geriatricians, medical officers and physiotherapists.</w:t>
      </w:r>
    </w:p>
    <w:p w14:paraId="2C301918" w14:textId="3C4FB90C" w:rsidR="00280430" w:rsidRDefault="00C11F08" w:rsidP="0036130C">
      <w:pPr>
        <w:pStyle w:val="NormalArial"/>
        <w:rPr>
          <w:rFonts w:ascii="Open Sans" w:hAnsi="Open Sans" w:cs="Open Sans"/>
        </w:rPr>
      </w:pPr>
      <w:r>
        <w:rPr>
          <w:rFonts w:ascii="Open Sans" w:hAnsi="Open Sans" w:cs="Open Sans"/>
        </w:rPr>
        <w:t xml:space="preserve">Consumer representatives confirmed that assessment and planning outcomes were communicated through various </w:t>
      </w:r>
      <w:r w:rsidR="00280430">
        <w:rPr>
          <w:rFonts w:ascii="Open Sans" w:hAnsi="Open Sans" w:cs="Open Sans"/>
        </w:rPr>
        <w:t>mechanisms</w:t>
      </w:r>
      <w:r>
        <w:rPr>
          <w:rFonts w:ascii="Open Sans" w:hAnsi="Open Sans" w:cs="Open Sans"/>
        </w:rPr>
        <w:t xml:space="preserve"> including email</w:t>
      </w:r>
      <w:r w:rsidR="00280430">
        <w:rPr>
          <w:rFonts w:ascii="Open Sans" w:hAnsi="Open Sans" w:cs="Open Sans"/>
        </w:rPr>
        <w:t xml:space="preserve"> correspondence, in-person discussions</w:t>
      </w:r>
      <w:r w:rsidR="00AD3BD1">
        <w:rPr>
          <w:rFonts w:ascii="Open Sans" w:hAnsi="Open Sans" w:cs="Open Sans"/>
        </w:rPr>
        <w:t xml:space="preserve">, </w:t>
      </w:r>
      <w:r w:rsidR="00280430">
        <w:rPr>
          <w:rFonts w:ascii="Open Sans" w:hAnsi="Open Sans" w:cs="Open Sans"/>
        </w:rPr>
        <w:t xml:space="preserve">care conferences and telephone calls. Care and service documentation indicated that assessment and planning outcomes were entered into consumer care plans and care </w:t>
      </w:r>
      <w:r w:rsidR="00AD3BD1">
        <w:rPr>
          <w:rFonts w:ascii="Open Sans" w:hAnsi="Open Sans" w:cs="Open Sans"/>
        </w:rPr>
        <w:t>plans were readily available to consumer representatives and appointed guardians</w:t>
      </w:r>
      <w:r w:rsidR="00280430">
        <w:rPr>
          <w:rFonts w:ascii="Open Sans" w:hAnsi="Open Sans" w:cs="Open Sans"/>
        </w:rPr>
        <w:t>.</w:t>
      </w:r>
    </w:p>
    <w:p w14:paraId="20C19164" w14:textId="170C5BF4" w:rsidR="00AD3BD1" w:rsidRDefault="00AD3BD1" w:rsidP="0036130C">
      <w:pPr>
        <w:pStyle w:val="NormalArial"/>
        <w:rPr>
          <w:rFonts w:ascii="Open Sans" w:hAnsi="Open Sans" w:cs="Open Sans"/>
        </w:rPr>
      </w:pPr>
      <w:r>
        <w:rPr>
          <w:rFonts w:ascii="Open Sans" w:hAnsi="Open Sans" w:cs="Open Sans"/>
        </w:rPr>
        <w:t xml:space="preserve">Comprehensive reviews were conducted when consumer circumstances changed and incidents impacted consumer needs and preferences, which was consistent with consumer representative feedback. Staff described </w:t>
      </w:r>
      <w:r w:rsidR="00C55040">
        <w:rPr>
          <w:rFonts w:ascii="Open Sans" w:hAnsi="Open Sans" w:cs="Open Sans"/>
        </w:rPr>
        <w:t xml:space="preserve">the regular </w:t>
      </w:r>
      <w:r>
        <w:rPr>
          <w:rFonts w:ascii="Open Sans" w:hAnsi="Open Sans" w:cs="Open Sans"/>
        </w:rPr>
        <w:t xml:space="preserve">review processes and </w:t>
      </w:r>
      <w:proofErr w:type="gramStart"/>
      <w:r>
        <w:rPr>
          <w:rFonts w:ascii="Open Sans" w:hAnsi="Open Sans" w:cs="Open Sans"/>
        </w:rPr>
        <w:t>care</w:t>
      </w:r>
      <w:proofErr w:type="gramEnd"/>
      <w:r>
        <w:rPr>
          <w:rFonts w:ascii="Open Sans" w:hAnsi="Open Sans" w:cs="Open Sans"/>
        </w:rPr>
        <w:t xml:space="preserve"> and service documentation </w:t>
      </w:r>
      <w:r w:rsidR="00C55040">
        <w:rPr>
          <w:rFonts w:ascii="Open Sans" w:hAnsi="Open Sans" w:cs="Open Sans"/>
        </w:rPr>
        <w:t>contained</w:t>
      </w:r>
      <w:r>
        <w:rPr>
          <w:rFonts w:ascii="Open Sans" w:hAnsi="Open Sans" w:cs="Open Sans"/>
        </w:rPr>
        <w:t xml:space="preserve"> </w:t>
      </w:r>
      <w:r w:rsidR="005A60D8">
        <w:rPr>
          <w:rFonts w:ascii="Open Sans" w:hAnsi="Open Sans" w:cs="Open Sans"/>
        </w:rPr>
        <w:t xml:space="preserve">regularly </w:t>
      </w:r>
      <w:r w:rsidR="00C55040">
        <w:rPr>
          <w:rFonts w:ascii="Open Sans" w:hAnsi="Open Sans" w:cs="Open Sans"/>
        </w:rPr>
        <w:t>reviewed</w:t>
      </w:r>
      <w:r>
        <w:rPr>
          <w:rFonts w:ascii="Open Sans" w:hAnsi="Open Sans" w:cs="Open Sans"/>
        </w:rPr>
        <w:t xml:space="preserve"> care and service plans</w:t>
      </w:r>
      <w:r w:rsidR="005A60D8">
        <w:rPr>
          <w:rFonts w:ascii="Open Sans" w:hAnsi="Open Sans" w:cs="Open Sans"/>
        </w:rPr>
        <w:t xml:space="preserve">, which included </w:t>
      </w:r>
      <w:r w:rsidR="000C4E00">
        <w:rPr>
          <w:rFonts w:ascii="Open Sans" w:hAnsi="Open Sans" w:cs="Open Sans"/>
        </w:rPr>
        <w:t>review</w:t>
      </w:r>
      <w:r w:rsidR="005A60D8">
        <w:rPr>
          <w:rFonts w:ascii="Open Sans" w:hAnsi="Open Sans" w:cs="Open Sans"/>
        </w:rPr>
        <w:t xml:space="preserve"> </w:t>
      </w:r>
      <w:r>
        <w:rPr>
          <w:rFonts w:ascii="Open Sans" w:hAnsi="Open Sans" w:cs="Open Sans"/>
        </w:rPr>
        <w:t>following falls</w:t>
      </w:r>
      <w:r w:rsidR="005A60D8">
        <w:rPr>
          <w:rFonts w:ascii="Open Sans" w:hAnsi="Open Sans" w:cs="Open Sans"/>
        </w:rPr>
        <w:t xml:space="preserve"> incidents</w:t>
      </w:r>
      <w:r>
        <w:rPr>
          <w:rFonts w:ascii="Open Sans" w:hAnsi="Open Sans" w:cs="Open Sans"/>
        </w:rPr>
        <w:t>.</w:t>
      </w:r>
    </w:p>
    <w:p w14:paraId="2234D35A" w14:textId="5C651053" w:rsidR="0062317D" w:rsidRPr="001E694D" w:rsidRDefault="001820E2" w:rsidP="0036130C">
      <w:pPr>
        <w:pStyle w:val="NormalArial"/>
        <w:rPr>
          <w:rFonts w:ascii="Open Sans" w:hAnsi="Open Sans" w:cs="Open Sans"/>
        </w:rPr>
      </w:pPr>
      <w:r w:rsidRPr="001E694D">
        <w:rPr>
          <w:rFonts w:ascii="Open Sans" w:hAnsi="Open Sans" w:cs="Open Sans"/>
        </w:rPr>
        <w:br w:type="page"/>
      </w:r>
    </w:p>
    <w:p w14:paraId="5F9CEF99" w14:textId="77777777" w:rsidR="0062317D" w:rsidRPr="001E694D" w:rsidRDefault="0018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94"/>
        <w:gridCol w:w="1951"/>
      </w:tblGrid>
      <w:tr w:rsidR="00C0074B" w14:paraId="58C9F18F" w14:textId="77777777" w:rsidTr="00A81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22A09A80" w14:textId="77777777" w:rsidR="0062317D" w:rsidRPr="001E694D" w:rsidRDefault="001820E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51" w:type="dxa"/>
            <w:shd w:val="clear" w:color="auto" w:fill="781E77"/>
          </w:tcPr>
          <w:p w14:paraId="0653D2C8" w14:textId="77777777" w:rsidR="0062317D" w:rsidRPr="001E694D" w:rsidRDefault="006231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74B" w14:paraId="15B9A7E3" w14:textId="77777777" w:rsidTr="00A8191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44EFE9"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2DB4AC3D"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w:t>
            </w:r>
            <w:r w:rsidRPr="001E694D">
              <w:rPr>
                <w:rFonts w:ascii="Open Sans" w:hAnsi="Open Sans" w:cs="Open Sans"/>
              </w:rPr>
              <w:t>consumer gets safe and effective personal care, clinical care, or both personal care and clinical care, that:</w:t>
            </w:r>
          </w:p>
          <w:p w14:paraId="07407DE6" w14:textId="77777777" w:rsidR="0062317D" w:rsidRPr="001E694D" w:rsidRDefault="001820E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02A9CF2" w14:textId="77777777" w:rsidR="0062317D" w:rsidRPr="001E694D" w:rsidRDefault="001820E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DD3D931" w14:textId="77777777" w:rsidR="0062317D" w:rsidRPr="001E694D" w:rsidRDefault="001820E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51" w:type="dxa"/>
            <w:shd w:val="clear" w:color="auto" w:fill="auto"/>
          </w:tcPr>
          <w:p w14:paraId="133FE826" w14:textId="7E4B16CF"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092099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C2A91">
                  <w:rPr>
                    <w:rFonts w:ascii="Open Sans" w:hAnsi="Open Sans" w:cs="Open Sans"/>
                    <w:color w:val="auto"/>
                  </w:rPr>
                  <w:t>Compliant</w:t>
                </w:r>
              </w:sdtContent>
            </w:sdt>
          </w:p>
        </w:tc>
      </w:tr>
      <w:tr w:rsidR="00C0074B" w14:paraId="41662BE9" w14:textId="77777777" w:rsidTr="00A81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6A7E25"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2675FA47"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51" w:type="dxa"/>
            <w:shd w:val="clear" w:color="auto" w:fill="auto"/>
          </w:tcPr>
          <w:p w14:paraId="170F4F69" w14:textId="4A4E84F5"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885328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03DFD">
                  <w:rPr>
                    <w:rFonts w:ascii="Open Sans" w:hAnsi="Open Sans" w:cs="Open Sans"/>
                    <w:color w:val="auto"/>
                  </w:rPr>
                  <w:t>Not Compliant</w:t>
                </w:r>
              </w:sdtContent>
            </w:sdt>
          </w:p>
        </w:tc>
      </w:tr>
      <w:tr w:rsidR="00C0074B" w14:paraId="5DECDD43" w14:textId="77777777" w:rsidTr="00A8191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AF6F67" w14:textId="77777777" w:rsidR="0062317D" w:rsidRPr="001E694D" w:rsidRDefault="001820E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694" w:type="dxa"/>
            <w:shd w:val="clear" w:color="auto" w:fill="auto"/>
          </w:tcPr>
          <w:p w14:paraId="70516927" w14:textId="77777777" w:rsidR="0062317D" w:rsidRPr="001E694D" w:rsidRDefault="001820E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w:t>
            </w:r>
            <w:r w:rsidRPr="001E694D">
              <w:rPr>
                <w:rFonts w:ascii="Open Sans" w:hAnsi="Open Sans" w:cs="Open Sans"/>
              </w:rPr>
              <w:t>their dignity preserved.</w:t>
            </w:r>
          </w:p>
        </w:tc>
        <w:tc>
          <w:tcPr>
            <w:tcW w:w="1951" w:type="dxa"/>
            <w:shd w:val="clear" w:color="auto" w:fill="auto"/>
          </w:tcPr>
          <w:p w14:paraId="7E3BF9D8" w14:textId="311BC72F"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565268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94BCC">
                  <w:rPr>
                    <w:rFonts w:ascii="Open Sans" w:hAnsi="Open Sans" w:cs="Open Sans"/>
                    <w:color w:val="auto"/>
                  </w:rPr>
                  <w:t>Compliant</w:t>
                </w:r>
              </w:sdtContent>
            </w:sdt>
          </w:p>
        </w:tc>
      </w:tr>
      <w:tr w:rsidR="00C0074B" w14:paraId="570F518E" w14:textId="77777777" w:rsidTr="00A81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F12EAD"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59988CCC"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51" w:type="dxa"/>
            <w:shd w:val="clear" w:color="auto" w:fill="auto"/>
          </w:tcPr>
          <w:p w14:paraId="4C5E41CE" w14:textId="57591912" w:rsidR="0062317D" w:rsidRPr="001E694D" w:rsidRDefault="001820E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84050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C233E">
                  <w:rPr>
                    <w:rFonts w:ascii="Open Sans" w:hAnsi="Open Sans" w:cs="Open Sans"/>
                    <w:color w:val="auto"/>
                  </w:rPr>
                  <w:t>Compliant</w:t>
                </w:r>
              </w:sdtContent>
            </w:sdt>
          </w:p>
        </w:tc>
      </w:tr>
      <w:tr w:rsidR="00C0074B" w14:paraId="36E3ADA5" w14:textId="77777777" w:rsidTr="00A8191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B886A3"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 xml:space="preserve">Requirement </w:t>
            </w:r>
            <w:r w:rsidRPr="001E694D">
              <w:rPr>
                <w:rFonts w:ascii="Open Sans" w:hAnsi="Open Sans" w:cs="Open Sans"/>
              </w:rPr>
              <w:t>3(3)(e)</w:t>
            </w:r>
          </w:p>
        </w:tc>
        <w:tc>
          <w:tcPr>
            <w:tcW w:w="5694" w:type="dxa"/>
            <w:shd w:val="clear" w:color="auto" w:fill="auto"/>
          </w:tcPr>
          <w:p w14:paraId="1F11CAB9"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51" w:type="dxa"/>
            <w:shd w:val="clear" w:color="auto" w:fill="auto"/>
          </w:tcPr>
          <w:p w14:paraId="089AD4D5" w14:textId="0C280703"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497561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410B8">
                  <w:rPr>
                    <w:rFonts w:ascii="Open Sans" w:hAnsi="Open Sans" w:cs="Open Sans"/>
                    <w:color w:val="auto"/>
                  </w:rPr>
                  <w:t>Compliant</w:t>
                </w:r>
              </w:sdtContent>
            </w:sdt>
          </w:p>
        </w:tc>
      </w:tr>
      <w:tr w:rsidR="00C0074B" w14:paraId="120B85A1" w14:textId="77777777" w:rsidTr="00A81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896A9B"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3(3)(f)</w:t>
            </w:r>
          </w:p>
        </w:tc>
        <w:tc>
          <w:tcPr>
            <w:tcW w:w="5694" w:type="dxa"/>
            <w:shd w:val="clear" w:color="auto" w:fill="auto"/>
          </w:tcPr>
          <w:p w14:paraId="4DCBAA14"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Timely and appropriate </w:t>
            </w:r>
            <w:r w:rsidRPr="001E694D">
              <w:rPr>
                <w:rFonts w:ascii="Open Sans" w:hAnsi="Open Sans" w:cs="Open Sans"/>
              </w:rPr>
              <w:t>referrals to individuals, other organisations and providers of other care and services.</w:t>
            </w:r>
          </w:p>
        </w:tc>
        <w:tc>
          <w:tcPr>
            <w:tcW w:w="1951" w:type="dxa"/>
            <w:shd w:val="clear" w:color="auto" w:fill="auto"/>
          </w:tcPr>
          <w:p w14:paraId="19489F14" w14:textId="57E0DE3F"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004476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751EE">
                  <w:rPr>
                    <w:rFonts w:ascii="Open Sans" w:hAnsi="Open Sans" w:cs="Open Sans"/>
                    <w:color w:val="auto"/>
                  </w:rPr>
                  <w:t>Compliant</w:t>
                </w:r>
              </w:sdtContent>
            </w:sdt>
          </w:p>
        </w:tc>
      </w:tr>
      <w:tr w:rsidR="00C0074B" w14:paraId="3F81088C" w14:textId="77777777" w:rsidTr="00A8191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123047"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3(3)(g)</w:t>
            </w:r>
          </w:p>
        </w:tc>
        <w:tc>
          <w:tcPr>
            <w:tcW w:w="5694" w:type="dxa"/>
            <w:shd w:val="clear" w:color="auto" w:fill="auto"/>
          </w:tcPr>
          <w:p w14:paraId="57D2F5DF"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32F634C" w14:textId="77777777" w:rsidR="0062317D" w:rsidRPr="001E694D" w:rsidRDefault="001820E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w:t>
            </w:r>
            <w:r w:rsidRPr="001E694D">
              <w:rPr>
                <w:rFonts w:ascii="Open Sans" w:hAnsi="Open Sans" w:cs="Open Sans"/>
              </w:rPr>
              <w:t>infection; and</w:t>
            </w:r>
          </w:p>
          <w:p w14:paraId="5C013B0A" w14:textId="77777777" w:rsidR="0062317D" w:rsidRPr="001E694D" w:rsidRDefault="001820E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51" w:type="dxa"/>
            <w:shd w:val="clear" w:color="auto" w:fill="auto"/>
          </w:tcPr>
          <w:p w14:paraId="3642E612" w14:textId="03D4F553"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810355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751EE">
                  <w:rPr>
                    <w:rFonts w:ascii="Open Sans" w:hAnsi="Open Sans" w:cs="Open Sans"/>
                    <w:color w:val="auto"/>
                  </w:rPr>
                  <w:t>Compliant</w:t>
                </w:r>
              </w:sdtContent>
            </w:sdt>
          </w:p>
        </w:tc>
      </w:tr>
    </w:tbl>
    <w:p w14:paraId="5431ABB0" w14:textId="77777777" w:rsidR="0062317D" w:rsidRPr="003E162B" w:rsidRDefault="001820E2"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8F5F0D2" w14:textId="77777777" w:rsidR="006D7682" w:rsidRPr="00603DFD" w:rsidRDefault="00A02F85" w:rsidP="006D7682">
      <w:pPr>
        <w:pStyle w:val="NormalArial"/>
        <w:rPr>
          <w:rFonts w:ascii="Open Sans" w:hAnsi="Open Sans" w:cs="Open Sans"/>
          <w:color w:val="auto"/>
        </w:rPr>
      </w:pPr>
      <w:r w:rsidRPr="00603DFD">
        <w:rPr>
          <w:rFonts w:ascii="Open Sans" w:hAnsi="Open Sans" w:cs="Open Sans"/>
          <w:color w:val="auto"/>
        </w:rPr>
        <w:t xml:space="preserve">This Quality Standard </w:t>
      </w:r>
      <w:bookmarkStart w:id="1" w:name="_Hlk188269911"/>
      <w:r w:rsidR="006D7682" w:rsidRPr="00603DFD">
        <w:rPr>
          <w:rFonts w:ascii="Open Sans" w:hAnsi="Open Sans" w:cs="Open Sans"/>
          <w:color w:val="auto"/>
        </w:rPr>
        <w:t>has been assessed as Not Compliant as</w:t>
      </w:r>
      <w:r w:rsidR="006D7682">
        <w:rPr>
          <w:rFonts w:ascii="Open Sans" w:hAnsi="Open Sans" w:cs="Open Sans"/>
          <w:color w:val="auto"/>
        </w:rPr>
        <w:t xml:space="preserve"> I am satisfied that </w:t>
      </w:r>
      <w:r w:rsidR="006D7682" w:rsidRPr="00603DFD">
        <w:rPr>
          <w:rFonts w:ascii="Open Sans" w:hAnsi="Open Sans" w:cs="Open Sans"/>
          <w:color w:val="auto"/>
        </w:rPr>
        <w:t xml:space="preserve">Requirement 3(3)(b) is </w:t>
      </w:r>
      <w:r w:rsidR="006D7682">
        <w:rPr>
          <w:rFonts w:ascii="Open Sans" w:hAnsi="Open Sans" w:cs="Open Sans"/>
          <w:color w:val="auto"/>
        </w:rPr>
        <w:t>N</w:t>
      </w:r>
      <w:r w:rsidR="006D7682" w:rsidRPr="00603DFD">
        <w:rPr>
          <w:rFonts w:ascii="Open Sans" w:hAnsi="Open Sans" w:cs="Open Sans"/>
          <w:color w:val="auto"/>
        </w:rPr>
        <w:t xml:space="preserve">ot Compliant. </w:t>
      </w:r>
    </w:p>
    <w:p w14:paraId="5788C37F" w14:textId="7E24784F" w:rsidR="0053315A" w:rsidRPr="00957487" w:rsidRDefault="0053315A" w:rsidP="0036130C">
      <w:pPr>
        <w:pStyle w:val="NormalArial"/>
        <w:rPr>
          <w:rFonts w:ascii="Open Sans" w:hAnsi="Open Sans" w:cs="Open Sans"/>
          <w:color w:val="auto"/>
        </w:rPr>
      </w:pPr>
      <w:r w:rsidRPr="00957487">
        <w:rPr>
          <w:rFonts w:ascii="Open Sans" w:hAnsi="Open Sans" w:cs="Open Sans"/>
          <w:color w:val="auto"/>
        </w:rPr>
        <w:t>For high-impact and high-prevalence risks, consumers experiencing falls were managed with best practice incident assessment</w:t>
      </w:r>
      <w:r w:rsidR="00260DC8" w:rsidRPr="00957487">
        <w:rPr>
          <w:rFonts w:ascii="Open Sans" w:hAnsi="Open Sans" w:cs="Open Sans"/>
          <w:color w:val="auto"/>
        </w:rPr>
        <w:t>s</w:t>
      </w:r>
      <w:r w:rsidRPr="00957487">
        <w:rPr>
          <w:rFonts w:ascii="Open Sans" w:hAnsi="Open Sans" w:cs="Open Sans"/>
          <w:color w:val="auto"/>
        </w:rPr>
        <w:t xml:space="preserve"> which included post fall assessments for injury, pain, vital signs and neurological observations, and referrals to medical officers, physiotherapy and hospital if required. Staff were familiar with generalised strategies for falls mitigation including appropriate footwear, use of mobility aids and obstacle and clutter removal.</w:t>
      </w:r>
    </w:p>
    <w:p w14:paraId="771A965C" w14:textId="77777777" w:rsidR="00413E8E" w:rsidRPr="001D61AE" w:rsidRDefault="00413E8E" w:rsidP="00413E8E">
      <w:pPr>
        <w:pStyle w:val="NormalArial"/>
        <w:rPr>
          <w:rFonts w:ascii="Open Sans" w:hAnsi="Open Sans" w:cs="Open Sans"/>
          <w:color w:val="auto"/>
        </w:rPr>
      </w:pPr>
      <w:bookmarkStart w:id="2" w:name="_Hlk188270576"/>
      <w:bookmarkStart w:id="3" w:name="_Hlk188270609"/>
      <w:bookmarkEnd w:id="1"/>
      <w:r w:rsidRPr="001D61AE">
        <w:rPr>
          <w:rFonts w:ascii="Open Sans" w:hAnsi="Open Sans" w:cs="Open Sans"/>
          <w:color w:val="auto"/>
        </w:rPr>
        <w:t xml:space="preserve">Behaviour support plans detailed consumer behaviours, behaviour triggers and individualised consumer non-pharmacological strategies for staff guidance and implementation, which included pain and infection reviews, reminiscing and garden walks. However, one of the </w:t>
      </w:r>
      <w:r>
        <w:rPr>
          <w:rFonts w:ascii="Open Sans" w:hAnsi="Open Sans" w:cs="Open Sans"/>
          <w:color w:val="auto"/>
        </w:rPr>
        <w:t>observed</w:t>
      </w:r>
      <w:r w:rsidRPr="001D61AE">
        <w:rPr>
          <w:rFonts w:ascii="Open Sans" w:hAnsi="Open Sans" w:cs="Open Sans"/>
          <w:color w:val="auto"/>
        </w:rPr>
        <w:t xml:space="preserve"> de-escalation strategies was used as a restrictive practice which was </w:t>
      </w:r>
      <w:r>
        <w:rPr>
          <w:rFonts w:ascii="Open Sans" w:hAnsi="Open Sans" w:cs="Open Sans"/>
          <w:color w:val="auto"/>
        </w:rPr>
        <w:t>not in accordance with</w:t>
      </w:r>
      <w:r w:rsidRPr="001D61AE">
        <w:rPr>
          <w:rFonts w:ascii="Open Sans" w:hAnsi="Open Sans" w:cs="Open Sans"/>
          <w:color w:val="auto"/>
        </w:rPr>
        <w:t xml:space="preserve"> the </w:t>
      </w:r>
      <w:proofErr w:type="gramStart"/>
      <w:r w:rsidRPr="001D61AE">
        <w:rPr>
          <w:rFonts w:ascii="Open Sans" w:hAnsi="Open Sans" w:cs="Open Sans"/>
          <w:i/>
          <w:iCs/>
          <w:color w:val="auto"/>
        </w:rPr>
        <w:t>Quality of Care</w:t>
      </w:r>
      <w:proofErr w:type="gramEnd"/>
      <w:r w:rsidRPr="001D61AE">
        <w:rPr>
          <w:rFonts w:ascii="Open Sans" w:hAnsi="Open Sans" w:cs="Open Sans"/>
          <w:i/>
          <w:iCs/>
          <w:color w:val="auto"/>
        </w:rPr>
        <w:t xml:space="preserve"> Principles 2014</w:t>
      </w:r>
      <w:r w:rsidRPr="001D61AE">
        <w:rPr>
          <w:rFonts w:ascii="Open Sans" w:hAnsi="Open Sans" w:cs="Open Sans"/>
          <w:color w:val="auto"/>
        </w:rPr>
        <w:t xml:space="preserve"> (Cth) (</w:t>
      </w:r>
      <w:r>
        <w:rPr>
          <w:rFonts w:ascii="Open Sans" w:hAnsi="Open Sans" w:cs="Open Sans"/>
          <w:color w:val="auto"/>
        </w:rPr>
        <w:t>‘</w:t>
      </w:r>
      <w:r w:rsidRPr="001D61AE">
        <w:rPr>
          <w:rFonts w:ascii="Open Sans" w:hAnsi="Open Sans" w:cs="Open Sans"/>
          <w:color w:val="auto"/>
        </w:rPr>
        <w:t>Quality of Care Principles</w:t>
      </w:r>
      <w:r>
        <w:rPr>
          <w:rFonts w:ascii="Open Sans" w:hAnsi="Open Sans" w:cs="Open Sans"/>
          <w:color w:val="auto"/>
        </w:rPr>
        <w:t>’</w:t>
      </w:r>
      <w:r w:rsidRPr="001D61AE">
        <w:rPr>
          <w:rFonts w:ascii="Open Sans" w:hAnsi="Open Sans" w:cs="Open Sans"/>
          <w:color w:val="auto"/>
        </w:rPr>
        <w:t>)</w:t>
      </w:r>
      <w:r>
        <w:rPr>
          <w:rFonts w:ascii="Open Sans" w:hAnsi="Open Sans" w:cs="Open Sans"/>
          <w:color w:val="auto"/>
        </w:rPr>
        <w:t xml:space="preserve">. Use of the de-escalation strategy </w:t>
      </w:r>
      <w:r w:rsidRPr="001D61AE">
        <w:rPr>
          <w:rFonts w:ascii="Open Sans" w:hAnsi="Open Sans" w:cs="Open Sans"/>
          <w:color w:val="auto"/>
        </w:rPr>
        <w:t xml:space="preserve">was not accompanied by a comprehensive </w:t>
      </w:r>
      <w:r>
        <w:rPr>
          <w:rFonts w:ascii="Open Sans" w:hAnsi="Open Sans" w:cs="Open Sans"/>
          <w:color w:val="auto"/>
        </w:rPr>
        <w:t xml:space="preserve">individualised </w:t>
      </w:r>
      <w:r w:rsidRPr="001D61AE">
        <w:rPr>
          <w:rFonts w:ascii="Open Sans" w:hAnsi="Open Sans" w:cs="Open Sans"/>
          <w:color w:val="auto"/>
        </w:rPr>
        <w:t>assessment to ensure its use was a measure of last resort</w:t>
      </w:r>
      <w:r>
        <w:rPr>
          <w:rFonts w:ascii="Open Sans" w:hAnsi="Open Sans" w:cs="Open Sans"/>
          <w:color w:val="auto"/>
        </w:rPr>
        <w:t xml:space="preserve"> to prevent harm to consumers or others, and did not demonstrate, to the extent possible, that best practice alternative strategies were used before the use of the restrictive practice</w:t>
      </w:r>
      <w:r w:rsidRPr="001D61AE">
        <w:rPr>
          <w:rFonts w:ascii="Open Sans" w:hAnsi="Open Sans" w:cs="Open Sans"/>
          <w:color w:val="auto"/>
        </w:rPr>
        <w:t>.</w:t>
      </w:r>
    </w:p>
    <w:p w14:paraId="52074946" w14:textId="77777777" w:rsidR="00413E8E" w:rsidRPr="001D61AE" w:rsidRDefault="00413E8E" w:rsidP="00413E8E">
      <w:pPr>
        <w:pStyle w:val="NormalArial"/>
        <w:rPr>
          <w:rFonts w:ascii="Open Sans" w:hAnsi="Open Sans" w:cs="Open Sans"/>
          <w:color w:val="auto"/>
        </w:rPr>
      </w:pPr>
      <w:r w:rsidRPr="001D61AE">
        <w:rPr>
          <w:rFonts w:ascii="Open Sans" w:hAnsi="Open Sans" w:cs="Open Sans"/>
          <w:color w:val="auto"/>
        </w:rPr>
        <w:t xml:space="preserve">In response to the Assessment Team report, the approved provider reiterated their ongoing commitment to providing care and services to consumers which meets the requirements of the </w:t>
      </w:r>
      <w:r w:rsidRPr="001D61AE">
        <w:rPr>
          <w:rFonts w:ascii="Open Sans" w:hAnsi="Open Sans" w:cs="Open Sans"/>
          <w:i/>
          <w:iCs/>
          <w:color w:val="auto"/>
        </w:rPr>
        <w:t>Aged Care Act 1997</w:t>
      </w:r>
      <w:r w:rsidRPr="001D61AE">
        <w:rPr>
          <w:rFonts w:ascii="Open Sans" w:hAnsi="Open Sans" w:cs="Open Sans"/>
          <w:color w:val="auto"/>
        </w:rPr>
        <w:t xml:space="preserve"> (Cth) and the Quality Standards</w:t>
      </w:r>
      <w:r>
        <w:rPr>
          <w:rFonts w:ascii="Open Sans" w:hAnsi="Open Sans" w:cs="Open Sans"/>
          <w:color w:val="auto"/>
        </w:rPr>
        <w:t xml:space="preserve">. </w:t>
      </w:r>
      <w:r w:rsidRPr="001D61AE">
        <w:rPr>
          <w:rFonts w:ascii="Open Sans" w:hAnsi="Open Sans" w:cs="Open Sans"/>
          <w:color w:val="auto"/>
        </w:rPr>
        <w:t>In discussing the identified de-escalation strategy, the approved provider disagreed with the recommendations made by the Assessment Team and considers its use is an appropriate behaviour support strategy and not a restrictive practice.</w:t>
      </w:r>
    </w:p>
    <w:p w14:paraId="7C92D406" w14:textId="77777777" w:rsidR="00413E8E" w:rsidRPr="00C921A4" w:rsidRDefault="00413E8E" w:rsidP="00413E8E">
      <w:pPr>
        <w:pStyle w:val="NormalArial"/>
        <w:rPr>
          <w:rFonts w:ascii="Open Sans" w:hAnsi="Open Sans" w:cs="Open Sans"/>
          <w:color w:val="auto"/>
        </w:rPr>
      </w:pPr>
      <w:r w:rsidRPr="00C921A4">
        <w:rPr>
          <w:rFonts w:ascii="Open Sans" w:hAnsi="Open Sans" w:cs="Open Sans"/>
          <w:color w:val="auto"/>
        </w:rPr>
        <w:t xml:space="preserve">The approved provider discussed use of the de-escalation strategy in accordance with their restrictive practice policy and procedure, the </w:t>
      </w:r>
      <w:proofErr w:type="gramStart"/>
      <w:r w:rsidRPr="00C921A4">
        <w:rPr>
          <w:rFonts w:ascii="Open Sans" w:hAnsi="Open Sans" w:cs="Open Sans"/>
          <w:color w:val="auto"/>
        </w:rPr>
        <w:t>Quality of Care</w:t>
      </w:r>
      <w:proofErr w:type="gramEnd"/>
      <w:r w:rsidRPr="00C921A4">
        <w:rPr>
          <w:rFonts w:ascii="Open Sans" w:hAnsi="Open Sans" w:cs="Open Sans"/>
          <w:color w:val="auto"/>
        </w:rPr>
        <w:t xml:space="preserve"> Principles, the </w:t>
      </w:r>
      <w:r w:rsidRPr="00C921A4">
        <w:rPr>
          <w:rFonts w:ascii="Open Sans" w:hAnsi="Open Sans" w:cs="Open Sans"/>
          <w:i/>
          <w:iCs/>
          <w:color w:val="auto"/>
        </w:rPr>
        <w:t>Aged Care Act 1997</w:t>
      </w:r>
      <w:r w:rsidRPr="00C921A4">
        <w:rPr>
          <w:rFonts w:ascii="Open Sans" w:hAnsi="Open Sans" w:cs="Open Sans"/>
          <w:color w:val="auto"/>
        </w:rPr>
        <w:t xml:space="preserve"> (Cth) and the Department of Health’s Specialist Care Dementia Framework. A newly developed safe operating procedure </w:t>
      </w:r>
      <w:r>
        <w:rPr>
          <w:rFonts w:ascii="Open Sans" w:hAnsi="Open Sans" w:cs="Open Sans"/>
          <w:color w:val="auto"/>
        </w:rPr>
        <w:t xml:space="preserve">was provided which </w:t>
      </w:r>
      <w:r w:rsidRPr="00C921A4">
        <w:rPr>
          <w:rFonts w:ascii="Open Sans" w:hAnsi="Open Sans" w:cs="Open Sans"/>
          <w:color w:val="auto"/>
        </w:rPr>
        <w:t xml:space="preserve">details the purpose of the strategy and various criteria and conditions for its use. </w:t>
      </w:r>
    </w:p>
    <w:p w14:paraId="27DCE2F7" w14:textId="77777777" w:rsidR="00413E8E" w:rsidRPr="004158CD" w:rsidRDefault="00413E8E" w:rsidP="00413E8E">
      <w:pPr>
        <w:pStyle w:val="NormalArial"/>
        <w:rPr>
          <w:rFonts w:ascii="Open Sans" w:hAnsi="Open Sans" w:cs="Open Sans"/>
          <w:color w:val="auto"/>
        </w:rPr>
      </w:pPr>
      <w:r w:rsidRPr="004158CD">
        <w:rPr>
          <w:rFonts w:ascii="Open Sans" w:hAnsi="Open Sans" w:cs="Open Sans"/>
          <w:color w:val="auto"/>
        </w:rPr>
        <w:t xml:space="preserve">The approved provider </w:t>
      </w:r>
      <w:r>
        <w:rPr>
          <w:rFonts w:ascii="Open Sans" w:hAnsi="Open Sans" w:cs="Open Sans"/>
          <w:color w:val="auto"/>
        </w:rPr>
        <w:t>discussed</w:t>
      </w:r>
      <w:r w:rsidRPr="004158CD">
        <w:rPr>
          <w:rFonts w:ascii="Open Sans" w:hAnsi="Open Sans" w:cs="Open Sans"/>
          <w:color w:val="auto"/>
        </w:rPr>
        <w:t xml:space="preserve"> </w:t>
      </w:r>
      <w:r>
        <w:rPr>
          <w:rFonts w:ascii="Open Sans" w:hAnsi="Open Sans" w:cs="Open Sans"/>
          <w:color w:val="auto"/>
        </w:rPr>
        <w:t xml:space="preserve">the </w:t>
      </w:r>
      <w:r w:rsidRPr="004158CD">
        <w:rPr>
          <w:rFonts w:ascii="Open Sans" w:hAnsi="Open Sans" w:cs="Open Sans"/>
          <w:color w:val="auto"/>
        </w:rPr>
        <w:t xml:space="preserve">minimal use of the de-escalation strategy with regular staff supervision and provided </w:t>
      </w:r>
      <w:r>
        <w:rPr>
          <w:rFonts w:ascii="Open Sans" w:hAnsi="Open Sans" w:cs="Open Sans"/>
          <w:color w:val="auto"/>
        </w:rPr>
        <w:t xml:space="preserve">a </w:t>
      </w:r>
      <w:r w:rsidRPr="004158CD">
        <w:rPr>
          <w:rFonts w:ascii="Open Sans" w:hAnsi="Open Sans" w:cs="Open Sans"/>
          <w:color w:val="auto"/>
        </w:rPr>
        <w:t>letter</w:t>
      </w:r>
      <w:r>
        <w:rPr>
          <w:rFonts w:ascii="Open Sans" w:hAnsi="Open Sans" w:cs="Open Sans"/>
          <w:color w:val="auto"/>
        </w:rPr>
        <w:t xml:space="preserve"> </w:t>
      </w:r>
      <w:r w:rsidRPr="004158CD">
        <w:rPr>
          <w:rFonts w:ascii="Open Sans" w:hAnsi="Open Sans" w:cs="Open Sans"/>
          <w:color w:val="auto"/>
        </w:rPr>
        <w:t xml:space="preserve">which </w:t>
      </w:r>
      <w:r>
        <w:rPr>
          <w:rFonts w:ascii="Open Sans" w:hAnsi="Open Sans" w:cs="Open Sans"/>
          <w:color w:val="auto"/>
        </w:rPr>
        <w:t>supports</w:t>
      </w:r>
      <w:r w:rsidRPr="004158CD">
        <w:rPr>
          <w:rFonts w:ascii="Open Sans" w:hAnsi="Open Sans" w:cs="Open Sans"/>
          <w:color w:val="auto"/>
        </w:rPr>
        <w:t xml:space="preserve"> use of the de-escalation strategy for consumer safety</w:t>
      </w:r>
      <w:r>
        <w:rPr>
          <w:rFonts w:ascii="Open Sans" w:hAnsi="Open Sans" w:cs="Open Sans"/>
          <w:color w:val="auto"/>
        </w:rPr>
        <w:t>,</w:t>
      </w:r>
      <w:r w:rsidRPr="004158CD">
        <w:rPr>
          <w:rFonts w:ascii="Open Sans" w:hAnsi="Open Sans" w:cs="Open Sans"/>
          <w:color w:val="auto"/>
        </w:rPr>
        <w:t xml:space="preserve"> and when all other strategies have been unsuccessful</w:t>
      </w:r>
      <w:r>
        <w:rPr>
          <w:rFonts w:ascii="Open Sans" w:hAnsi="Open Sans" w:cs="Open Sans"/>
          <w:color w:val="auto"/>
        </w:rPr>
        <w:t xml:space="preserve">. </w:t>
      </w:r>
      <w:r w:rsidRPr="004158CD">
        <w:rPr>
          <w:rFonts w:ascii="Open Sans" w:hAnsi="Open Sans" w:cs="Open Sans"/>
          <w:color w:val="auto"/>
        </w:rPr>
        <w:t>Guidelines for special dementia care units were also provided.</w:t>
      </w:r>
    </w:p>
    <w:p w14:paraId="5FFBF013" w14:textId="77777777" w:rsidR="00413E8E" w:rsidRPr="00D3591A" w:rsidRDefault="00413E8E" w:rsidP="00413E8E">
      <w:pPr>
        <w:pStyle w:val="NormalArial"/>
        <w:rPr>
          <w:rFonts w:ascii="Open Sans" w:hAnsi="Open Sans" w:cs="Open Sans"/>
          <w:color w:val="auto"/>
        </w:rPr>
      </w:pPr>
      <w:r w:rsidRPr="00D3591A">
        <w:rPr>
          <w:rFonts w:ascii="Open Sans" w:hAnsi="Open Sans" w:cs="Open Sans"/>
          <w:color w:val="auto"/>
        </w:rPr>
        <w:t>The approved provider discussed the therapeutic nature of the de-escalation strategy, the specific design principles applied to ensure consumers are safe and supported in the environment, and photographs</w:t>
      </w:r>
      <w:r>
        <w:rPr>
          <w:rFonts w:ascii="Open Sans" w:hAnsi="Open Sans" w:cs="Open Sans"/>
          <w:color w:val="auto"/>
        </w:rPr>
        <w:t xml:space="preserve"> of the environment associated </w:t>
      </w:r>
      <w:r>
        <w:rPr>
          <w:rFonts w:ascii="Open Sans" w:hAnsi="Open Sans" w:cs="Open Sans"/>
          <w:color w:val="auto"/>
        </w:rPr>
        <w:lastRenderedPageBreak/>
        <w:t>with use of the de-escalation strategy were submitted</w:t>
      </w:r>
      <w:r w:rsidRPr="00D3591A">
        <w:rPr>
          <w:rFonts w:ascii="Open Sans" w:hAnsi="Open Sans" w:cs="Open Sans"/>
          <w:color w:val="auto"/>
        </w:rPr>
        <w:t xml:space="preserve">. The approved provider </w:t>
      </w:r>
      <w:r>
        <w:rPr>
          <w:rFonts w:ascii="Open Sans" w:hAnsi="Open Sans" w:cs="Open Sans"/>
          <w:color w:val="auto"/>
        </w:rPr>
        <w:t>stated</w:t>
      </w:r>
      <w:r w:rsidRPr="00D3591A">
        <w:rPr>
          <w:rFonts w:ascii="Open Sans" w:hAnsi="Open Sans" w:cs="Open Sans"/>
          <w:color w:val="auto"/>
        </w:rPr>
        <w:t xml:space="preserve"> the de-escalation strategy is only used to manage extreme aggression and violence and supports consumers in a quiet, calm and fully supervised environment. The strategy is used as an ‘exception only’ and alternate strategies are trialled before the de-escalation strategy is implemented. Improved consumer outcomes were detailed. </w:t>
      </w:r>
    </w:p>
    <w:p w14:paraId="5F35FAA4" w14:textId="77777777" w:rsidR="00413E8E" w:rsidRPr="00D3591A" w:rsidRDefault="00413E8E" w:rsidP="00413E8E">
      <w:pPr>
        <w:pStyle w:val="NormalArial"/>
        <w:rPr>
          <w:rFonts w:ascii="Open Sans" w:hAnsi="Open Sans" w:cs="Open Sans"/>
          <w:color w:val="auto"/>
        </w:rPr>
      </w:pPr>
      <w:r w:rsidRPr="00D3591A">
        <w:rPr>
          <w:rFonts w:ascii="Open Sans" w:hAnsi="Open Sans" w:cs="Open Sans"/>
          <w:color w:val="auto"/>
        </w:rPr>
        <w:t>Consumer care and service documentation was also submitted by the approved provider for consideration, which included a care plan, behaviour support plan and positive risk assessment tools.</w:t>
      </w:r>
    </w:p>
    <w:p w14:paraId="34DD5B71" w14:textId="77777777" w:rsidR="00413E8E" w:rsidRPr="00D3591A" w:rsidRDefault="00413E8E" w:rsidP="00413E8E">
      <w:pPr>
        <w:pStyle w:val="NormalArial"/>
        <w:rPr>
          <w:rFonts w:ascii="Open Sans" w:hAnsi="Open Sans" w:cs="Open Sans"/>
          <w:color w:val="auto"/>
        </w:rPr>
      </w:pPr>
      <w:r w:rsidRPr="00D3591A">
        <w:rPr>
          <w:rFonts w:ascii="Open Sans" w:hAnsi="Open Sans" w:cs="Open Sans"/>
          <w:color w:val="auto"/>
        </w:rPr>
        <w:t xml:space="preserve">The approved provider committed to the full implementation of their continuous improvement plan, </w:t>
      </w:r>
      <w:r>
        <w:rPr>
          <w:rFonts w:ascii="Open Sans" w:hAnsi="Open Sans" w:cs="Open Sans"/>
          <w:color w:val="auto"/>
        </w:rPr>
        <w:t>a copy of which</w:t>
      </w:r>
      <w:r w:rsidRPr="00D3591A">
        <w:rPr>
          <w:rFonts w:ascii="Open Sans" w:hAnsi="Open Sans" w:cs="Open Sans"/>
          <w:color w:val="auto"/>
        </w:rPr>
        <w:t xml:space="preserve"> was provided for consideration. The several actions that have been undertaken and those which are to be completed are acknowledged.</w:t>
      </w:r>
    </w:p>
    <w:p w14:paraId="2B09CD2D" w14:textId="77777777" w:rsidR="00413E8E" w:rsidRPr="00711E9D" w:rsidRDefault="00413E8E" w:rsidP="00413E8E">
      <w:pPr>
        <w:pStyle w:val="NormalArial"/>
        <w:rPr>
          <w:rFonts w:ascii="Open Sans" w:hAnsi="Open Sans" w:cs="Open Sans"/>
          <w:color w:val="auto"/>
        </w:rPr>
      </w:pPr>
      <w:r w:rsidRPr="00711E9D">
        <w:rPr>
          <w:rFonts w:ascii="Open Sans" w:hAnsi="Open Sans" w:cs="Open Sans"/>
          <w:color w:val="auto"/>
        </w:rPr>
        <w:t xml:space="preserve">In </w:t>
      </w:r>
      <w:proofErr w:type="gramStart"/>
      <w:r w:rsidRPr="00711E9D">
        <w:rPr>
          <w:rFonts w:ascii="Open Sans" w:hAnsi="Open Sans" w:cs="Open Sans"/>
          <w:color w:val="auto"/>
        </w:rPr>
        <w:t>making a decision</w:t>
      </w:r>
      <w:proofErr w:type="gramEnd"/>
      <w:r w:rsidRPr="00711E9D">
        <w:rPr>
          <w:rFonts w:ascii="Open Sans" w:hAnsi="Open Sans" w:cs="Open Sans"/>
          <w:color w:val="auto"/>
        </w:rPr>
        <w:t xml:space="preserve"> about Requirement 3(3)(b), I have considered the intent of the Requirement which requires all organisations to ensure high-impact high-prevalence risks are managed effectively and in accordance with best practice guidance. For the use of restrictive practices, Requirement 3(3)(b) requires consideration of the interventions and practices and whether those practices are consistent with best practice</w:t>
      </w:r>
      <w:r>
        <w:rPr>
          <w:rFonts w:ascii="Open Sans" w:hAnsi="Open Sans" w:cs="Open Sans"/>
          <w:color w:val="auto"/>
        </w:rPr>
        <w:t xml:space="preserve"> and </w:t>
      </w:r>
      <w:r w:rsidRPr="00711E9D">
        <w:rPr>
          <w:rFonts w:ascii="Open Sans" w:hAnsi="Open Sans" w:cs="Open Sans"/>
          <w:color w:val="auto"/>
        </w:rPr>
        <w:t xml:space="preserve">comply with the relevant legislation. </w:t>
      </w:r>
    </w:p>
    <w:p w14:paraId="321109FF" w14:textId="7C6324CA" w:rsidR="00413E8E" w:rsidRPr="00D65A8F" w:rsidRDefault="00413E8E" w:rsidP="00413E8E">
      <w:pPr>
        <w:pStyle w:val="NormalArial"/>
        <w:rPr>
          <w:rFonts w:ascii="Open Sans" w:hAnsi="Open Sans" w:cs="Open Sans"/>
          <w:color w:val="auto"/>
        </w:rPr>
      </w:pPr>
      <w:r w:rsidRPr="00D65A8F">
        <w:rPr>
          <w:rFonts w:ascii="Open Sans" w:hAnsi="Open Sans" w:cs="Open Sans"/>
          <w:color w:val="auto"/>
        </w:rPr>
        <w:t xml:space="preserve">I have referred to the legislative requirements relating to restrictive practices under section 15E of the </w:t>
      </w:r>
      <w:proofErr w:type="gramStart"/>
      <w:r w:rsidRPr="00D65A8F">
        <w:rPr>
          <w:rFonts w:ascii="Open Sans" w:hAnsi="Open Sans" w:cs="Open Sans"/>
          <w:color w:val="auto"/>
        </w:rPr>
        <w:t>Quality of Care</w:t>
      </w:r>
      <w:proofErr w:type="gramEnd"/>
      <w:r w:rsidRPr="00D65A8F">
        <w:rPr>
          <w:rFonts w:ascii="Open Sans" w:hAnsi="Open Sans" w:cs="Open Sans"/>
          <w:color w:val="auto"/>
        </w:rPr>
        <w:t xml:space="preserve"> Principles, and the subsequent use of any restrictive practice detailed in section 15FA.</w:t>
      </w:r>
    </w:p>
    <w:p w14:paraId="52B93C86" w14:textId="77777777" w:rsidR="00413E8E" w:rsidRPr="00D65A8F" w:rsidRDefault="00413E8E" w:rsidP="00413E8E">
      <w:pPr>
        <w:pStyle w:val="NormalArial"/>
        <w:rPr>
          <w:rFonts w:ascii="Open Sans" w:hAnsi="Open Sans" w:cs="Open Sans"/>
          <w:color w:val="auto"/>
        </w:rPr>
      </w:pPr>
      <w:r w:rsidRPr="00D65A8F">
        <w:rPr>
          <w:rFonts w:ascii="Open Sans" w:hAnsi="Open Sans" w:cs="Open Sans"/>
          <w:color w:val="auto"/>
        </w:rPr>
        <w:t xml:space="preserve">On the information provided, I consider the de-escalation strategy </w:t>
      </w:r>
      <w:r>
        <w:rPr>
          <w:rFonts w:ascii="Open Sans" w:hAnsi="Open Sans" w:cs="Open Sans"/>
          <w:color w:val="auto"/>
        </w:rPr>
        <w:t>could be considered</w:t>
      </w:r>
      <w:r w:rsidRPr="00D65A8F">
        <w:rPr>
          <w:rFonts w:ascii="Open Sans" w:hAnsi="Open Sans" w:cs="Open Sans"/>
          <w:color w:val="auto"/>
        </w:rPr>
        <w:t xml:space="preserve"> a restrictive practice</w:t>
      </w:r>
      <w:r>
        <w:rPr>
          <w:rFonts w:ascii="Open Sans" w:hAnsi="Open Sans" w:cs="Open Sans"/>
          <w:color w:val="auto"/>
        </w:rPr>
        <w:t xml:space="preserve"> when the strategy is used to restrict or prevent free movement of the consumer, or a consumer’s access to their environment or involves the use of solitary confinement</w:t>
      </w:r>
      <w:r w:rsidRPr="00D65A8F">
        <w:rPr>
          <w:rFonts w:ascii="Open Sans" w:hAnsi="Open Sans" w:cs="Open Sans"/>
          <w:color w:val="auto"/>
        </w:rPr>
        <w:t xml:space="preserve">. The approved provider has provided </w:t>
      </w:r>
      <w:r>
        <w:rPr>
          <w:rFonts w:ascii="Open Sans" w:hAnsi="Open Sans" w:cs="Open Sans"/>
          <w:color w:val="auto"/>
        </w:rPr>
        <w:t>inconsistent</w:t>
      </w:r>
      <w:r w:rsidRPr="00D65A8F">
        <w:rPr>
          <w:rFonts w:ascii="Open Sans" w:hAnsi="Open Sans" w:cs="Open Sans"/>
          <w:color w:val="auto"/>
        </w:rPr>
        <w:t xml:space="preserve"> information which details the use of the de-escalation strategy as an appropriate behaviour support strategy, whilst submitting documentation, including newly implemented procedures, which describes the de-escalation strategy as a restrictive practice. </w:t>
      </w:r>
    </w:p>
    <w:p w14:paraId="2753C60F" w14:textId="77777777" w:rsidR="00413E8E" w:rsidRPr="00D65A8F" w:rsidRDefault="00413E8E" w:rsidP="00413E8E">
      <w:pPr>
        <w:pStyle w:val="NormalArial"/>
        <w:rPr>
          <w:rFonts w:ascii="Open Sans" w:hAnsi="Open Sans" w:cs="Open Sans"/>
          <w:color w:val="auto"/>
        </w:rPr>
      </w:pPr>
      <w:r w:rsidRPr="00D65A8F">
        <w:rPr>
          <w:rFonts w:ascii="Open Sans" w:hAnsi="Open Sans" w:cs="Open Sans"/>
          <w:color w:val="auto"/>
        </w:rPr>
        <w:t xml:space="preserve">Based on the </w:t>
      </w:r>
      <w:proofErr w:type="gramStart"/>
      <w:r w:rsidRPr="00D65A8F">
        <w:rPr>
          <w:rFonts w:ascii="Open Sans" w:hAnsi="Open Sans" w:cs="Open Sans"/>
          <w:color w:val="auto"/>
        </w:rPr>
        <w:t>Quality of Care</w:t>
      </w:r>
      <w:proofErr w:type="gramEnd"/>
      <w:r w:rsidRPr="00D65A8F">
        <w:rPr>
          <w:rFonts w:ascii="Open Sans" w:hAnsi="Open Sans" w:cs="Open Sans"/>
          <w:color w:val="auto"/>
        </w:rPr>
        <w:t xml:space="preserve"> Principles and the information provided, I have considered 2 of the 5 recognised practices or interventions which closely align with the use of the de-escalation strategy, depending on the circumstances under which it is </w:t>
      </w:r>
      <w:r>
        <w:rPr>
          <w:rFonts w:ascii="Open Sans" w:hAnsi="Open Sans" w:cs="Open Sans"/>
          <w:color w:val="auto"/>
        </w:rPr>
        <w:t>used</w:t>
      </w:r>
      <w:r w:rsidRPr="00D65A8F">
        <w:rPr>
          <w:rFonts w:ascii="Open Sans" w:hAnsi="Open Sans" w:cs="Open Sans"/>
          <w:color w:val="auto"/>
        </w:rPr>
        <w:t>. This includes an ‘environmental restraint’ and ‘seclusion’. I have considered the additional information submitted by the approved provider and, for the purposes of restrictive practices, the necessary requirements for the use of the de-escalation strategy which are detailed below.</w:t>
      </w:r>
    </w:p>
    <w:p w14:paraId="53E1FE12" w14:textId="77777777" w:rsidR="00413E8E" w:rsidRPr="009D1622" w:rsidRDefault="00413E8E" w:rsidP="00413E8E">
      <w:pPr>
        <w:pStyle w:val="NormalArial"/>
        <w:rPr>
          <w:rFonts w:ascii="Open Sans" w:hAnsi="Open Sans" w:cs="Open Sans"/>
          <w:i/>
          <w:iCs/>
          <w:color w:val="auto"/>
        </w:rPr>
      </w:pPr>
      <w:r>
        <w:rPr>
          <w:rFonts w:ascii="Open Sans" w:hAnsi="Open Sans" w:cs="Open Sans"/>
          <w:i/>
          <w:iCs/>
          <w:color w:val="auto"/>
        </w:rPr>
        <w:t>To be used only as</w:t>
      </w:r>
      <w:r w:rsidRPr="009D1622">
        <w:rPr>
          <w:rFonts w:ascii="Open Sans" w:hAnsi="Open Sans" w:cs="Open Sans"/>
          <w:i/>
          <w:iCs/>
          <w:color w:val="auto"/>
        </w:rPr>
        <w:t xml:space="preserve"> </w:t>
      </w:r>
      <w:r>
        <w:rPr>
          <w:rFonts w:ascii="Open Sans" w:hAnsi="Open Sans" w:cs="Open Sans"/>
          <w:i/>
          <w:iCs/>
          <w:color w:val="auto"/>
        </w:rPr>
        <w:t>a</w:t>
      </w:r>
      <w:r w:rsidRPr="009D1622">
        <w:rPr>
          <w:rFonts w:ascii="Open Sans" w:hAnsi="Open Sans" w:cs="Open Sans"/>
          <w:i/>
          <w:iCs/>
          <w:color w:val="auto"/>
        </w:rPr>
        <w:t xml:space="preserve"> last resort</w:t>
      </w:r>
    </w:p>
    <w:p w14:paraId="1FDCE377" w14:textId="77777777" w:rsidR="00413E8E" w:rsidRPr="009D1622" w:rsidRDefault="00413E8E" w:rsidP="00413E8E">
      <w:pPr>
        <w:pStyle w:val="NormalArial"/>
        <w:rPr>
          <w:rFonts w:ascii="Open Sans" w:hAnsi="Open Sans" w:cs="Open Sans"/>
          <w:color w:val="auto"/>
        </w:rPr>
      </w:pPr>
      <w:r w:rsidRPr="009D1622">
        <w:rPr>
          <w:rFonts w:ascii="Open Sans" w:hAnsi="Open Sans" w:cs="Open Sans"/>
          <w:color w:val="auto"/>
        </w:rPr>
        <w:lastRenderedPageBreak/>
        <w:t xml:space="preserve">The </w:t>
      </w:r>
      <w:r>
        <w:rPr>
          <w:rFonts w:ascii="Open Sans" w:hAnsi="Open Sans" w:cs="Open Sans"/>
          <w:color w:val="auto"/>
        </w:rPr>
        <w:t>‘</w:t>
      </w:r>
      <w:r w:rsidRPr="009D1622">
        <w:rPr>
          <w:rFonts w:ascii="Open Sans" w:hAnsi="Open Sans" w:cs="Open Sans"/>
          <w:color w:val="auto"/>
        </w:rPr>
        <w:t>safe operation procedure</w:t>
      </w:r>
      <w:r>
        <w:rPr>
          <w:rFonts w:ascii="Open Sans" w:hAnsi="Open Sans" w:cs="Open Sans"/>
          <w:color w:val="auto"/>
        </w:rPr>
        <w:t>’</w:t>
      </w:r>
      <w:r w:rsidRPr="009D1622">
        <w:rPr>
          <w:rFonts w:ascii="Open Sans" w:hAnsi="Open Sans" w:cs="Open Sans"/>
          <w:color w:val="auto"/>
        </w:rPr>
        <w:t xml:space="preserve"> </w:t>
      </w:r>
      <w:r>
        <w:rPr>
          <w:rFonts w:ascii="Open Sans" w:hAnsi="Open Sans" w:cs="Open Sans"/>
          <w:color w:val="auto"/>
        </w:rPr>
        <w:t xml:space="preserve">submitted for consideration </w:t>
      </w:r>
      <w:r w:rsidRPr="009D1622">
        <w:rPr>
          <w:rFonts w:ascii="Open Sans" w:hAnsi="Open Sans" w:cs="Open Sans"/>
          <w:color w:val="auto"/>
        </w:rPr>
        <w:t xml:space="preserve">details </w:t>
      </w:r>
      <w:r>
        <w:rPr>
          <w:rFonts w:ascii="Open Sans" w:hAnsi="Open Sans" w:cs="Open Sans"/>
          <w:color w:val="auto"/>
        </w:rPr>
        <w:t>use of the</w:t>
      </w:r>
      <w:r w:rsidRPr="009D1622">
        <w:rPr>
          <w:rFonts w:ascii="Open Sans" w:hAnsi="Open Sans" w:cs="Open Sans"/>
          <w:color w:val="auto"/>
        </w:rPr>
        <w:t xml:space="preserve"> de-escalation strategy ‘in response to an adverse event’ and ‘to temporarily protect the resident and others while restraint-free care strategies and interventions are rapidly reviewed, trialled and implemented’. It is unclear</w:t>
      </w:r>
      <w:r>
        <w:rPr>
          <w:rFonts w:ascii="Open Sans" w:hAnsi="Open Sans" w:cs="Open Sans"/>
          <w:color w:val="auto"/>
        </w:rPr>
        <w:t>, however,</w:t>
      </w:r>
      <w:r w:rsidRPr="009D1622">
        <w:rPr>
          <w:rFonts w:ascii="Open Sans" w:hAnsi="Open Sans" w:cs="Open Sans"/>
          <w:color w:val="auto"/>
        </w:rPr>
        <w:t xml:space="preserve"> if the de-escalation strategy </w:t>
      </w:r>
      <w:r>
        <w:rPr>
          <w:rFonts w:ascii="Open Sans" w:hAnsi="Open Sans" w:cs="Open Sans"/>
          <w:color w:val="auto"/>
        </w:rPr>
        <w:t>is</w:t>
      </w:r>
      <w:r w:rsidRPr="009D1622">
        <w:rPr>
          <w:rFonts w:ascii="Open Sans" w:hAnsi="Open Sans" w:cs="Open Sans"/>
          <w:color w:val="auto"/>
        </w:rPr>
        <w:t xml:space="preserve"> implemented prior to </w:t>
      </w:r>
      <w:r>
        <w:rPr>
          <w:rFonts w:ascii="Open Sans" w:hAnsi="Open Sans" w:cs="Open Sans"/>
          <w:color w:val="auto"/>
        </w:rPr>
        <w:t xml:space="preserve">completion of an individualised and comprehensive assessment, including the </w:t>
      </w:r>
      <w:r w:rsidRPr="009D1622">
        <w:rPr>
          <w:rFonts w:ascii="Open Sans" w:hAnsi="Open Sans" w:cs="Open Sans"/>
          <w:color w:val="auto"/>
        </w:rPr>
        <w:t xml:space="preserve">use of individualised and person-centred strategies, which must be trialled </w:t>
      </w:r>
      <w:r>
        <w:rPr>
          <w:rFonts w:ascii="Open Sans" w:hAnsi="Open Sans" w:cs="Open Sans"/>
          <w:color w:val="auto"/>
        </w:rPr>
        <w:t>to the extent possible</w:t>
      </w:r>
      <w:r w:rsidRPr="009D1622">
        <w:rPr>
          <w:rFonts w:ascii="Open Sans" w:hAnsi="Open Sans" w:cs="Open Sans"/>
          <w:color w:val="auto"/>
        </w:rPr>
        <w:t xml:space="preserve"> before </w:t>
      </w:r>
      <w:r>
        <w:rPr>
          <w:rFonts w:ascii="Open Sans" w:hAnsi="Open Sans" w:cs="Open Sans"/>
          <w:color w:val="auto"/>
        </w:rPr>
        <w:t>last resort measures are considered</w:t>
      </w:r>
      <w:r w:rsidRPr="009D1622">
        <w:rPr>
          <w:rFonts w:ascii="Open Sans" w:hAnsi="Open Sans" w:cs="Open Sans"/>
          <w:color w:val="auto"/>
        </w:rPr>
        <w:t xml:space="preserve">. I note these actions are </w:t>
      </w:r>
      <w:r>
        <w:rPr>
          <w:rFonts w:ascii="Open Sans" w:hAnsi="Open Sans" w:cs="Open Sans"/>
          <w:color w:val="auto"/>
        </w:rPr>
        <w:t>inconsistent</w:t>
      </w:r>
      <w:r w:rsidRPr="009D1622">
        <w:rPr>
          <w:rFonts w:ascii="Open Sans" w:hAnsi="Open Sans" w:cs="Open Sans"/>
          <w:color w:val="auto"/>
        </w:rPr>
        <w:t xml:space="preserve"> </w:t>
      </w:r>
      <w:r>
        <w:rPr>
          <w:rFonts w:ascii="Open Sans" w:hAnsi="Open Sans" w:cs="Open Sans"/>
          <w:color w:val="auto"/>
        </w:rPr>
        <w:t>with</w:t>
      </w:r>
      <w:r w:rsidRPr="009D1622">
        <w:rPr>
          <w:rFonts w:ascii="Open Sans" w:hAnsi="Open Sans" w:cs="Open Sans"/>
          <w:color w:val="auto"/>
        </w:rPr>
        <w:t xml:space="preserve"> the intended application of the de-escalation strategy as a measure of last resort</w:t>
      </w:r>
      <w:r>
        <w:rPr>
          <w:rFonts w:ascii="Open Sans" w:hAnsi="Open Sans" w:cs="Open Sans"/>
          <w:color w:val="auto"/>
        </w:rPr>
        <w:t xml:space="preserve"> in accordance with the approved provider’s responsibilities associated with the use of restrictive practices as outlined in the </w:t>
      </w:r>
      <w:proofErr w:type="gramStart"/>
      <w:r>
        <w:rPr>
          <w:rFonts w:ascii="Open Sans" w:hAnsi="Open Sans" w:cs="Open Sans"/>
          <w:color w:val="auto"/>
        </w:rPr>
        <w:t>Quality of Care</w:t>
      </w:r>
      <w:proofErr w:type="gramEnd"/>
      <w:r>
        <w:rPr>
          <w:rFonts w:ascii="Open Sans" w:hAnsi="Open Sans" w:cs="Open Sans"/>
          <w:color w:val="auto"/>
        </w:rPr>
        <w:t xml:space="preserve"> Principles</w:t>
      </w:r>
      <w:r w:rsidRPr="009D1622">
        <w:rPr>
          <w:rFonts w:ascii="Open Sans" w:hAnsi="Open Sans" w:cs="Open Sans"/>
          <w:color w:val="auto"/>
        </w:rPr>
        <w:t xml:space="preserve">. </w:t>
      </w:r>
    </w:p>
    <w:p w14:paraId="780F076C" w14:textId="77777777" w:rsidR="00413E8E" w:rsidRPr="003858A2" w:rsidRDefault="00413E8E" w:rsidP="00413E8E">
      <w:pPr>
        <w:pStyle w:val="NormalArial"/>
        <w:rPr>
          <w:rFonts w:ascii="Open Sans" w:hAnsi="Open Sans" w:cs="Open Sans"/>
          <w:i/>
          <w:iCs/>
          <w:color w:val="auto"/>
        </w:rPr>
      </w:pPr>
      <w:r w:rsidRPr="003858A2">
        <w:rPr>
          <w:rFonts w:ascii="Open Sans" w:hAnsi="Open Sans" w:cs="Open Sans"/>
          <w:i/>
          <w:iCs/>
          <w:color w:val="auto"/>
        </w:rPr>
        <w:t>Use of best practice alternative strategies to the extent possible</w:t>
      </w:r>
    </w:p>
    <w:p w14:paraId="739CA71A" w14:textId="77777777" w:rsidR="00413E8E" w:rsidRPr="006D3CC5" w:rsidRDefault="00413E8E" w:rsidP="00413E8E">
      <w:pPr>
        <w:pStyle w:val="NormalArial"/>
        <w:rPr>
          <w:rFonts w:ascii="Open Sans" w:hAnsi="Open Sans" w:cs="Open Sans"/>
          <w:color w:val="auto"/>
        </w:rPr>
      </w:pPr>
      <w:r w:rsidRPr="006D3CC5">
        <w:rPr>
          <w:rFonts w:ascii="Open Sans" w:hAnsi="Open Sans" w:cs="Open Sans"/>
          <w:color w:val="auto"/>
        </w:rPr>
        <w:t xml:space="preserve">Several of the </w:t>
      </w:r>
      <w:r>
        <w:rPr>
          <w:rFonts w:ascii="Open Sans" w:hAnsi="Open Sans" w:cs="Open Sans"/>
          <w:color w:val="auto"/>
        </w:rPr>
        <w:t>behaviour support</w:t>
      </w:r>
      <w:r w:rsidRPr="006D3CC5">
        <w:rPr>
          <w:rFonts w:ascii="Open Sans" w:hAnsi="Open Sans" w:cs="Open Sans"/>
          <w:color w:val="auto"/>
        </w:rPr>
        <w:t xml:space="preserve"> strategies detailed in consumer care plans and behaviour support plans are generic in nature and do not </w:t>
      </w:r>
      <w:r>
        <w:rPr>
          <w:rFonts w:ascii="Open Sans" w:hAnsi="Open Sans" w:cs="Open Sans"/>
          <w:color w:val="auto"/>
        </w:rPr>
        <w:t>detail</w:t>
      </w:r>
      <w:r w:rsidRPr="006D3CC5">
        <w:rPr>
          <w:rFonts w:ascii="Open Sans" w:hAnsi="Open Sans" w:cs="Open Sans"/>
          <w:color w:val="auto"/>
        </w:rPr>
        <w:t xml:space="preserve"> individualised and tailored behaviour support </w:t>
      </w:r>
      <w:r>
        <w:rPr>
          <w:rFonts w:ascii="Open Sans" w:hAnsi="Open Sans" w:cs="Open Sans"/>
          <w:color w:val="auto"/>
        </w:rPr>
        <w:t>strategies</w:t>
      </w:r>
      <w:r w:rsidRPr="006D3CC5">
        <w:rPr>
          <w:rFonts w:ascii="Open Sans" w:hAnsi="Open Sans" w:cs="Open Sans"/>
          <w:color w:val="auto"/>
        </w:rPr>
        <w:t xml:space="preserve"> </w:t>
      </w:r>
      <w:r>
        <w:rPr>
          <w:rFonts w:ascii="Open Sans" w:hAnsi="Open Sans" w:cs="Open Sans"/>
          <w:color w:val="auto"/>
        </w:rPr>
        <w:t>based on comprehensive assessment and monitoring of consumers</w:t>
      </w:r>
      <w:r w:rsidRPr="006D3CC5">
        <w:rPr>
          <w:rFonts w:ascii="Open Sans" w:hAnsi="Open Sans" w:cs="Open Sans"/>
          <w:color w:val="auto"/>
        </w:rPr>
        <w:t xml:space="preserve">. </w:t>
      </w:r>
      <w:r>
        <w:rPr>
          <w:rFonts w:ascii="Open Sans" w:hAnsi="Open Sans" w:cs="Open Sans"/>
          <w:color w:val="auto"/>
        </w:rPr>
        <w:t>It has not been demonstrated that best practice alternative strategies</w:t>
      </w:r>
      <w:r w:rsidRPr="006D3CC5">
        <w:rPr>
          <w:rFonts w:ascii="Open Sans" w:hAnsi="Open Sans" w:cs="Open Sans"/>
          <w:color w:val="auto"/>
        </w:rPr>
        <w:t xml:space="preserve"> were</w:t>
      </w:r>
      <w:r>
        <w:rPr>
          <w:rFonts w:ascii="Open Sans" w:hAnsi="Open Sans" w:cs="Open Sans"/>
          <w:color w:val="auto"/>
        </w:rPr>
        <w:t xml:space="preserve"> considered</w:t>
      </w:r>
      <w:r w:rsidRPr="006D3CC5">
        <w:rPr>
          <w:rFonts w:ascii="Open Sans" w:hAnsi="Open Sans" w:cs="Open Sans"/>
          <w:color w:val="auto"/>
        </w:rPr>
        <w:t xml:space="preserve"> </w:t>
      </w:r>
      <w:r>
        <w:rPr>
          <w:rFonts w:ascii="Open Sans" w:hAnsi="Open Sans" w:cs="Open Sans"/>
          <w:color w:val="auto"/>
        </w:rPr>
        <w:t xml:space="preserve">or used </w:t>
      </w:r>
      <w:r w:rsidRPr="006D3CC5">
        <w:rPr>
          <w:rFonts w:ascii="Open Sans" w:hAnsi="Open Sans" w:cs="Open Sans"/>
          <w:color w:val="auto"/>
        </w:rPr>
        <w:t xml:space="preserve">prior to </w:t>
      </w:r>
      <w:r>
        <w:rPr>
          <w:rFonts w:ascii="Open Sans" w:hAnsi="Open Sans" w:cs="Open Sans"/>
          <w:color w:val="auto"/>
        </w:rPr>
        <w:t xml:space="preserve">the </w:t>
      </w:r>
      <w:r w:rsidRPr="006D3CC5">
        <w:rPr>
          <w:rFonts w:ascii="Open Sans" w:hAnsi="Open Sans" w:cs="Open Sans"/>
          <w:color w:val="auto"/>
        </w:rPr>
        <w:t>use of the de-escalation strategy.</w:t>
      </w:r>
    </w:p>
    <w:p w14:paraId="5BC38DCD" w14:textId="77777777" w:rsidR="00413E8E" w:rsidRPr="00DD4A24" w:rsidRDefault="00413E8E" w:rsidP="00413E8E">
      <w:pPr>
        <w:pStyle w:val="NormalArial"/>
        <w:rPr>
          <w:rFonts w:ascii="Open Sans" w:hAnsi="Open Sans" w:cs="Open Sans"/>
          <w:color w:val="auto"/>
        </w:rPr>
      </w:pPr>
      <w:r>
        <w:rPr>
          <w:rFonts w:ascii="Open Sans" w:hAnsi="Open Sans" w:cs="Open Sans"/>
          <w:color w:val="auto"/>
        </w:rPr>
        <w:t>Additionally, c</w:t>
      </w:r>
      <w:r w:rsidRPr="00DD4A24">
        <w:rPr>
          <w:rFonts w:ascii="Open Sans" w:hAnsi="Open Sans" w:cs="Open Sans"/>
          <w:color w:val="auto"/>
        </w:rPr>
        <w:t xml:space="preserve">onsumer care plans, behaviour support plans and the safe operation procedure do not clearly describe the </w:t>
      </w:r>
      <w:r>
        <w:rPr>
          <w:rFonts w:ascii="Open Sans" w:hAnsi="Open Sans" w:cs="Open Sans"/>
          <w:color w:val="auto"/>
        </w:rPr>
        <w:t xml:space="preserve">change </w:t>
      </w:r>
      <w:r w:rsidRPr="00DD4A24">
        <w:rPr>
          <w:rFonts w:ascii="Open Sans" w:hAnsi="Open Sans" w:cs="Open Sans"/>
          <w:color w:val="auto"/>
        </w:rPr>
        <w:t xml:space="preserve">behaviours which </w:t>
      </w:r>
      <w:r>
        <w:rPr>
          <w:rFonts w:ascii="Open Sans" w:hAnsi="Open Sans" w:cs="Open Sans"/>
          <w:color w:val="auto"/>
        </w:rPr>
        <w:t>may require</w:t>
      </w:r>
      <w:r w:rsidRPr="00DD4A24">
        <w:rPr>
          <w:rFonts w:ascii="Open Sans" w:hAnsi="Open Sans" w:cs="Open Sans"/>
          <w:color w:val="auto"/>
        </w:rPr>
        <w:t xml:space="preserve"> use of the de-escalation strategy</w:t>
      </w:r>
      <w:r>
        <w:rPr>
          <w:rFonts w:ascii="Open Sans" w:hAnsi="Open Sans" w:cs="Open Sans"/>
          <w:color w:val="auto"/>
        </w:rPr>
        <w:t>.</w:t>
      </w:r>
      <w:r w:rsidRPr="00DD4A24">
        <w:rPr>
          <w:rFonts w:ascii="Open Sans" w:hAnsi="Open Sans" w:cs="Open Sans"/>
          <w:color w:val="auto"/>
        </w:rPr>
        <w:t xml:space="preserve"> </w:t>
      </w:r>
      <w:r>
        <w:rPr>
          <w:rFonts w:ascii="Open Sans" w:hAnsi="Open Sans" w:cs="Open Sans"/>
          <w:color w:val="auto"/>
        </w:rPr>
        <w:t xml:space="preserve">Adequate information and guidance </w:t>
      </w:r>
      <w:proofErr w:type="gramStart"/>
      <w:r>
        <w:rPr>
          <w:rFonts w:ascii="Open Sans" w:hAnsi="Open Sans" w:cs="Open Sans"/>
          <w:color w:val="auto"/>
        </w:rPr>
        <w:t>has</w:t>
      </w:r>
      <w:proofErr w:type="gramEnd"/>
      <w:r>
        <w:rPr>
          <w:rFonts w:ascii="Open Sans" w:hAnsi="Open Sans" w:cs="Open Sans"/>
          <w:color w:val="auto"/>
        </w:rPr>
        <w:t xml:space="preserve"> not</w:t>
      </w:r>
      <w:r w:rsidRPr="00DD4A24">
        <w:rPr>
          <w:rFonts w:ascii="Open Sans" w:hAnsi="Open Sans" w:cs="Open Sans"/>
          <w:color w:val="auto"/>
        </w:rPr>
        <w:t xml:space="preserve"> </w:t>
      </w:r>
      <w:r>
        <w:rPr>
          <w:rFonts w:ascii="Open Sans" w:hAnsi="Open Sans" w:cs="Open Sans"/>
          <w:color w:val="auto"/>
        </w:rPr>
        <w:t xml:space="preserve">been </w:t>
      </w:r>
      <w:r w:rsidRPr="00DD4A24">
        <w:rPr>
          <w:rFonts w:ascii="Open Sans" w:hAnsi="Open Sans" w:cs="Open Sans"/>
          <w:color w:val="auto"/>
        </w:rPr>
        <w:t>provide</w:t>
      </w:r>
      <w:r>
        <w:rPr>
          <w:rFonts w:ascii="Open Sans" w:hAnsi="Open Sans" w:cs="Open Sans"/>
          <w:color w:val="auto"/>
        </w:rPr>
        <w:t>d</w:t>
      </w:r>
      <w:r w:rsidRPr="00DD4A24">
        <w:rPr>
          <w:rFonts w:ascii="Open Sans" w:hAnsi="Open Sans" w:cs="Open Sans"/>
          <w:color w:val="auto"/>
        </w:rPr>
        <w:t xml:space="preserve"> </w:t>
      </w:r>
      <w:r>
        <w:rPr>
          <w:rFonts w:ascii="Open Sans" w:hAnsi="Open Sans" w:cs="Open Sans"/>
          <w:color w:val="auto"/>
        </w:rPr>
        <w:t xml:space="preserve">to </w:t>
      </w:r>
      <w:r w:rsidRPr="00DD4A24">
        <w:rPr>
          <w:rFonts w:ascii="Open Sans" w:hAnsi="Open Sans" w:cs="Open Sans"/>
          <w:color w:val="auto"/>
        </w:rPr>
        <w:t xml:space="preserve">staff </w:t>
      </w:r>
      <w:r>
        <w:rPr>
          <w:rFonts w:ascii="Open Sans" w:hAnsi="Open Sans" w:cs="Open Sans"/>
          <w:color w:val="auto"/>
        </w:rPr>
        <w:t xml:space="preserve">about individual consumer’s change </w:t>
      </w:r>
      <w:r w:rsidRPr="00DD4A24">
        <w:rPr>
          <w:rFonts w:ascii="Open Sans" w:hAnsi="Open Sans" w:cs="Open Sans"/>
          <w:color w:val="auto"/>
        </w:rPr>
        <w:t xml:space="preserve">behaviours </w:t>
      </w:r>
      <w:r>
        <w:rPr>
          <w:rFonts w:ascii="Open Sans" w:hAnsi="Open Sans" w:cs="Open Sans"/>
          <w:color w:val="auto"/>
        </w:rPr>
        <w:t>and on the use of any restrictive practice, including</w:t>
      </w:r>
      <w:r w:rsidRPr="00DD4A24">
        <w:rPr>
          <w:rFonts w:ascii="Open Sans" w:hAnsi="Open Sans" w:cs="Open Sans"/>
          <w:color w:val="auto"/>
        </w:rPr>
        <w:t xml:space="preserve"> the de-escalation strategy</w:t>
      </w:r>
      <w:r>
        <w:rPr>
          <w:rFonts w:ascii="Open Sans" w:hAnsi="Open Sans" w:cs="Open Sans"/>
          <w:color w:val="auto"/>
        </w:rPr>
        <w:t xml:space="preserve"> as a last resort to manage clearly articulated risks of harm, in accordance with the Quality of Care Principles</w:t>
      </w:r>
      <w:r w:rsidRPr="00DD4A24">
        <w:rPr>
          <w:rFonts w:ascii="Open Sans" w:hAnsi="Open Sans" w:cs="Open Sans"/>
          <w:color w:val="auto"/>
        </w:rPr>
        <w:t>.</w:t>
      </w:r>
      <w:r>
        <w:rPr>
          <w:rFonts w:ascii="Open Sans" w:hAnsi="Open Sans" w:cs="Open Sans"/>
          <w:color w:val="auto"/>
        </w:rPr>
        <w:t xml:space="preserve"> </w:t>
      </w:r>
    </w:p>
    <w:p w14:paraId="7823C6F6" w14:textId="77777777" w:rsidR="00413E8E" w:rsidRPr="00AA166A" w:rsidRDefault="00413E8E" w:rsidP="00413E8E">
      <w:pPr>
        <w:pStyle w:val="NormalArial"/>
        <w:rPr>
          <w:rFonts w:ascii="Open Sans" w:hAnsi="Open Sans" w:cs="Open Sans"/>
          <w:i/>
          <w:iCs/>
          <w:color w:val="auto"/>
        </w:rPr>
      </w:pPr>
      <w:r w:rsidRPr="00AA166A">
        <w:rPr>
          <w:rFonts w:ascii="Open Sans" w:hAnsi="Open Sans" w:cs="Open Sans"/>
          <w:i/>
          <w:iCs/>
          <w:color w:val="auto"/>
        </w:rPr>
        <w:t>Used in the least restrictive form, and for the shortest time</w:t>
      </w:r>
    </w:p>
    <w:p w14:paraId="0F94D53D" w14:textId="77777777" w:rsidR="00413E8E" w:rsidRPr="00FB48E4" w:rsidRDefault="00413E8E" w:rsidP="00413E8E">
      <w:pPr>
        <w:pStyle w:val="NormalArial"/>
        <w:rPr>
          <w:rFonts w:ascii="Open Sans" w:hAnsi="Open Sans" w:cs="Open Sans"/>
          <w:color w:val="auto"/>
        </w:rPr>
      </w:pPr>
      <w:r w:rsidRPr="00616A14">
        <w:rPr>
          <w:rFonts w:ascii="Open Sans" w:hAnsi="Open Sans" w:cs="Open Sans"/>
          <w:color w:val="auto"/>
        </w:rPr>
        <w:t>The level of supervision provided to consumers during use of the de-escalation strategy has not been clearly articulated</w:t>
      </w:r>
      <w:r>
        <w:rPr>
          <w:rFonts w:ascii="Open Sans" w:hAnsi="Open Sans" w:cs="Open Sans"/>
          <w:color w:val="auto"/>
        </w:rPr>
        <w:t xml:space="preserve"> or evidenced</w:t>
      </w:r>
      <w:r w:rsidRPr="00616A14">
        <w:rPr>
          <w:rFonts w:ascii="Open Sans" w:hAnsi="Open Sans" w:cs="Open Sans"/>
          <w:color w:val="auto"/>
        </w:rPr>
        <w:t xml:space="preserve">. </w:t>
      </w:r>
      <w:r>
        <w:rPr>
          <w:rFonts w:ascii="Open Sans" w:hAnsi="Open Sans" w:cs="Open Sans"/>
          <w:color w:val="auto"/>
        </w:rPr>
        <w:t xml:space="preserve">There are multiple descriptors used including ‘regular supervision’, ‘full supervision’, and monitoring by staff ‘every 10 minutes’ for recent incidents in October and November </w:t>
      </w:r>
      <w:r w:rsidRPr="00DB535F">
        <w:rPr>
          <w:rFonts w:ascii="Open Sans" w:hAnsi="Open Sans" w:cs="Open Sans"/>
          <w:color w:val="auto"/>
        </w:rPr>
        <w:t xml:space="preserve">2024. </w:t>
      </w:r>
      <w:r w:rsidRPr="00FB48E4">
        <w:rPr>
          <w:rFonts w:ascii="Open Sans" w:hAnsi="Open Sans" w:cs="Open Sans"/>
          <w:color w:val="auto"/>
        </w:rPr>
        <w:t xml:space="preserve">The </w:t>
      </w:r>
      <w:r>
        <w:rPr>
          <w:rFonts w:ascii="Open Sans" w:hAnsi="Open Sans" w:cs="Open Sans"/>
          <w:color w:val="auto"/>
        </w:rPr>
        <w:t>approved provider noted the</w:t>
      </w:r>
      <w:r w:rsidRPr="00FB48E4">
        <w:rPr>
          <w:rFonts w:ascii="Open Sans" w:hAnsi="Open Sans" w:cs="Open Sans"/>
          <w:color w:val="auto"/>
        </w:rPr>
        <w:t xml:space="preserve"> maximum period of use is 60 </w:t>
      </w:r>
      <w:proofErr w:type="gramStart"/>
      <w:r w:rsidRPr="00FB48E4">
        <w:rPr>
          <w:rFonts w:ascii="Open Sans" w:hAnsi="Open Sans" w:cs="Open Sans"/>
          <w:color w:val="auto"/>
        </w:rPr>
        <w:t>minutes</w:t>
      </w:r>
      <w:r>
        <w:rPr>
          <w:rFonts w:ascii="Open Sans" w:hAnsi="Open Sans" w:cs="Open Sans"/>
          <w:color w:val="auto"/>
        </w:rPr>
        <w:t>,</w:t>
      </w:r>
      <w:r w:rsidRPr="00FB48E4">
        <w:rPr>
          <w:rFonts w:ascii="Open Sans" w:hAnsi="Open Sans" w:cs="Open Sans"/>
          <w:color w:val="auto"/>
        </w:rPr>
        <w:t xml:space="preserve"> and</w:t>
      </w:r>
      <w:proofErr w:type="gramEnd"/>
      <w:r w:rsidRPr="00FB48E4">
        <w:rPr>
          <w:rFonts w:ascii="Open Sans" w:hAnsi="Open Sans" w:cs="Open Sans"/>
          <w:color w:val="auto"/>
        </w:rPr>
        <w:t xml:space="preserve"> </w:t>
      </w:r>
      <w:r>
        <w:rPr>
          <w:rFonts w:ascii="Open Sans" w:hAnsi="Open Sans" w:cs="Open Sans"/>
          <w:color w:val="auto"/>
        </w:rPr>
        <w:t xml:space="preserve">asserts </w:t>
      </w:r>
      <w:r w:rsidRPr="00FB48E4">
        <w:rPr>
          <w:rFonts w:ascii="Open Sans" w:hAnsi="Open Sans" w:cs="Open Sans"/>
          <w:color w:val="auto"/>
        </w:rPr>
        <w:t>this period has not been exceeded when the de-escalation strategy has been used.</w:t>
      </w:r>
    </w:p>
    <w:p w14:paraId="5BC54107" w14:textId="77777777" w:rsidR="00413E8E" w:rsidRPr="00EA3891" w:rsidRDefault="00413E8E" w:rsidP="00413E8E">
      <w:pPr>
        <w:pStyle w:val="NormalArial"/>
        <w:rPr>
          <w:rFonts w:ascii="Open Sans" w:hAnsi="Open Sans" w:cs="Open Sans"/>
          <w:color w:val="auto"/>
        </w:rPr>
      </w:pPr>
      <w:r w:rsidRPr="00EA3891">
        <w:rPr>
          <w:rFonts w:ascii="Open Sans" w:hAnsi="Open Sans" w:cs="Open Sans"/>
          <w:color w:val="auto"/>
        </w:rPr>
        <w:t>Positive risk assessments are completed</w:t>
      </w:r>
      <w:r>
        <w:rPr>
          <w:rFonts w:ascii="Open Sans" w:hAnsi="Open Sans" w:cs="Open Sans"/>
          <w:color w:val="auto"/>
        </w:rPr>
        <w:t xml:space="preserve"> when the de-escalation strategy is used.</w:t>
      </w:r>
      <w:r w:rsidRPr="00EA3891">
        <w:rPr>
          <w:rFonts w:ascii="Open Sans" w:hAnsi="Open Sans" w:cs="Open Sans"/>
          <w:color w:val="auto"/>
        </w:rPr>
        <w:t xml:space="preserve"> </w:t>
      </w:r>
      <w:r>
        <w:rPr>
          <w:rFonts w:ascii="Open Sans" w:hAnsi="Open Sans" w:cs="Open Sans"/>
          <w:color w:val="auto"/>
        </w:rPr>
        <w:t>H</w:t>
      </w:r>
      <w:r w:rsidRPr="00EA3891">
        <w:rPr>
          <w:rFonts w:ascii="Open Sans" w:hAnsi="Open Sans" w:cs="Open Sans"/>
          <w:color w:val="auto"/>
        </w:rPr>
        <w:t>owever</w:t>
      </w:r>
      <w:r>
        <w:rPr>
          <w:rFonts w:ascii="Open Sans" w:hAnsi="Open Sans" w:cs="Open Sans"/>
          <w:color w:val="auto"/>
        </w:rPr>
        <w:t>,</w:t>
      </w:r>
      <w:r w:rsidRPr="00EA3891">
        <w:rPr>
          <w:rFonts w:ascii="Open Sans" w:hAnsi="Open Sans" w:cs="Open Sans"/>
          <w:color w:val="auto"/>
        </w:rPr>
        <w:t xml:space="preserve"> </w:t>
      </w:r>
      <w:r>
        <w:rPr>
          <w:rFonts w:ascii="Open Sans" w:hAnsi="Open Sans" w:cs="Open Sans"/>
          <w:color w:val="auto"/>
        </w:rPr>
        <w:t xml:space="preserve">they do not provide sufficient detail to support the effective monitoring and evaluation of behaviour support strategies and the use of restrictive practices to ensure consumers are provided with best practice care to support their changed behaviours. For example, </w:t>
      </w:r>
      <w:r w:rsidRPr="00EA3891">
        <w:rPr>
          <w:rFonts w:ascii="Open Sans" w:hAnsi="Open Sans" w:cs="Open Sans"/>
          <w:color w:val="auto"/>
        </w:rPr>
        <w:t>they do not detail the events which precede</w:t>
      </w:r>
      <w:r>
        <w:rPr>
          <w:rFonts w:ascii="Open Sans" w:hAnsi="Open Sans" w:cs="Open Sans"/>
          <w:color w:val="auto"/>
        </w:rPr>
        <w:t>d the</w:t>
      </w:r>
      <w:r w:rsidRPr="00EA3891">
        <w:rPr>
          <w:rFonts w:ascii="Open Sans" w:hAnsi="Open Sans" w:cs="Open Sans"/>
          <w:color w:val="auto"/>
        </w:rPr>
        <w:t xml:space="preserve"> use of the de-escalation strategy</w:t>
      </w:r>
      <w:r>
        <w:rPr>
          <w:rFonts w:ascii="Open Sans" w:hAnsi="Open Sans" w:cs="Open Sans"/>
          <w:color w:val="auto"/>
        </w:rPr>
        <w:t>, including</w:t>
      </w:r>
      <w:r w:rsidRPr="00EA3891">
        <w:rPr>
          <w:rFonts w:ascii="Open Sans" w:hAnsi="Open Sans" w:cs="Open Sans"/>
          <w:color w:val="auto"/>
        </w:rPr>
        <w:t xml:space="preserve"> the behaviours </w:t>
      </w:r>
      <w:r>
        <w:rPr>
          <w:rFonts w:ascii="Open Sans" w:hAnsi="Open Sans" w:cs="Open Sans"/>
          <w:color w:val="auto"/>
        </w:rPr>
        <w:t>and risk of harm, the best practice</w:t>
      </w:r>
      <w:r w:rsidRPr="00EA3891">
        <w:rPr>
          <w:rFonts w:ascii="Open Sans" w:hAnsi="Open Sans" w:cs="Open Sans"/>
          <w:color w:val="auto"/>
        </w:rPr>
        <w:t xml:space="preserve"> </w:t>
      </w:r>
      <w:r>
        <w:rPr>
          <w:rFonts w:ascii="Open Sans" w:hAnsi="Open Sans" w:cs="Open Sans"/>
          <w:color w:val="auto"/>
        </w:rPr>
        <w:t>alternative</w:t>
      </w:r>
      <w:r w:rsidRPr="00EA3891">
        <w:rPr>
          <w:rFonts w:ascii="Open Sans" w:hAnsi="Open Sans" w:cs="Open Sans"/>
          <w:color w:val="auto"/>
        </w:rPr>
        <w:t xml:space="preserve"> strategies trialled</w:t>
      </w:r>
      <w:r>
        <w:rPr>
          <w:rFonts w:ascii="Open Sans" w:hAnsi="Open Sans" w:cs="Open Sans"/>
          <w:color w:val="auto"/>
        </w:rPr>
        <w:t xml:space="preserve"> and used,</w:t>
      </w:r>
      <w:r w:rsidRPr="00EA3891">
        <w:rPr>
          <w:rFonts w:ascii="Open Sans" w:hAnsi="Open Sans" w:cs="Open Sans"/>
          <w:color w:val="auto"/>
        </w:rPr>
        <w:t xml:space="preserve"> </w:t>
      </w:r>
      <w:r w:rsidRPr="00EA3891">
        <w:rPr>
          <w:rFonts w:ascii="Open Sans" w:hAnsi="Open Sans" w:cs="Open Sans"/>
          <w:color w:val="auto"/>
        </w:rPr>
        <w:lastRenderedPageBreak/>
        <w:t xml:space="preserve">consultations with consumer representatives </w:t>
      </w:r>
      <w:r>
        <w:rPr>
          <w:rFonts w:ascii="Open Sans" w:hAnsi="Open Sans" w:cs="Open Sans"/>
          <w:color w:val="auto"/>
        </w:rPr>
        <w:t>and</w:t>
      </w:r>
      <w:r w:rsidRPr="00EA3891">
        <w:rPr>
          <w:rFonts w:ascii="Open Sans" w:hAnsi="Open Sans" w:cs="Open Sans"/>
          <w:color w:val="auto"/>
        </w:rPr>
        <w:t xml:space="preserve"> </w:t>
      </w:r>
      <w:r>
        <w:rPr>
          <w:rFonts w:ascii="Open Sans" w:hAnsi="Open Sans" w:cs="Open Sans"/>
          <w:color w:val="auto"/>
        </w:rPr>
        <w:t>t</w:t>
      </w:r>
      <w:r w:rsidRPr="00EA3891">
        <w:rPr>
          <w:rFonts w:ascii="Open Sans" w:hAnsi="Open Sans" w:cs="Open Sans"/>
          <w:color w:val="auto"/>
        </w:rPr>
        <w:t>he successful strategies used to de-escalat</w:t>
      </w:r>
      <w:r>
        <w:rPr>
          <w:rFonts w:ascii="Open Sans" w:hAnsi="Open Sans" w:cs="Open Sans"/>
          <w:color w:val="auto"/>
        </w:rPr>
        <w:t>e</w:t>
      </w:r>
      <w:r w:rsidRPr="00EA3891">
        <w:rPr>
          <w:rFonts w:ascii="Open Sans" w:hAnsi="Open Sans" w:cs="Open Sans"/>
          <w:color w:val="auto"/>
        </w:rPr>
        <w:t xml:space="preserve"> </w:t>
      </w:r>
      <w:r>
        <w:rPr>
          <w:rFonts w:ascii="Open Sans" w:hAnsi="Open Sans" w:cs="Open Sans"/>
          <w:color w:val="auto"/>
        </w:rPr>
        <w:t>the situation and support the consumer</w:t>
      </w:r>
      <w:r w:rsidRPr="00EA3891">
        <w:rPr>
          <w:rFonts w:ascii="Open Sans" w:hAnsi="Open Sans" w:cs="Open Sans"/>
          <w:color w:val="auto"/>
        </w:rPr>
        <w:t>.</w:t>
      </w:r>
    </w:p>
    <w:p w14:paraId="395C8867" w14:textId="77777777" w:rsidR="00413E8E" w:rsidRPr="008C4B8C" w:rsidRDefault="00413E8E" w:rsidP="00413E8E">
      <w:pPr>
        <w:pStyle w:val="NormalArial"/>
        <w:rPr>
          <w:rFonts w:ascii="Open Sans" w:hAnsi="Open Sans" w:cs="Open Sans"/>
          <w:color w:val="auto"/>
        </w:rPr>
      </w:pPr>
      <w:r w:rsidRPr="008C4B8C">
        <w:rPr>
          <w:rFonts w:ascii="Open Sans" w:hAnsi="Open Sans" w:cs="Open Sans"/>
          <w:color w:val="auto"/>
        </w:rPr>
        <w:t xml:space="preserve">It is unclear from the safe operation procedure if the entry door to the de-escalation strategy is locked when the room is in use. I note that if </w:t>
      </w:r>
      <w:r>
        <w:rPr>
          <w:rFonts w:ascii="Open Sans" w:hAnsi="Open Sans" w:cs="Open Sans"/>
          <w:color w:val="auto"/>
        </w:rPr>
        <w:t xml:space="preserve">a </w:t>
      </w:r>
      <w:r w:rsidRPr="008C4B8C">
        <w:rPr>
          <w:rFonts w:ascii="Open Sans" w:hAnsi="Open Sans" w:cs="Open Sans"/>
          <w:color w:val="auto"/>
        </w:rPr>
        <w:t>locked</w:t>
      </w:r>
      <w:r>
        <w:rPr>
          <w:rFonts w:ascii="Open Sans" w:hAnsi="Open Sans" w:cs="Open Sans"/>
          <w:color w:val="auto"/>
        </w:rPr>
        <w:t xml:space="preserve"> door was used</w:t>
      </w:r>
      <w:r w:rsidRPr="008C4B8C">
        <w:rPr>
          <w:rFonts w:ascii="Open Sans" w:hAnsi="Open Sans" w:cs="Open Sans"/>
          <w:color w:val="auto"/>
        </w:rPr>
        <w:t xml:space="preserve">, </w:t>
      </w:r>
      <w:r>
        <w:rPr>
          <w:rFonts w:ascii="Open Sans" w:hAnsi="Open Sans" w:cs="Open Sans"/>
          <w:color w:val="auto"/>
        </w:rPr>
        <w:t>this practice may be an</w:t>
      </w:r>
      <w:r w:rsidRPr="008C4B8C">
        <w:rPr>
          <w:rFonts w:ascii="Open Sans" w:hAnsi="Open Sans" w:cs="Open Sans"/>
          <w:color w:val="auto"/>
        </w:rPr>
        <w:t xml:space="preserve"> environment</w:t>
      </w:r>
      <w:r>
        <w:rPr>
          <w:rFonts w:ascii="Open Sans" w:hAnsi="Open Sans" w:cs="Open Sans"/>
          <w:color w:val="auto"/>
        </w:rPr>
        <w:t>al</w:t>
      </w:r>
      <w:r w:rsidRPr="008C4B8C">
        <w:rPr>
          <w:rFonts w:ascii="Open Sans" w:hAnsi="Open Sans" w:cs="Open Sans"/>
          <w:color w:val="auto"/>
        </w:rPr>
        <w:t xml:space="preserve"> restraint and</w:t>
      </w:r>
      <w:r>
        <w:rPr>
          <w:rFonts w:ascii="Open Sans" w:hAnsi="Open Sans" w:cs="Open Sans"/>
          <w:color w:val="auto"/>
        </w:rPr>
        <w:t>/or</w:t>
      </w:r>
      <w:r w:rsidRPr="008C4B8C">
        <w:rPr>
          <w:rFonts w:ascii="Open Sans" w:hAnsi="Open Sans" w:cs="Open Sans"/>
          <w:color w:val="auto"/>
        </w:rPr>
        <w:t xml:space="preserve"> seclusion </w:t>
      </w:r>
      <w:r>
        <w:rPr>
          <w:rFonts w:ascii="Open Sans" w:hAnsi="Open Sans" w:cs="Open Sans"/>
          <w:color w:val="auto"/>
        </w:rPr>
        <w:t xml:space="preserve">if </w:t>
      </w:r>
      <w:r w:rsidRPr="008C4B8C">
        <w:rPr>
          <w:rFonts w:ascii="Open Sans" w:hAnsi="Open Sans" w:cs="Open Sans"/>
          <w:color w:val="auto"/>
        </w:rPr>
        <w:t xml:space="preserve">it restricts </w:t>
      </w:r>
      <w:r>
        <w:rPr>
          <w:rFonts w:ascii="Open Sans" w:hAnsi="Open Sans" w:cs="Open Sans"/>
          <w:color w:val="auto"/>
        </w:rPr>
        <w:t xml:space="preserve">a consumer’s </w:t>
      </w:r>
      <w:r w:rsidRPr="008C4B8C">
        <w:rPr>
          <w:rFonts w:ascii="Open Sans" w:hAnsi="Open Sans" w:cs="Open Sans"/>
          <w:color w:val="auto"/>
        </w:rPr>
        <w:t xml:space="preserve">free </w:t>
      </w:r>
      <w:r>
        <w:rPr>
          <w:rFonts w:ascii="Open Sans" w:hAnsi="Open Sans" w:cs="Open Sans"/>
          <w:color w:val="auto"/>
        </w:rPr>
        <w:t>access to their environment</w:t>
      </w:r>
      <w:r w:rsidRPr="008C4B8C">
        <w:rPr>
          <w:rFonts w:ascii="Open Sans" w:hAnsi="Open Sans" w:cs="Open Sans"/>
          <w:color w:val="auto"/>
        </w:rPr>
        <w:t xml:space="preserve"> and</w:t>
      </w:r>
      <w:r>
        <w:rPr>
          <w:rFonts w:ascii="Open Sans" w:hAnsi="Open Sans" w:cs="Open Sans"/>
          <w:color w:val="auto"/>
        </w:rPr>
        <w:t>/or results in</w:t>
      </w:r>
      <w:r w:rsidRPr="008C4B8C">
        <w:rPr>
          <w:rFonts w:ascii="Open Sans" w:hAnsi="Open Sans" w:cs="Open Sans"/>
          <w:color w:val="auto"/>
        </w:rPr>
        <w:t xml:space="preserve"> </w:t>
      </w:r>
      <w:r>
        <w:rPr>
          <w:rFonts w:ascii="Open Sans" w:hAnsi="Open Sans" w:cs="Open Sans"/>
          <w:color w:val="auto"/>
        </w:rPr>
        <w:t xml:space="preserve">the </w:t>
      </w:r>
      <w:r w:rsidRPr="008C4B8C">
        <w:rPr>
          <w:rFonts w:ascii="Open Sans" w:hAnsi="Open Sans" w:cs="Open Sans"/>
          <w:color w:val="auto"/>
        </w:rPr>
        <w:t>consumer</w:t>
      </w:r>
      <w:r>
        <w:rPr>
          <w:rFonts w:ascii="Open Sans" w:hAnsi="Open Sans" w:cs="Open Sans"/>
          <w:color w:val="auto"/>
        </w:rPr>
        <w:t>’</w:t>
      </w:r>
      <w:r w:rsidRPr="008C4B8C">
        <w:rPr>
          <w:rFonts w:ascii="Open Sans" w:hAnsi="Open Sans" w:cs="Open Sans"/>
          <w:color w:val="auto"/>
        </w:rPr>
        <w:t xml:space="preserve">s </w:t>
      </w:r>
      <w:r>
        <w:rPr>
          <w:rFonts w:ascii="Open Sans" w:hAnsi="Open Sans" w:cs="Open Sans"/>
          <w:color w:val="auto"/>
        </w:rPr>
        <w:t>solitary confinement</w:t>
      </w:r>
      <w:r w:rsidRPr="008C4B8C">
        <w:rPr>
          <w:rFonts w:ascii="Open Sans" w:hAnsi="Open Sans" w:cs="Open Sans"/>
          <w:color w:val="auto"/>
        </w:rPr>
        <w:t>.</w:t>
      </w:r>
      <w:r>
        <w:rPr>
          <w:rFonts w:ascii="Open Sans" w:hAnsi="Open Sans" w:cs="Open Sans"/>
          <w:color w:val="auto"/>
        </w:rPr>
        <w:t xml:space="preserve"> Further, if a practice or intervention implies that voluntary exit is not permitted from a room or physical space, that too can be a restrictive practice.</w:t>
      </w:r>
    </w:p>
    <w:p w14:paraId="2DE9AF9C" w14:textId="77777777" w:rsidR="00413E8E" w:rsidRPr="00AE445B" w:rsidRDefault="00413E8E" w:rsidP="00413E8E">
      <w:pPr>
        <w:pStyle w:val="NormalArial"/>
        <w:rPr>
          <w:rFonts w:ascii="Open Sans" w:hAnsi="Open Sans" w:cs="Open Sans"/>
          <w:color w:val="auto"/>
        </w:rPr>
      </w:pPr>
      <w:r w:rsidRPr="00AE445B">
        <w:rPr>
          <w:rFonts w:ascii="Open Sans" w:hAnsi="Open Sans" w:cs="Open Sans"/>
          <w:color w:val="auto"/>
        </w:rPr>
        <w:t xml:space="preserve">I am not satisfied </w:t>
      </w:r>
      <w:r>
        <w:rPr>
          <w:rFonts w:ascii="Open Sans" w:hAnsi="Open Sans" w:cs="Open Sans"/>
          <w:color w:val="auto"/>
        </w:rPr>
        <w:t xml:space="preserve">the approved provider has demonstrated </w:t>
      </w:r>
      <w:r w:rsidRPr="00AE445B">
        <w:rPr>
          <w:rFonts w:ascii="Open Sans" w:hAnsi="Open Sans" w:cs="Open Sans"/>
          <w:color w:val="auto"/>
        </w:rPr>
        <w:t xml:space="preserve">that consumers </w:t>
      </w:r>
      <w:r>
        <w:rPr>
          <w:rFonts w:ascii="Open Sans" w:hAnsi="Open Sans" w:cs="Open Sans"/>
          <w:color w:val="auto"/>
        </w:rPr>
        <w:t xml:space="preserve">who experience the de-escalation strategy </w:t>
      </w:r>
      <w:r w:rsidRPr="00AE445B">
        <w:rPr>
          <w:rFonts w:ascii="Open Sans" w:hAnsi="Open Sans" w:cs="Open Sans"/>
          <w:color w:val="auto"/>
        </w:rPr>
        <w:t xml:space="preserve">are provided with consistent and </w:t>
      </w:r>
      <w:r>
        <w:rPr>
          <w:rFonts w:ascii="Open Sans" w:hAnsi="Open Sans" w:cs="Open Sans"/>
          <w:color w:val="auto"/>
        </w:rPr>
        <w:t>appropriate</w:t>
      </w:r>
      <w:r w:rsidRPr="00AE445B">
        <w:rPr>
          <w:rFonts w:ascii="Open Sans" w:hAnsi="Open Sans" w:cs="Open Sans"/>
          <w:color w:val="auto"/>
        </w:rPr>
        <w:t xml:space="preserve"> supervision</w:t>
      </w:r>
      <w:r>
        <w:rPr>
          <w:rFonts w:ascii="Open Sans" w:hAnsi="Open Sans" w:cs="Open Sans"/>
          <w:color w:val="auto"/>
        </w:rPr>
        <w:t xml:space="preserve"> and support which ensures their safety and well-being</w:t>
      </w:r>
      <w:r w:rsidRPr="00AE445B">
        <w:rPr>
          <w:rFonts w:ascii="Open Sans" w:hAnsi="Open Sans" w:cs="Open Sans"/>
          <w:color w:val="auto"/>
        </w:rPr>
        <w:t xml:space="preserve">. </w:t>
      </w:r>
      <w:r>
        <w:rPr>
          <w:rFonts w:ascii="Open Sans" w:hAnsi="Open Sans" w:cs="Open Sans"/>
          <w:color w:val="auto"/>
        </w:rPr>
        <w:t>The application of</w:t>
      </w:r>
      <w:r w:rsidRPr="00AE445B">
        <w:rPr>
          <w:rFonts w:ascii="Open Sans" w:hAnsi="Open Sans" w:cs="Open Sans"/>
          <w:color w:val="auto"/>
        </w:rPr>
        <w:t xml:space="preserve"> additional behaviour support </w:t>
      </w:r>
      <w:r>
        <w:rPr>
          <w:rFonts w:ascii="Open Sans" w:hAnsi="Open Sans" w:cs="Open Sans"/>
          <w:color w:val="auto"/>
        </w:rPr>
        <w:t>strategies</w:t>
      </w:r>
      <w:r w:rsidRPr="00AE445B">
        <w:rPr>
          <w:rFonts w:ascii="Open Sans" w:hAnsi="Open Sans" w:cs="Open Sans"/>
          <w:color w:val="auto"/>
        </w:rPr>
        <w:t xml:space="preserve"> that promote reassurance and safety, and </w:t>
      </w:r>
      <w:r>
        <w:rPr>
          <w:rFonts w:ascii="Open Sans" w:hAnsi="Open Sans" w:cs="Open Sans"/>
          <w:color w:val="auto"/>
        </w:rPr>
        <w:t>evidence that</w:t>
      </w:r>
      <w:r w:rsidRPr="00AE445B">
        <w:rPr>
          <w:rFonts w:ascii="Open Sans" w:hAnsi="Open Sans" w:cs="Open Sans"/>
          <w:color w:val="auto"/>
        </w:rPr>
        <w:t xml:space="preserve"> the periods of de-escalation are being applied for the shortest time possible</w:t>
      </w:r>
      <w:r>
        <w:rPr>
          <w:rFonts w:ascii="Open Sans" w:hAnsi="Open Sans" w:cs="Open Sans"/>
          <w:color w:val="auto"/>
        </w:rPr>
        <w:t xml:space="preserve"> and in the least restrictive form has not been demonstrated</w:t>
      </w:r>
      <w:r w:rsidRPr="00AE445B">
        <w:rPr>
          <w:rFonts w:ascii="Open Sans" w:hAnsi="Open Sans" w:cs="Open Sans"/>
          <w:color w:val="auto"/>
        </w:rPr>
        <w:t xml:space="preserve">. </w:t>
      </w:r>
    </w:p>
    <w:p w14:paraId="7902C57E" w14:textId="77777777" w:rsidR="00413E8E" w:rsidRPr="001F49DB" w:rsidRDefault="00413E8E" w:rsidP="00413E8E">
      <w:pPr>
        <w:pStyle w:val="NormalArial"/>
        <w:rPr>
          <w:rFonts w:ascii="Open Sans" w:hAnsi="Open Sans" w:cs="Open Sans"/>
          <w:i/>
          <w:iCs/>
          <w:color w:val="auto"/>
        </w:rPr>
      </w:pPr>
      <w:r w:rsidRPr="001F49DB">
        <w:rPr>
          <w:rFonts w:ascii="Open Sans" w:hAnsi="Open Sans" w:cs="Open Sans"/>
          <w:i/>
          <w:iCs/>
          <w:color w:val="auto"/>
        </w:rPr>
        <w:t xml:space="preserve">Informed consent </w:t>
      </w:r>
    </w:p>
    <w:p w14:paraId="7A5F5A19" w14:textId="77777777" w:rsidR="00413E8E" w:rsidRPr="001F49DB" w:rsidRDefault="00413E8E" w:rsidP="00413E8E">
      <w:pPr>
        <w:pStyle w:val="NormalArial"/>
        <w:rPr>
          <w:rFonts w:ascii="Open Sans" w:hAnsi="Open Sans" w:cs="Open Sans"/>
          <w:color w:val="auto"/>
        </w:rPr>
      </w:pPr>
      <w:r w:rsidRPr="001F49DB">
        <w:rPr>
          <w:rFonts w:ascii="Open Sans" w:hAnsi="Open Sans" w:cs="Open Sans"/>
          <w:color w:val="auto"/>
        </w:rPr>
        <w:t xml:space="preserve">Based on the information submitted, </w:t>
      </w:r>
      <w:r>
        <w:rPr>
          <w:rFonts w:ascii="Open Sans" w:hAnsi="Open Sans" w:cs="Open Sans"/>
          <w:color w:val="auto"/>
        </w:rPr>
        <w:t>the approved provider</w:t>
      </w:r>
      <w:r w:rsidRPr="001F49DB">
        <w:rPr>
          <w:rFonts w:ascii="Open Sans" w:hAnsi="Open Sans" w:cs="Open Sans"/>
          <w:color w:val="auto"/>
        </w:rPr>
        <w:t xml:space="preserve"> has </w:t>
      </w:r>
      <w:r>
        <w:rPr>
          <w:rFonts w:ascii="Open Sans" w:hAnsi="Open Sans" w:cs="Open Sans"/>
          <w:color w:val="auto"/>
        </w:rPr>
        <w:t xml:space="preserve">not </w:t>
      </w:r>
      <w:r w:rsidRPr="001F49DB">
        <w:rPr>
          <w:rFonts w:ascii="Open Sans" w:hAnsi="Open Sans" w:cs="Open Sans"/>
          <w:color w:val="auto"/>
        </w:rPr>
        <w:t xml:space="preserve">demonstrated </w:t>
      </w:r>
      <w:r>
        <w:rPr>
          <w:rFonts w:ascii="Open Sans" w:hAnsi="Open Sans" w:cs="Open Sans"/>
          <w:color w:val="auto"/>
        </w:rPr>
        <w:t xml:space="preserve">that informed consent </w:t>
      </w:r>
      <w:r w:rsidRPr="001F49DB">
        <w:rPr>
          <w:rFonts w:ascii="Open Sans" w:hAnsi="Open Sans" w:cs="Open Sans"/>
          <w:color w:val="auto"/>
        </w:rPr>
        <w:t>for use of the de-escalation strategy</w:t>
      </w:r>
      <w:r>
        <w:rPr>
          <w:rFonts w:ascii="Open Sans" w:hAnsi="Open Sans" w:cs="Open Sans"/>
          <w:color w:val="auto"/>
        </w:rPr>
        <w:t xml:space="preserve"> has been obtained in accordance with the </w:t>
      </w:r>
      <w:proofErr w:type="gramStart"/>
      <w:r>
        <w:rPr>
          <w:rFonts w:ascii="Open Sans" w:hAnsi="Open Sans" w:cs="Open Sans"/>
          <w:color w:val="auto"/>
        </w:rPr>
        <w:t>Quality of Care</w:t>
      </w:r>
      <w:proofErr w:type="gramEnd"/>
      <w:r>
        <w:rPr>
          <w:rFonts w:ascii="Open Sans" w:hAnsi="Open Sans" w:cs="Open Sans"/>
          <w:color w:val="auto"/>
        </w:rPr>
        <w:t xml:space="preserve"> Principles.</w:t>
      </w:r>
      <w:r w:rsidRPr="001F49DB">
        <w:rPr>
          <w:rFonts w:ascii="Open Sans" w:hAnsi="Open Sans" w:cs="Open Sans"/>
          <w:color w:val="auto"/>
        </w:rPr>
        <w:t xml:space="preserve"> </w:t>
      </w:r>
      <w:r>
        <w:rPr>
          <w:rFonts w:ascii="Open Sans" w:hAnsi="Open Sans" w:cs="Open Sans"/>
          <w:color w:val="auto"/>
        </w:rPr>
        <w:t>There was</w:t>
      </w:r>
      <w:r w:rsidRPr="001F49DB">
        <w:rPr>
          <w:rFonts w:ascii="Open Sans" w:hAnsi="Open Sans" w:cs="Open Sans"/>
          <w:color w:val="auto"/>
        </w:rPr>
        <w:t xml:space="preserve"> </w:t>
      </w:r>
      <w:r>
        <w:rPr>
          <w:rFonts w:ascii="Open Sans" w:hAnsi="Open Sans" w:cs="Open Sans"/>
          <w:color w:val="auto"/>
        </w:rPr>
        <w:t>limited</w:t>
      </w:r>
      <w:r w:rsidRPr="001F49DB">
        <w:rPr>
          <w:rFonts w:ascii="Open Sans" w:hAnsi="Open Sans" w:cs="Open Sans"/>
          <w:color w:val="auto"/>
        </w:rPr>
        <w:t xml:space="preserve"> evidence </w:t>
      </w:r>
      <w:r>
        <w:rPr>
          <w:rFonts w:ascii="Open Sans" w:hAnsi="Open Sans" w:cs="Open Sans"/>
          <w:color w:val="auto"/>
        </w:rPr>
        <w:t>presented</w:t>
      </w:r>
      <w:r w:rsidRPr="001F49DB">
        <w:rPr>
          <w:rFonts w:ascii="Open Sans" w:hAnsi="Open Sans" w:cs="Open Sans"/>
          <w:color w:val="auto"/>
        </w:rPr>
        <w:t xml:space="preserve"> </w:t>
      </w:r>
      <w:r>
        <w:rPr>
          <w:rFonts w:ascii="Open Sans" w:hAnsi="Open Sans" w:cs="Open Sans"/>
          <w:color w:val="auto"/>
        </w:rPr>
        <w:t>about</w:t>
      </w:r>
      <w:r w:rsidRPr="001F49DB">
        <w:rPr>
          <w:rFonts w:ascii="Open Sans" w:hAnsi="Open Sans" w:cs="Open Sans"/>
          <w:color w:val="auto"/>
        </w:rPr>
        <w:t xml:space="preserve"> the information provided to </w:t>
      </w:r>
      <w:r>
        <w:rPr>
          <w:rFonts w:ascii="Open Sans" w:hAnsi="Open Sans" w:cs="Open Sans"/>
          <w:color w:val="auto"/>
        </w:rPr>
        <w:t xml:space="preserve">consumers and their Restrictive Practices Substitute Decision Maker about the de-escalation strategy which supported them to </w:t>
      </w:r>
      <w:r w:rsidRPr="001F49DB">
        <w:rPr>
          <w:rFonts w:ascii="Open Sans" w:hAnsi="Open Sans" w:cs="Open Sans"/>
          <w:color w:val="auto"/>
        </w:rPr>
        <w:t xml:space="preserve">make </w:t>
      </w:r>
      <w:r>
        <w:rPr>
          <w:rFonts w:ascii="Open Sans" w:hAnsi="Open Sans" w:cs="Open Sans"/>
          <w:color w:val="auto"/>
        </w:rPr>
        <w:t xml:space="preserve">an </w:t>
      </w:r>
      <w:r w:rsidRPr="001F49DB">
        <w:rPr>
          <w:rFonts w:ascii="Open Sans" w:hAnsi="Open Sans" w:cs="Open Sans"/>
          <w:color w:val="auto"/>
        </w:rPr>
        <w:t>informed choice</w:t>
      </w:r>
      <w:r>
        <w:rPr>
          <w:rFonts w:ascii="Open Sans" w:hAnsi="Open Sans" w:cs="Open Sans"/>
          <w:color w:val="auto"/>
        </w:rPr>
        <w:t>, including the circumstances of its use and best practice alternatives used prior.</w:t>
      </w:r>
    </w:p>
    <w:p w14:paraId="37105D81" w14:textId="77777777" w:rsidR="00413E8E" w:rsidRPr="00391625" w:rsidRDefault="00413E8E" w:rsidP="00413E8E">
      <w:pPr>
        <w:pStyle w:val="NormalArial"/>
        <w:rPr>
          <w:rFonts w:ascii="Open Sans" w:hAnsi="Open Sans" w:cs="Open Sans"/>
          <w:i/>
          <w:iCs/>
          <w:color w:val="auto"/>
        </w:rPr>
      </w:pPr>
      <w:r w:rsidRPr="00391625">
        <w:rPr>
          <w:rFonts w:ascii="Open Sans" w:hAnsi="Open Sans" w:cs="Open Sans"/>
          <w:i/>
          <w:iCs/>
          <w:color w:val="auto"/>
        </w:rPr>
        <w:t xml:space="preserve">Other considerations </w:t>
      </w:r>
    </w:p>
    <w:p w14:paraId="09DFF169" w14:textId="77777777" w:rsidR="00413E8E" w:rsidRPr="00391625" w:rsidRDefault="00413E8E" w:rsidP="00413E8E">
      <w:pPr>
        <w:pStyle w:val="NormalArial"/>
        <w:rPr>
          <w:rFonts w:ascii="Open Sans" w:hAnsi="Open Sans" w:cs="Open Sans"/>
          <w:color w:val="auto"/>
        </w:rPr>
      </w:pPr>
      <w:r w:rsidRPr="00391625">
        <w:rPr>
          <w:rFonts w:ascii="Open Sans" w:hAnsi="Open Sans" w:cs="Open Sans"/>
          <w:color w:val="auto"/>
        </w:rPr>
        <w:t>The approved provider submitted photographs of the de-escalation strateg</w:t>
      </w:r>
      <w:r>
        <w:rPr>
          <w:rFonts w:ascii="Open Sans" w:hAnsi="Open Sans" w:cs="Open Sans"/>
          <w:color w:val="auto"/>
        </w:rPr>
        <w:t>y</w:t>
      </w:r>
      <w:r w:rsidRPr="00391625">
        <w:rPr>
          <w:rFonts w:ascii="Open Sans" w:hAnsi="Open Sans" w:cs="Open Sans"/>
          <w:color w:val="auto"/>
        </w:rPr>
        <w:t xml:space="preserve">, which does not align with </w:t>
      </w:r>
      <w:r>
        <w:rPr>
          <w:rFonts w:ascii="Open Sans" w:hAnsi="Open Sans" w:cs="Open Sans"/>
          <w:color w:val="auto"/>
        </w:rPr>
        <w:t>the best practice</w:t>
      </w:r>
      <w:r w:rsidRPr="00391625">
        <w:rPr>
          <w:rFonts w:ascii="Open Sans" w:hAnsi="Open Sans" w:cs="Open Sans"/>
          <w:color w:val="auto"/>
        </w:rPr>
        <w:t xml:space="preserve"> design principles </w:t>
      </w:r>
      <w:r>
        <w:rPr>
          <w:rFonts w:ascii="Open Sans" w:hAnsi="Open Sans" w:cs="Open Sans"/>
          <w:color w:val="auto"/>
        </w:rPr>
        <w:t>and</w:t>
      </w:r>
      <w:r w:rsidRPr="00391625">
        <w:rPr>
          <w:rFonts w:ascii="Open Sans" w:hAnsi="Open Sans" w:cs="Open Sans"/>
          <w:color w:val="auto"/>
        </w:rPr>
        <w:t xml:space="preserve"> recommend</w:t>
      </w:r>
      <w:r>
        <w:rPr>
          <w:rFonts w:ascii="Open Sans" w:hAnsi="Open Sans" w:cs="Open Sans"/>
          <w:color w:val="auto"/>
        </w:rPr>
        <w:t>ations relating to the use of</w:t>
      </w:r>
      <w:r w:rsidRPr="00391625">
        <w:rPr>
          <w:rFonts w:ascii="Open Sans" w:hAnsi="Open Sans" w:cs="Open Sans"/>
          <w:color w:val="auto"/>
        </w:rPr>
        <w:t xml:space="preserve"> sensory features </w:t>
      </w:r>
      <w:r>
        <w:rPr>
          <w:rFonts w:ascii="Open Sans" w:hAnsi="Open Sans" w:cs="Open Sans"/>
          <w:color w:val="auto"/>
        </w:rPr>
        <w:t>for consumer support were</w:t>
      </w:r>
      <w:r w:rsidRPr="00391625">
        <w:rPr>
          <w:rFonts w:ascii="Open Sans" w:hAnsi="Open Sans" w:cs="Open Sans"/>
          <w:color w:val="auto"/>
        </w:rPr>
        <w:t xml:space="preserve"> </w:t>
      </w:r>
      <w:r>
        <w:rPr>
          <w:rFonts w:ascii="Open Sans" w:hAnsi="Open Sans" w:cs="Open Sans"/>
          <w:color w:val="auto"/>
        </w:rPr>
        <w:t xml:space="preserve">not </w:t>
      </w:r>
      <w:r w:rsidRPr="00391625">
        <w:rPr>
          <w:rFonts w:ascii="Open Sans" w:hAnsi="Open Sans" w:cs="Open Sans"/>
          <w:color w:val="auto"/>
        </w:rPr>
        <w:t>observed.</w:t>
      </w:r>
    </w:p>
    <w:p w14:paraId="6F3D10EC" w14:textId="77777777" w:rsidR="00413E8E" w:rsidRPr="00391625" w:rsidRDefault="00413E8E" w:rsidP="00413E8E">
      <w:pPr>
        <w:pStyle w:val="NormalArial"/>
        <w:rPr>
          <w:rFonts w:ascii="Open Sans" w:hAnsi="Open Sans" w:cs="Open Sans"/>
          <w:color w:val="auto"/>
        </w:rPr>
      </w:pPr>
      <w:r w:rsidRPr="00391625">
        <w:rPr>
          <w:rFonts w:ascii="Open Sans" w:hAnsi="Open Sans" w:cs="Open Sans"/>
          <w:color w:val="auto"/>
        </w:rPr>
        <w:t xml:space="preserve">The safe operation procedure notes staff are required to ‘maintain line-of-sight’, however the photographs do not demonstrate whether staff have clear sight when they are not physically located with the consumer. </w:t>
      </w:r>
      <w:r>
        <w:rPr>
          <w:rFonts w:ascii="Open Sans" w:hAnsi="Open Sans" w:cs="Open Sans"/>
          <w:color w:val="auto"/>
        </w:rPr>
        <w:t>In addition, consumer care plans, behaviour support plans and the safe operation procedure do not clearly describe or provide adequate information to guide and support staff to understand how they are to support each consumer when the de-escalation strategy is used.</w:t>
      </w:r>
    </w:p>
    <w:p w14:paraId="14BF2E64" w14:textId="77777777" w:rsidR="00413E8E" w:rsidRPr="00C666D2" w:rsidRDefault="00413E8E" w:rsidP="00413E8E">
      <w:pPr>
        <w:pStyle w:val="NormalArial"/>
        <w:rPr>
          <w:rFonts w:ascii="Open Sans" w:hAnsi="Open Sans" w:cs="Open Sans"/>
          <w:i/>
          <w:iCs/>
          <w:color w:val="auto"/>
        </w:rPr>
      </w:pPr>
      <w:r w:rsidRPr="00C666D2">
        <w:rPr>
          <w:rFonts w:ascii="Open Sans" w:hAnsi="Open Sans" w:cs="Open Sans"/>
          <w:i/>
          <w:iCs/>
          <w:color w:val="auto"/>
        </w:rPr>
        <w:t>Summary of decision for Requirement 3(3)(b)</w:t>
      </w:r>
    </w:p>
    <w:p w14:paraId="0563612A" w14:textId="77777777" w:rsidR="00413E8E" w:rsidRPr="00C666D2" w:rsidRDefault="00413E8E" w:rsidP="00413E8E">
      <w:pPr>
        <w:pStyle w:val="NormalArial"/>
        <w:rPr>
          <w:rFonts w:ascii="Open Sans" w:hAnsi="Open Sans" w:cs="Open Sans"/>
          <w:color w:val="auto"/>
        </w:rPr>
      </w:pPr>
      <w:r w:rsidRPr="00C666D2">
        <w:rPr>
          <w:rFonts w:ascii="Open Sans" w:hAnsi="Open Sans" w:cs="Open Sans"/>
          <w:color w:val="auto"/>
        </w:rPr>
        <w:t xml:space="preserve">I do not consider the approved provider has demonstrated </w:t>
      </w:r>
      <w:r>
        <w:rPr>
          <w:rFonts w:ascii="Open Sans" w:hAnsi="Open Sans" w:cs="Open Sans"/>
          <w:color w:val="auto"/>
        </w:rPr>
        <w:t>a consistent or correct</w:t>
      </w:r>
      <w:r w:rsidRPr="00C666D2">
        <w:rPr>
          <w:rFonts w:ascii="Open Sans" w:hAnsi="Open Sans" w:cs="Open Sans"/>
          <w:color w:val="auto"/>
        </w:rPr>
        <w:t xml:space="preserve"> understanding </w:t>
      </w:r>
      <w:r>
        <w:rPr>
          <w:rFonts w:ascii="Open Sans" w:hAnsi="Open Sans" w:cs="Open Sans"/>
          <w:color w:val="auto"/>
        </w:rPr>
        <w:t xml:space="preserve">and identification </w:t>
      </w:r>
      <w:r w:rsidRPr="00C666D2">
        <w:rPr>
          <w:rFonts w:ascii="Open Sans" w:hAnsi="Open Sans" w:cs="Open Sans"/>
          <w:color w:val="auto"/>
        </w:rPr>
        <w:t xml:space="preserve">of </w:t>
      </w:r>
      <w:r>
        <w:rPr>
          <w:rFonts w:ascii="Open Sans" w:hAnsi="Open Sans" w:cs="Open Sans"/>
          <w:color w:val="auto"/>
        </w:rPr>
        <w:t xml:space="preserve">practices or interventions that are a </w:t>
      </w:r>
      <w:proofErr w:type="gramStart"/>
      <w:r w:rsidRPr="00C666D2">
        <w:rPr>
          <w:rFonts w:ascii="Open Sans" w:hAnsi="Open Sans" w:cs="Open Sans"/>
          <w:color w:val="auto"/>
        </w:rPr>
        <w:lastRenderedPageBreak/>
        <w:t>restrictive practices</w:t>
      </w:r>
      <w:proofErr w:type="gramEnd"/>
      <w:r w:rsidRPr="00C666D2">
        <w:rPr>
          <w:rFonts w:ascii="Open Sans" w:hAnsi="Open Sans" w:cs="Open Sans"/>
          <w:color w:val="auto"/>
        </w:rPr>
        <w:t xml:space="preserve">, </w:t>
      </w:r>
      <w:r>
        <w:rPr>
          <w:rFonts w:ascii="Open Sans" w:hAnsi="Open Sans" w:cs="Open Sans"/>
          <w:color w:val="auto"/>
        </w:rPr>
        <w:t>specifically in relation to the</w:t>
      </w:r>
      <w:r w:rsidRPr="00C666D2">
        <w:rPr>
          <w:rFonts w:ascii="Open Sans" w:hAnsi="Open Sans" w:cs="Open Sans"/>
          <w:color w:val="auto"/>
        </w:rPr>
        <w:t xml:space="preserve"> use of the de-escalation strategy.</w:t>
      </w:r>
      <w:r>
        <w:rPr>
          <w:rFonts w:ascii="Open Sans" w:hAnsi="Open Sans" w:cs="Open Sans"/>
          <w:color w:val="auto"/>
        </w:rPr>
        <w:t xml:space="preserve"> In addition, the approved provider did not demonstrate the use of the de-escalation strategy was in accordance with the </w:t>
      </w:r>
      <w:proofErr w:type="gramStart"/>
      <w:r>
        <w:rPr>
          <w:rFonts w:ascii="Open Sans" w:hAnsi="Open Sans" w:cs="Open Sans"/>
          <w:color w:val="auto"/>
        </w:rPr>
        <w:t>Quality of Care</w:t>
      </w:r>
      <w:proofErr w:type="gramEnd"/>
      <w:r>
        <w:rPr>
          <w:rFonts w:ascii="Open Sans" w:hAnsi="Open Sans" w:cs="Open Sans"/>
          <w:color w:val="auto"/>
        </w:rPr>
        <w:t xml:space="preserve"> Principles, or the assessed needs of the consumers, to ensure that high-impact and high-prevalence risks associated with the behaviour support needs of consumers are appropriately supported.</w:t>
      </w:r>
    </w:p>
    <w:p w14:paraId="50932986" w14:textId="77777777" w:rsidR="00413E8E" w:rsidRPr="00C666D2" w:rsidRDefault="00413E8E" w:rsidP="00413E8E">
      <w:pPr>
        <w:pStyle w:val="NormalArial"/>
        <w:rPr>
          <w:rFonts w:ascii="Open Sans" w:hAnsi="Open Sans" w:cs="Open Sans"/>
          <w:color w:val="auto"/>
        </w:rPr>
      </w:pPr>
      <w:r w:rsidRPr="00C666D2">
        <w:rPr>
          <w:rFonts w:ascii="Open Sans" w:hAnsi="Open Sans" w:cs="Open Sans"/>
          <w:color w:val="auto"/>
        </w:rPr>
        <w:t xml:space="preserve">Whilst the approved provider has implemented several continuous improvement actions to demonstrate their willingness to apply best practice behaviour support </w:t>
      </w:r>
      <w:r>
        <w:rPr>
          <w:rFonts w:ascii="Open Sans" w:hAnsi="Open Sans" w:cs="Open Sans"/>
          <w:color w:val="auto"/>
        </w:rPr>
        <w:t>strategies</w:t>
      </w:r>
      <w:r w:rsidRPr="00C666D2">
        <w:rPr>
          <w:rFonts w:ascii="Open Sans" w:hAnsi="Open Sans" w:cs="Open Sans"/>
          <w:color w:val="auto"/>
        </w:rPr>
        <w:t>, the practices use</w:t>
      </w:r>
      <w:r>
        <w:rPr>
          <w:rFonts w:ascii="Open Sans" w:hAnsi="Open Sans" w:cs="Open Sans"/>
          <w:color w:val="auto"/>
        </w:rPr>
        <w:t>d in relation</w:t>
      </w:r>
      <w:r w:rsidRPr="00C666D2">
        <w:rPr>
          <w:rFonts w:ascii="Open Sans" w:hAnsi="Open Sans" w:cs="Open Sans"/>
          <w:color w:val="auto"/>
        </w:rPr>
        <w:t xml:space="preserve"> </w:t>
      </w:r>
      <w:r>
        <w:rPr>
          <w:rFonts w:ascii="Open Sans" w:hAnsi="Open Sans" w:cs="Open Sans"/>
          <w:color w:val="auto"/>
        </w:rPr>
        <w:t>to</w:t>
      </w:r>
      <w:r w:rsidRPr="00C666D2">
        <w:rPr>
          <w:rFonts w:ascii="Open Sans" w:hAnsi="Open Sans" w:cs="Open Sans"/>
          <w:color w:val="auto"/>
        </w:rPr>
        <w:t xml:space="preserve"> the de-escalation strategy are not best practice </w:t>
      </w:r>
      <w:r>
        <w:rPr>
          <w:rFonts w:ascii="Open Sans" w:hAnsi="Open Sans" w:cs="Open Sans"/>
          <w:color w:val="auto"/>
        </w:rPr>
        <w:t xml:space="preserve">or person-centred </w:t>
      </w:r>
      <w:r w:rsidRPr="00C666D2">
        <w:rPr>
          <w:rFonts w:ascii="Open Sans" w:hAnsi="Open Sans" w:cs="Open Sans"/>
          <w:color w:val="auto"/>
        </w:rPr>
        <w:t xml:space="preserve">and </w:t>
      </w:r>
      <w:r>
        <w:rPr>
          <w:rFonts w:ascii="Open Sans" w:hAnsi="Open Sans" w:cs="Open Sans"/>
          <w:color w:val="auto"/>
        </w:rPr>
        <w:t xml:space="preserve">are </w:t>
      </w:r>
      <w:r w:rsidRPr="00C666D2">
        <w:rPr>
          <w:rFonts w:ascii="Open Sans" w:hAnsi="Open Sans" w:cs="Open Sans"/>
          <w:color w:val="auto"/>
        </w:rPr>
        <w:t xml:space="preserve">not consistent with the legislative requirements of the </w:t>
      </w:r>
      <w:proofErr w:type="gramStart"/>
      <w:r w:rsidRPr="00C666D2">
        <w:rPr>
          <w:rFonts w:ascii="Open Sans" w:hAnsi="Open Sans" w:cs="Open Sans"/>
          <w:color w:val="auto"/>
        </w:rPr>
        <w:t>Quality of Care</w:t>
      </w:r>
      <w:proofErr w:type="gramEnd"/>
      <w:r w:rsidRPr="00C666D2">
        <w:rPr>
          <w:rFonts w:ascii="Open Sans" w:hAnsi="Open Sans" w:cs="Open Sans"/>
          <w:color w:val="auto"/>
        </w:rPr>
        <w:t xml:space="preserve"> Principles. The particulars of the inconsistencies in best practice have been discussed above.</w:t>
      </w:r>
    </w:p>
    <w:p w14:paraId="38ACEC65" w14:textId="77777777" w:rsidR="00413E8E" w:rsidRPr="00C666D2" w:rsidRDefault="00413E8E" w:rsidP="00413E8E">
      <w:pPr>
        <w:pStyle w:val="NormalArial"/>
        <w:rPr>
          <w:rFonts w:ascii="Open Sans" w:hAnsi="Open Sans" w:cs="Open Sans"/>
          <w:color w:val="auto"/>
        </w:rPr>
      </w:pPr>
      <w:r w:rsidRPr="00C666D2">
        <w:rPr>
          <w:rFonts w:ascii="Open Sans" w:hAnsi="Open Sans" w:cs="Open Sans"/>
          <w:color w:val="auto"/>
        </w:rPr>
        <w:t>For further discussion about the safe operation procedure and its relationship to governance and regulatory compliance, please refer to Standard 8 Requirement (3)(c).</w:t>
      </w:r>
    </w:p>
    <w:p w14:paraId="0C62B993" w14:textId="1381C299" w:rsidR="001361D7" w:rsidRPr="00713B69" w:rsidRDefault="0089526F" w:rsidP="00F62D3D">
      <w:pPr>
        <w:pStyle w:val="NormalArial"/>
        <w:rPr>
          <w:rFonts w:ascii="Open Sans" w:hAnsi="Open Sans" w:cs="Open Sans"/>
          <w:color w:val="auto"/>
        </w:rPr>
      </w:pPr>
      <w:r w:rsidRPr="00713B69">
        <w:rPr>
          <w:rFonts w:ascii="Open Sans" w:hAnsi="Open Sans" w:cs="Open Sans"/>
          <w:color w:val="auto"/>
        </w:rPr>
        <w:t xml:space="preserve">I therefore find that Requirement 3(3)(b) is </w:t>
      </w:r>
      <w:r w:rsidR="00957487" w:rsidRPr="00713B69">
        <w:rPr>
          <w:rFonts w:ascii="Open Sans" w:hAnsi="Open Sans" w:cs="Open Sans"/>
          <w:color w:val="auto"/>
        </w:rPr>
        <w:t xml:space="preserve">Not </w:t>
      </w:r>
      <w:r w:rsidRPr="00713B69">
        <w:rPr>
          <w:rFonts w:ascii="Open Sans" w:hAnsi="Open Sans" w:cs="Open Sans"/>
          <w:color w:val="auto"/>
        </w:rPr>
        <w:t xml:space="preserve">Compliant. </w:t>
      </w:r>
      <w:bookmarkEnd w:id="2"/>
    </w:p>
    <w:bookmarkEnd w:id="3"/>
    <w:p w14:paraId="31D4E9D7" w14:textId="05E0E525" w:rsidR="004E622F" w:rsidRDefault="00603DFD" w:rsidP="0036130C">
      <w:pPr>
        <w:pStyle w:val="NormalArial"/>
        <w:rPr>
          <w:rFonts w:ascii="Open Sans" w:hAnsi="Open Sans" w:cs="Open Sans"/>
        </w:rPr>
      </w:pPr>
      <w:r>
        <w:rPr>
          <w:rFonts w:ascii="Open Sans" w:hAnsi="Open Sans" w:cs="Open Sans"/>
        </w:rPr>
        <w:t>I am satisfied the remaining 6 Requirements of Standard 3 Personal care and clinical care are Compliant.</w:t>
      </w:r>
    </w:p>
    <w:p w14:paraId="315DF771" w14:textId="77777777" w:rsidR="00603DFD" w:rsidRDefault="00603DFD" w:rsidP="00603DFD">
      <w:pPr>
        <w:pStyle w:val="NormalArial"/>
        <w:rPr>
          <w:rFonts w:ascii="Open Sans" w:eastAsia="Open Sans" w:hAnsi="Open Sans" w:cs="Open Sans"/>
        </w:rPr>
      </w:pPr>
      <w:r>
        <w:rPr>
          <w:rFonts w:ascii="Open Sans" w:hAnsi="Open Sans" w:cs="Open Sans"/>
        </w:rPr>
        <w:t xml:space="preserve">Consumer representatives were satisfied with personal care and clinical care provision for consumers. Staff demonstrated individual consumer knowledge about personal care and clinical care needs and preferences, which included personal care preferences, </w:t>
      </w:r>
      <w:r w:rsidRPr="5B20783A">
        <w:rPr>
          <w:rFonts w:ascii="Open Sans" w:eastAsia="Open Sans" w:hAnsi="Open Sans" w:cs="Open Sans"/>
        </w:rPr>
        <w:t>psychotropic medications, pain management</w:t>
      </w:r>
      <w:r>
        <w:rPr>
          <w:rFonts w:ascii="Open Sans" w:eastAsia="Open Sans" w:hAnsi="Open Sans" w:cs="Open Sans"/>
        </w:rPr>
        <w:t xml:space="preserve"> and skin integrity and wound management. </w:t>
      </w:r>
      <w:r>
        <w:rPr>
          <w:rFonts w:ascii="Open Sans" w:hAnsi="Open Sans" w:cs="Open Sans"/>
        </w:rPr>
        <w:t xml:space="preserve">Care and service documentation confirmed personal care choices were </w:t>
      </w:r>
      <w:proofErr w:type="gramStart"/>
      <w:r>
        <w:rPr>
          <w:rFonts w:ascii="Open Sans" w:hAnsi="Open Sans" w:cs="Open Sans"/>
        </w:rPr>
        <w:t>individualised</w:t>
      </w:r>
      <w:proofErr w:type="gramEnd"/>
      <w:r>
        <w:rPr>
          <w:rFonts w:ascii="Open Sans" w:hAnsi="Open Sans" w:cs="Open Sans"/>
        </w:rPr>
        <w:t xml:space="preserve"> and care charts were maintained for showers, oral hygiene and </w:t>
      </w:r>
      <w:r w:rsidRPr="5B20783A">
        <w:rPr>
          <w:rFonts w:ascii="Open Sans" w:eastAsia="Open Sans" w:hAnsi="Open Sans" w:cs="Open Sans"/>
        </w:rPr>
        <w:t>continence care</w:t>
      </w:r>
      <w:r>
        <w:rPr>
          <w:rFonts w:ascii="Open Sans" w:eastAsia="Open Sans" w:hAnsi="Open Sans" w:cs="Open Sans"/>
        </w:rPr>
        <w:t>. Consumer diabetes management reflected diabetes management plans and optimum blood glucose parameters were established and monitored. Behaviour support plans evidenced chemical restraint consents, mitigation strategies and medication effectiveness reviews.</w:t>
      </w:r>
    </w:p>
    <w:p w14:paraId="41579EE5" w14:textId="2885D8A5" w:rsidR="00CC233E" w:rsidRDefault="00CC233E" w:rsidP="0036130C">
      <w:pPr>
        <w:pStyle w:val="NormalArial"/>
        <w:rPr>
          <w:rFonts w:ascii="Open Sans" w:hAnsi="Open Sans" w:cs="Open Sans"/>
        </w:rPr>
      </w:pPr>
      <w:r>
        <w:rPr>
          <w:rFonts w:ascii="Open Sans" w:hAnsi="Open Sans" w:cs="Open Sans"/>
        </w:rPr>
        <w:t xml:space="preserve">Care and service documentation evidenced </w:t>
      </w:r>
      <w:r w:rsidR="00260DC8">
        <w:rPr>
          <w:rFonts w:ascii="Open Sans" w:hAnsi="Open Sans" w:cs="Open Sans"/>
        </w:rPr>
        <w:t xml:space="preserve">that </w:t>
      </w:r>
      <w:r>
        <w:rPr>
          <w:rFonts w:ascii="Open Sans" w:hAnsi="Open Sans" w:cs="Open Sans"/>
        </w:rPr>
        <w:t>staff honoured consumer advance care directives and end of life plans. Staff described consumer comforts provided during palliation and end of life including repositioning, mouth care and pain relief. Policies and procedures guided staff practice and focussed on consumer dignity preservation and comfort maximisation which included pain management, pressure area care and hydration.</w:t>
      </w:r>
    </w:p>
    <w:p w14:paraId="3398FFB0" w14:textId="10239D56" w:rsidR="004410B8" w:rsidRDefault="006D2760" w:rsidP="0036130C">
      <w:pPr>
        <w:pStyle w:val="NormalArial"/>
        <w:rPr>
          <w:rFonts w:ascii="Open Sans" w:hAnsi="Open Sans" w:cs="Open Sans"/>
        </w:rPr>
      </w:pPr>
      <w:r>
        <w:rPr>
          <w:rFonts w:ascii="Open Sans" w:hAnsi="Open Sans" w:cs="Open Sans"/>
        </w:rPr>
        <w:t xml:space="preserve">Consumer representatives and care and service documentation confirmed appropriate recognition and response to consumer deterioration and health and well-being changes. Staff described consumer deterioration escalation processes which included head-to-toe assessments, delirium screening, vital observations and referrals to medical officers, geriatricians and hospital when required. </w:t>
      </w:r>
      <w:r>
        <w:rPr>
          <w:rFonts w:ascii="Open Sans" w:hAnsi="Open Sans" w:cs="Open Sans"/>
        </w:rPr>
        <w:lastRenderedPageBreak/>
        <w:t>Management described ongoing deterioration monitoring and staff education about consumer deterioration</w:t>
      </w:r>
      <w:r w:rsidR="00A44A0D">
        <w:rPr>
          <w:rFonts w:ascii="Open Sans" w:hAnsi="Open Sans" w:cs="Open Sans"/>
        </w:rPr>
        <w:t xml:space="preserve"> was confirmed</w:t>
      </w:r>
      <w:r>
        <w:rPr>
          <w:rFonts w:ascii="Open Sans" w:hAnsi="Open Sans" w:cs="Open Sans"/>
        </w:rPr>
        <w:t>.</w:t>
      </w:r>
    </w:p>
    <w:p w14:paraId="4A52AA89" w14:textId="76A1ADE4" w:rsidR="00A02F85" w:rsidRDefault="00886874" w:rsidP="0036130C">
      <w:pPr>
        <w:pStyle w:val="NormalArial"/>
        <w:rPr>
          <w:rFonts w:ascii="Open Sans" w:hAnsi="Open Sans" w:cs="Open Sans"/>
        </w:rPr>
      </w:pPr>
      <w:r>
        <w:rPr>
          <w:rFonts w:ascii="Open Sans" w:hAnsi="Open Sans" w:cs="Open Sans"/>
        </w:rPr>
        <w:t>Consumer representatives provided positive feedback about communication with staff about consumer conditions and needs. Care and service documentation confirmed shared information with medical officers, hospitals and fracture clinics</w:t>
      </w:r>
      <w:r w:rsidR="005D4747">
        <w:rPr>
          <w:rFonts w:ascii="Open Sans" w:hAnsi="Open Sans" w:cs="Open Sans"/>
        </w:rPr>
        <w:t>, and other allied health professionals. Internal handover documents included relevant consumer information sharing between shifts about personal care preferences, and assessments and monitoring requirements for medications, blood glucose and consumer appointments.</w:t>
      </w:r>
    </w:p>
    <w:p w14:paraId="34C78393" w14:textId="4EFA83D6" w:rsidR="007751EE" w:rsidRPr="001E694D" w:rsidRDefault="007751EE" w:rsidP="0036130C">
      <w:pPr>
        <w:pStyle w:val="NormalArial"/>
        <w:rPr>
          <w:rFonts w:ascii="Open Sans" w:hAnsi="Open Sans" w:cs="Open Sans"/>
        </w:rPr>
      </w:pPr>
      <w:r>
        <w:rPr>
          <w:rFonts w:ascii="Open Sans" w:hAnsi="Open Sans" w:cs="Open Sans"/>
        </w:rPr>
        <w:t>Consumer and consumer representative preferences were considered for referrals, which were evidenced for medical officers, medical specialists and allied health professionals including dieticians, speech pathologists, dentists and physiotherapists. Staff were familiar with referral processes and described engagement with medical officers and escalation protocols when required.</w:t>
      </w:r>
    </w:p>
    <w:p w14:paraId="294EF73D" w14:textId="041C29B6" w:rsidR="0062317D" w:rsidRPr="001E694D" w:rsidRDefault="00A02F85" w:rsidP="0036130C">
      <w:pPr>
        <w:pStyle w:val="NormalArial"/>
        <w:rPr>
          <w:rFonts w:ascii="Open Sans" w:hAnsi="Open Sans" w:cs="Open Sans"/>
        </w:rPr>
      </w:pPr>
      <w:r>
        <w:rPr>
          <w:rFonts w:ascii="Open Sans" w:hAnsi="Open Sans" w:cs="Open Sans"/>
        </w:rPr>
        <w:t xml:space="preserve">An effective infection control program was demonstrated which supported antimicrobial stewardship. </w:t>
      </w:r>
      <w:r w:rsidR="007751EE">
        <w:rPr>
          <w:rFonts w:ascii="Open Sans" w:hAnsi="Open Sans" w:cs="Open Sans"/>
        </w:rPr>
        <w:t xml:space="preserve">Staff demonstrated a good understanding of infection </w:t>
      </w:r>
      <w:r w:rsidR="007751EE" w:rsidRPr="29A97671">
        <w:rPr>
          <w:rFonts w:ascii="Open Sans" w:eastAsia="Open Sans" w:hAnsi="Open Sans" w:cs="Open Sans"/>
        </w:rPr>
        <w:t>prevention and control practices and antimicrobial stewardship</w:t>
      </w:r>
      <w:r w:rsidR="007751EE">
        <w:rPr>
          <w:rFonts w:ascii="Open Sans" w:hAnsi="Open Sans" w:cs="Open Sans"/>
        </w:rPr>
        <w:t xml:space="preserve">. Management discussed consumer and staff vaccinations programs. </w:t>
      </w:r>
      <w:r>
        <w:rPr>
          <w:rFonts w:ascii="Open Sans" w:hAnsi="Open Sans" w:cs="Open Sans"/>
        </w:rPr>
        <w:t>Staff</w:t>
      </w:r>
      <w:r w:rsidR="007751EE">
        <w:rPr>
          <w:rFonts w:ascii="Open Sans" w:hAnsi="Open Sans" w:cs="Open Sans"/>
        </w:rPr>
        <w:t xml:space="preserve"> received mandatory training and competency assessments for infection control practices, hand hygiene and personal protection equipment donning and doffing. The outbreak management plan and associated policies and procedures supported readiness, response and recovery processes were evidenced for infection and outbreak control.</w:t>
      </w:r>
      <w:r w:rsidRPr="001E694D">
        <w:rPr>
          <w:rFonts w:ascii="Open Sans" w:hAnsi="Open Sans" w:cs="Open Sans"/>
        </w:rPr>
        <w:br w:type="page"/>
      </w:r>
    </w:p>
    <w:p w14:paraId="556FA511" w14:textId="77777777" w:rsidR="0062317D" w:rsidRPr="001E694D" w:rsidRDefault="0018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0074B" w14:paraId="579882AA" w14:textId="77777777" w:rsidTr="00C00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71C6913" w14:textId="77777777" w:rsidR="0062317D" w:rsidRPr="001E694D" w:rsidRDefault="001820E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7F7C6F5" w14:textId="77777777" w:rsidR="0062317D" w:rsidRPr="001E694D" w:rsidRDefault="006231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74B" w14:paraId="57E7ACDC"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D98F8C"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564B4E5"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w:t>
            </w:r>
            <w:r w:rsidRPr="001E694D">
              <w:rPr>
                <w:rFonts w:ascii="Open Sans" w:hAnsi="Open Sans" w:cs="Open Sans"/>
              </w:rPr>
              <w:t>effective services and supports for daily living that meet the consumer’s needs, goals and preferences and optimise their independence, health, well-being and quality of life.</w:t>
            </w:r>
          </w:p>
        </w:tc>
        <w:tc>
          <w:tcPr>
            <w:tcW w:w="1977" w:type="dxa"/>
            <w:shd w:val="clear" w:color="auto" w:fill="auto"/>
          </w:tcPr>
          <w:p w14:paraId="037C702A"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092009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4B9291F5"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DF5733"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C213338"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0B6B035"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683229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40181797"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F64064"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21114BF"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455A3C0" w14:textId="77777777" w:rsidR="0062317D" w:rsidRPr="001E694D" w:rsidRDefault="001820E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participate in their community within and outside the organisation’s service </w:t>
            </w:r>
            <w:r w:rsidRPr="001E694D">
              <w:rPr>
                <w:rFonts w:ascii="Open Sans" w:hAnsi="Open Sans" w:cs="Open Sans"/>
              </w:rPr>
              <w:t>environment; and</w:t>
            </w:r>
          </w:p>
          <w:p w14:paraId="5477D7B6" w14:textId="77777777" w:rsidR="0062317D" w:rsidRPr="001E694D" w:rsidRDefault="001820E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49B4E97" w14:textId="77777777" w:rsidR="0062317D" w:rsidRPr="001E694D" w:rsidRDefault="001820E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522B8CB"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060369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236B6283"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4DDF82"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1846E66"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08BEF62" w14:textId="77777777" w:rsidR="0062317D" w:rsidRPr="001E694D" w:rsidRDefault="001820E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971661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2D4C5204"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AF0DB6"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BADDBF3"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7DBFB80" w14:textId="77777777" w:rsidR="0062317D" w:rsidRPr="001E694D" w:rsidRDefault="001820E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638907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3BDCFD17"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F3283C"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25B7C43"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Where meals are provided, they are </w:t>
            </w:r>
            <w:r w:rsidRPr="001E694D">
              <w:rPr>
                <w:rFonts w:ascii="Open Sans" w:hAnsi="Open Sans" w:cs="Open Sans"/>
              </w:rPr>
              <w:t>varied and of suitable quality and quantity.</w:t>
            </w:r>
          </w:p>
        </w:tc>
        <w:tc>
          <w:tcPr>
            <w:tcW w:w="1977" w:type="dxa"/>
            <w:shd w:val="clear" w:color="auto" w:fill="auto"/>
          </w:tcPr>
          <w:p w14:paraId="0ABAD07D"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114832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5BD9C6AE"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E6363C"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5BB7303"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338246A"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255862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CA7E8B0" w14:textId="77777777" w:rsidR="0062317D" w:rsidRPr="003E162B" w:rsidRDefault="001820E2" w:rsidP="00D87E7C">
      <w:pPr>
        <w:pStyle w:val="Heading20"/>
        <w:rPr>
          <w:rFonts w:ascii="Open Sans" w:hAnsi="Open Sans" w:cs="Open Sans"/>
          <w:color w:val="781E77"/>
        </w:rPr>
      </w:pPr>
      <w:r w:rsidRPr="003E162B">
        <w:rPr>
          <w:rFonts w:ascii="Open Sans" w:hAnsi="Open Sans" w:cs="Open Sans"/>
          <w:color w:val="781E77"/>
        </w:rPr>
        <w:t>Findings</w:t>
      </w:r>
    </w:p>
    <w:p w14:paraId="0BF66D24" w14:textId="26704E58" w:rsidR="00A97E8F" w:rsidRDefault="00A97E8F" w:rsidP="00A97E8F">
      <w:pPr>
        <w:pStyle w:val="NormalArial"/>
        <w:rPr>
          <w:rFonts w:ascii="Open Sans" w:hAnsi="Open Sans" w:cs="Open Sans"/>
        </w:rPr>
      </w:pPr>
      <w:r>
        <w:rPr>
          <w:rFonts w:ascii="Open Sans" w:hAnsi="Open Sans" w:cs="Open Sans"/>
        </w:rPr>
        <w:t>This Quality Standard is Compliant as 7 of the 7 Requirements have been assessed as Compliant.</w:t>
      </w:r>
    </w:p>
    <w:p w14:paraId="60967BDB" w14:textId="17A62579" w:rsidR="0062317D" w:rsidRPr="001E694D" w:rsidRDefault="00154C26" w:rsidP="0036130C">
      <w:pPr>
        <w:pStyle w:val="NormalArial"/>
        <w:rPr>
          <w:rFonts w:ascii="Open Sans" w:hAnsi="Open Sans" w:cs="Open Sans"/>
        </w:rPr>
      </w:pPr>
      <w:r>
        <w:rPr>
          <w:rFonts w:ascii="Open Sans" w:hAnsi="Open Sans" w:cs="Open Sans"/>
        </w:rPr>
        <w:t xml:space="preserve">Consumer representatives were satisfied that supports for daily living were provided and were meeting consumer needs, goals and preferences. Staff demonstrated sound knowledge of individual consumer activities and supports </w:t>
      </w:r>
      <w:r w:rsidR="004F6336">
        <w:rPr>
          <w:rFonts w:ascii="Open Sans" w:hAnsi="Open Sans" w:cs="Open Sans"/>
        </w:rPr>
        <w:t>delivered</w:t>
      </w:r>
      <w:r>
        <w:rPr>
          <w:rFonts w:ascii="Open Sans" w:hAnsi="Open Sans" w:cs="Open Sans"/>
        </w:rPr>
        <w:t xml:space="preserve">, and this was consistent with care and service documentation. </w:t>
      </w:r>
      <w:r>
        <w:rPr>
          <w:rFonts w:ascii="Open Sans" w:hAnsi="Open Sans" w:cs="Open Sans"/>
        </w:rPr>
        <w:lastRenderedPageBreak/>
        <w:t>Activities were reviewed daily to ensure consumer health and well-being were considered and consumer satisfaction surveys were conducted twice a year to ensure consumer expectations were being met.</w:t>
      </w:r>
    </w:p>
    <w:p w14:paraId="00F75B1D" w14:textId="77777777" w:rsidR="00A97E8F" w:rsidRDefault="00154C26" w:rsidP="0036130C">
      <w:pPr>
        <w:pStyle w:val="NormalArial"/>
        <w:rPr>
          <w:rFonts w:ascii="Open Sans" w:hAnsi="Open Sans" w:cs="Open Sans"/>
        </w:rPr>
      </w:pPr>
      <w:r>
        <w:rPr>
          <w:rFonts w:ascii="Open Sans" w:hAnsi="Open Sans" w:cs="Open Sans"/>
        </w:rPr>
        <w:t>Consumer representatives confirmed consumers were engaged in meaningful activities. Staff discussed supports provided to individual consumers for their emotional and psychological well-being</w:t>
      </w:r>
      <w:r w:rsidR="00EE2BC9">
        <w:rPr>
          <w:rFonts w:ascii="Open Sans" w:hAnsi="Open Sans" w:cs="Open Sans"/>
        </w:rPr>
        <w:t xml:space="preserve"> and were observed providing effective emotional and person-centred support. </w:t>
      </w:r>
      <w:r>
        <w:rPr>
          <w:rFonts w:ascii="Open Sans" w:hAnsi="Open Sans" w:cs="Open Sans"/>
        </w:rPr>
        <w:t xml:space="preserve">Care and service documentation identified individual consumer </w:t>
      </w:r>
      <w:r w:rsidR="00EE2BC9">
        <w:rPr>
          <w:rFonts w:ascii="Open Sans" w:hAnsi="Open Sans" w:cs="Open Sans"/>
        </w:rPr>
        <w:t>emotional support strategies which included religious and specialist dementia services.</w:t>
      </w:r>
    </w:p>
    <w:p w14:paraId="07735DCA" w14:textId="7960C6F1" w:rsidR="00A255D7" w:rsidRDefault="00A97E8F" w:rsidP="0036130C">
      <w:pPr>
        <w:pStyle w:val="NormalArial"/>
        <w:rPr>
          <w:rFonts w:ascii="Open Sans" w:hAnsi="Open Sans" w:cs="Open Sans"/>
        </w:rPr>
      </w:pPr>
      <w:r>
        <w:rPr>
          <w:rFonts w:ascii="Open Sans" w:hAnsi="Open Sans" w:cs="Open Sans"/>
        </w:rPr>
        <w:t xml:space="preserve">Consumer representatives said consumers were supported to participate </w:t>
      </w:r>
      <w:r w:rsidR="000E7B1E">
        <w:rPr>
          <w:rFonts w:ascii="Open Sans" w:hAnsi="Open Sans" w:cs="Open Sans"/>
        </w:rPr>
        <w:t xml:space="preserve">within their </w:t>
      </w:r>
      <w:r>
        <w:rPr>
          <w:rFonts w:ascii="Open Sans" w:hAnsi="Open Sans" w:cs="Open Sans"/>
        </w:rPr>
        <w:t xml:space="preserve">community, had social and personal relationships and </w:t>
      </w:r>
      <w:r w:rsidR="000E7B1E">
        <w:rPr>
          <w:rFonts w:ascii="Open Sans" w:hAnsi="Open Sans" w:cs="Open Sans"/>
        </w:rPr>
        <w:t>d</w:t>
      </w:r>
      <w:r>
        <w:rPr>
          <w:rFonts w:ascii="Open Sans" w:hAnsi="Open Sans" w:cs="Open Sans"/>
        </w:rPr>
        <w:t xml:space="preserve">o things which interest them. </w:t>
      </w:r>
      <w:r w:rsidR="000E7B1E">
        <w:rPr>
          <w:rFonts w:ascii="Open Sans" w:hAnsi="Open Sans" w:cs="Open Sans"/>
        </w:rPr>
        <w:t xml:space="preserve">Daily living supports and important relationships were captured on service entry and activities </w:t>
      </w:r>
      <w:r w:rsidR="006158D4">
        <w:rPr>
          <w:rFonts w:ascii="Open Sans" w:hAnsi="Open Sans" w:cs="Open Sans"/>
        </w:rPr>
        <w:t xml:space="preserve">observed included group exercises, </w:t>
      </w:r>
      <w:r w:rsidR="00A255D7">
        <w:rPr>
          <w:rFonts w:ascii="Open Sans" w:hAnsi="Open Sans" w:cs="Open Sans"/>
        </w:rPr>
        <w:t xml:space="preserve">individual support, outdoor barbeque, games and stories. Management discussed facilitation of activities outside the service which included regular bus trips to </w:t>
      </w:r>
      <w:r w:rsidR="004F6336">
        <w:rPr>
          <w:rFonts w:ascii="Open Sans" w:hAnsi="Open Sans" w:cs="Open Sans"/>
        </w:rPr>
        <w:t>different</w:t>
      </w:r>
      <w:r w:rsidR="00A255D7">
        <w:rPr>
          <w:rFonts w:ascii="Open Sans" w:hAnsi="Open Sans" w:cs="Open Sans"/>
        </w:rPr>
        <w:t xml:space="preserve"> locations around the local Canberra area.</w:t>
      </w:r>
    </w:p>
    <w:p w14:paraId="3B94A8F9" w14:textId="53410270" w:rsidR="00A97E8F" w:rsidRDefault="00A255D7" w:rsidP="0036130C">
      <w:pPr>
        <w:pStyle w:val="NormalArial"/>
        <w:rPr>
          <w:rFonts w:ascii="Open Sans" w:hAnsi="Open Sans" w:cs="Open Sans"/>
        </w:rPr>
      </w:pPr>
      <w:r>
        <w:rPr>
          <w:rFonts w:ascii="Open Sans" w:hAnsi="Open Sans" w:cs="Open Sans"/>
        </w:rPr>
        <w:t xml:space="preserve">Consumer care and service documentation included current and accurate information about consumer conditions, needs, goals and preferences. Staff confirmed they </w:t>
      </w:r>
      <w:r w:rsidR="004F6336">
        <w:rPr>
          <w:rFonts w:ascii="Open Sans" w:hAnsi="Open Sans" w:cs="Open Sans"/>
        </w:rPr>
        <w:t xml:space="preserve">were informed of </w:t>
      </w:r>
      <w:r>
        <w:rPr>
          <w:rFonts w:ascii="Open Sans" w:hAnsi="Open Sans" w:cs="Open Sans"/>
        </w:rPr>
        <w:t>consumer changes</w:t>
      </w:r>
      <w:r w:rsidR="004F6336">
        <w:rPr>
          <w:rFonts w:ascii="Open Sans" w:hAnsi="Open Sans" w:cs="Open Sans"/>
        </w:rPr>
        <w:t xml:space="preserve"> through the documented handover process, communication books, the electronic care management system and through verbal communication. Dietary needs, for example, were communicated verbally, </w:t>
      </w:r>
      <w:r w:rsidR="00801F0B">
        <w:rPr>
          <w:rFonts w:ascii="Open Sans" w:hAnsi="Open Sans" w:cs="Open Sans"/>
        </w:rPr>
        <w:t xml:space="preserve">in </w:t>
      </w:r>
      <w:r w:rsidR="004F6336">
        <w:rPr>
          <w:rFonts w:ascii="Open Sans" w:hAnsi="Open Sans" w:cs="Open Sans"/>
        </w:rPr>
        <w:t>printed handover document</w:t>
      </w:r>
      <w:r w:rsidR="00801F0B">
        <w:rPr>
          <w:rFonts w:ascii="Open Sans" w:hAnsi="Open Sans" w:cs="Open Sans"/>
        </w:rPr>
        <w:t>s</w:t>
      </w:r>
      <w:r w:rsidR="004F6336">
        <w:rPr>
          <w:rFonts w:ascii="Open Sans" w:hAnsi="Open Sans" w:cs="Open Sans"/>
        </w:rPr>
        <w:t xml:space="preserve"> and the kitchen communication book for daily review and checking. </w:t>
      </w:r>
    </w:p>
    <w:p w14:paraId="14B67B38" w14:textId="7CA217DB" w:rsidR="004F6336" w:rsidRDefault="004F6336" w:rsidP="0036130C">
      <w:pPr>
        <w:pStyle w:val="NormalArial"/>
        <w:rPr>
          <w:rFonts w:ascii="Open Sans" w:hAnsi="Open Sans" w:cs="Open Sans"/>
        </w:rPr>
      </w:pPr>
      <w:r>
        <w:rPr>
          <w:rFonts w:ascii="Open Sans" w:hAnsi="Open Sans" w:cs="Open Sans"/>
        </w:rPr>
        <w:t xml:space="preserve">Consumer care and service documentation </w:t>
      </w:r>
      <w:r w:rsidR="007226C4">
        <w:rPr>
          <w:rFonts w:ascii="Open Sans" w:hAnsi="Open Sans" w:cs="Open Sans"/>
        </w:rPr>
        <w:t>verified</w:t>
      </w:r>
      <w:r>
        <w:rPr>
          <w:rFonts w:ascii="Open Sans" w:hAnsi="Open Sans" w:cs="Open Sans"/>
        </w:rPr>
        <w:t xml:space="preserve"> external service engagement for consumers, </w:t>
      </w:r>
      <w:r w:rsidR="007226C4">
        <w:rPr>
          <w:rFonts w:ascii="Open Sans" w:hAnsi="Open Sans" w:cs="Open Sans"/>
        </w:rPr>
        <w:t>with complementary day diaries and handover notes which recorded consumer appointments and reminders. Staff discussed various organisations and service providers which delivered consumer well-being supports including hairdressers, local religious organisations, pastoral care, the National Disability Insurance Scheme and a local equine group.</w:t>
      </w:r>
    </w:p>
    <w:p w14:paraId="18C8568E" w14:textId="6AB0A6BD" w:rsidR="00812484" w:rsidRDefault="007226C4" w:rsidP="0036130C">
      <w:pPr>
        <w:pStyle w:val="NormalArial"/>
        <w:rPr>
          <w:rFonts w:ascii="Open Sans" w:hAnsi="Open Sans" w:cs="Open Sans"/>
        </w:rPr>
      </w:pPr>
      <w:r>
        <w:rPr>
          <w:rFonts w:ascii="Open Sans" w:hAnsi="Open Sans" w:cs="Open Sans"/>
        </w:rPr>
        <w:t xml:space="preserve">Consumer representatives provided positive feedback about meal quality and variety. </w:t>
      </w:r>
      <w:r w:rsidR="00812484">
        <w:rPr>
          <w:rFonts w:ascii="Open Sans" w:hAnsi="Open Sans" w:cs="Open Sans"/>
        </w:rPr>
        <w:t>Staff</w:t>
      </w:r>
      <w:r w:rsidR="00BD2483">
        <w:rPr>
          <w:rFonts w:ascii="Open Sans" w:hAnsi="Open Sans" w:cs="Open Sans"/>
        </w:rPr>
        <w:t xml:space="preserve"> were familiar with individual consumer dietary needs and preferences and </w:t>
      </w:r>
      <w:r w:rsidR="00812484">
        <w:rPr>
          <w:rFonts w:ascii="Open Sans" w:hAnsi="Open Sans" w:cs="Open Sans"/>
        </w:rPr>
        <w:t xml:space="preserve">described reporting processes for </w:t>
      </w:r>
      <w:r w:rsidR="00BD2483">
        <w:rPr>
          <w:rFonts w:ascii="Open Sans" w:hAnsi="Open Sans" w:cs="Open Sans"/>
        </w:rPr>
        <w:t xml:space="preserve">consumer weight loss and dehydration. </w:t>
      </w:r>
      <w:r w:rsidR="00812484">
        <w:rPr>
          <w:rFonts w:ascii="Open Sans" w:hAnsi="Open Sans" w:cs="Open Sans"/>
        </w:rPr>
        <w:t xml:space="preserve">Management confirmed </w:t>
      </w:r>
      <w:r w:rsidR="00BD2483">
        <w:rPr>
          <w:rFonts w:ascii="Open Sans" w:hAnsi="Open Sans" w:cs="Open Sans"/>
        </w:rPr>
        <w:t xml:space="preserve">consumer menu preferences were informed by consumer feedback and focus groups and </w:t>
      </w:r>
      <w:r w:rsidR="00812484">
        <w:rPr>
          <w:rFonts w:ascii="Open Sans" w:hAnsi="Open Sans" w:cs="Open Sans"/>
        </w:rPr>
        <w:t>dietician</w:t>
      </w:r>
      <w:r w:rsidR="00BD2483">
        <w:rPr>
          <w:rFonts w:ascii="Open Sans" w:hAnsi="Open Sans" w:cs="Open Sans"/>
        </w:rPr>
        <w:t>s were engaged for menu review.</w:t>
      </w:r>
    </w:p>
    <w:p w14:paraId="635B44A3" w14:textId="77777777" w:rsidR="00667E5F" w:rsidRDefault="007226C4" w:rsidP="00667E5F">
      <w:pPr>
        <w:pStyle w:val="NormalArial"/>
        <w:rPr>
          <w:rFonts w:ascii="Open Sans" w:hAnsi="Open Sans" w:cs="Open Sans"/>
        </w:rPr>
      </w:pPr>
      <w:r>
        <w:rPr>
          <w:rFonts w:ascii="Open Sans" w:hAnsi="Open Sans" w:cs="Open Sans"/>
        </w:rPr>
        <w:t>Equipment was safe, suitable, clean and well-maintained</w:t>
      </w:r>
      <w:r w:rsidR="008763DD">
        <w:rPr>
          <w:rFonts w:ascii="Open Sans" w:hAnsi="Open Sans" w:cs="Open Sans"/>
        </w:rPr>
        <w:t>. Staff discussed shared equipment cleaning for lifters and pat slides after use and were familiar with equipment maintenance reporting processes. Electronic maintenance records evidenced prompt resolution of maintenance requests and management oversight of work performed by external contractors.</w:t>
      </w:r>
    </w:p>
    <w:p w14:paraId="788EAFC1" w14:textId="699F2044" w:rsidR="0062317D" w:rsidRPr="001E694D" w:rsidRDefault="00667E5F" w:rsidP="00A81910">
      <w:pPr>
        <w:pStyle w:val="Heading1"/>
        <w:spacing w:before="120" w:after="240" w:line="22" w:lineRule="atLeast"/>
        <w:rPr>
          <w:rFonts w:ascii="Open Sans" w:hAnsi="Open Sans" w:cs="Open Sans"/>
        </w:rPr>
      </w:pPr>
      <w:r>
        <w:rPr>
          <w:rFonts w:ascii="Open Sans" w:hAnsi="Open Sans" w:cs="Open Sans"/>
        </w:rPr>
        <w:br w:type="page"/>
      </w:r>
      <w:r w:rsidR="001820E2"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0074B" w14:paraId="34B6787F" w14:textId="77777777" w:rsidTr="00C00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4F97C79" w14:textId="77777777" w:rsidR="0062317D" w:rsidRPr="001E694D" w:rsidRDefault="001820E2" w:rsidP="000C5D91">
            <w:pPr>
              <w:spacing w:before="0" w:line="22" w:lineRule="atLeast"/>
              <w:rPr>
                <w:rFonts w:ascii="Open Sans" w:hAnsi="Open Sans" w:cs="Open Sans"/>
                <w:b w:val="0"/>
              </w:rPr>
            </w:pPr>
            <w:r w:rsidRPr="001E694D">
              <w:rPr>
                <w:rFonts w:ascii="Open Sans" w:hAnsi="Open Sans" w:cs="Open Sans"/>
                <w:color w:val="FFFFFF" w:themeColor="background1"/>
              </w:rPr>
              <w:t>O</w:t>
            </w:r>
            <w:r w:rsidRPr="001E694D">
              <w:rPr>
                <w:rFonts w:ascii="Open Sans" w:hAnsi="Open Sans" w:cs="Open Sans"/>
                <w:color w:val="FFFFFF" w:themeColor="background1"/>
              </w:rPr>
              <w:t>rganisation’s service environment</w:t>
            </w:r>
          </w:p>
        </w:tc>
        <w:tc>
          <w:tcPr>
            <w:tcW w:w="1977" w:type="dxa"/>
            <w:tcBorders>
              <w:bottom w:val="single" w:sz="4" w:space="0" w:color="BFBFBF" w:themeColor="background1" w:themeShade="BF"/>
            </w:tcBorders>
            <w:shd w:val="clear" w:color="auto" w:fill="781E77"/>
          </w:tcPr>
          <w:p w14:paraId="4228DD16" w14:textId="77777777" w:rsidR="0062317D" w:rsidRPr="001E694D" w:rsidRDefault="006231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74B" w14:paraId="24090432"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39825E"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44B2F02"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service environment is welcoming and easy to understand and </w:t>
            </w:r>
            <w:r w:rsidRPr="001E694D">
              <w:rPr>
                <w:rFonts w:ascii="Open Sans" w:hAnsi="Open Sans" w:cs="Open Sans"/>
              </w:rPr>
              <w:t>optimises each consumer’s sense of belonging, independence, interaction and function.</w:t>
            </w:r>
          </w:p>
        </w:tc>
        <w:tc>
          <w:tcPr>
            <w:tcW w:w="1977" w:type="dxa"/>
            <w:shd w:val="clear" w:color="auto" w:fill="auto"/>
          </w:tcPr>
          <w:p w14:paraId="635737EA"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518640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7902C8FD"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F2B321"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1CEBEF8"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38122F5" w14:textId="77777777" w:rsidR="0062317D" w:rsidRPr="001E694D" w:rsidRDefault="001820E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C26FC4E" w14:textId="77777777" w:rsidR="0062317D" w:rsidRPr="001E694D" w:rsidRDefault="001820E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enables consumers to move freely, both indoors and </w:t>
            </w:r>
            <w:r w:rsidRPr="001E694D">
              <w:rPr>
                <w:rFonts w:ascii="Open Sans" w:hAnsi="Open Sans" w:cs="Open Sans"/>
              </w:rPr>
              <w:t>outdoors.</w:t>
            </w:r>
          </w:p>
        </w:tc>
        <w:tc>
          <w:tcPr>
            <w:tcW w:w="1977" w:type="dxa"/>
            <w:shd w:val="clear" w:color="auto" w:fill="auto"/>
          </w:tcPr>
          <w:p w14:paraId="1EA9F403"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20265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20D3A517"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E5910F"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3FAF617"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DBFC41E" w14:textId="77777777" w:rsidR="0062317D" w:rsidRPr="001E694D" w:rsidRDefault="001820E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654458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271364C" w14:textId="77777777" w:rsidR="0062317D" w:rsidRPr="003E162B" w:rsidRDefault="001820E2" w:rsidP="002B0C90">
      <w:pPr>
        <w:pStyle w:val="Heading20"/>
        <w:rPr>
          <w:rFonts w:ascii="Open Sans" w:hAnsi="Open Sans" w:cs="Open Sans"/>
          <w:color w:val="781E77"/>
        </w:rPr>
      </w:pPr>
      <w:r w:rsidRPr="003E162B">
        <w:rPr>
          <w:rFonts w:ascii="Open Sans" w:hAnsi="Open Sans" w:cs="Open Sans"/>
          <w:color w:val="781E77"/>
        </w:rPr>
        <w:t>Findings</w:t>
      </w:r>
    </w:p>
    <w:p w14:paraId="58496237" w14:textId="2607244C" w:rsidR="00FB3D3A" w:rsidRDefault="00FB3D3A" w:rsidP="00FB3D3A">
      <w:pPr>
        <w:pStyle w:val="NormalArial"/>
        <w:rPr>
          <w:rFonts w:ascii="Open Sans" w:hAnsi="Open Sans" w:cs="Open Sans"/>
        </w:rPr>
      </w:pPr>
      <w:r>
        <w:rPr>
          <w:rFonts w:ascii="Open Sans" w:hAnsi="Open Sans" w:cs="Open Sans"/>
        </w:rPr>
        <w:t>This Quality Standard is Compliant as 3 of the 3 Requirements have been assessed as Compliant.</w:t>
      </w:r>
    </w:p>
    <w:p w14:paraId="081B5D9D" w14:textId="76D7E01E" w:rsidR="00FB3D3A" w:rsidRDefault="00FB3D3A" w:rsidP="0036130C">
      <w:pPr>
        <w:pStyle w:val="NormalArial"/>
        <w:rPr>
          <w:rFonts w:ascii="Open Sans" w:hAnsi="Open Sans" w:cs="Open Sans"/>
        </w:rPr>
      </w:pPr>
      <w:r>
        <w:rPr>
          <w:rFonts w:ascii="Open Sans" w:hAnsi="Open Sans" w:cs="Open Sans"/>
        </w:rPr>
        <w:t xml:space="preserve">A welcoming and easily </w:t>
      </w:r>
      <w:r w:rsidR="00A0699A">
        <w:rPr>
          <w:rFonts w:ascii="Open Sans" w:hAnsi="Open Sans" w:cs="Open Sans"/>
        </w:rPr>
        <w:t>navigated</w:t>
      </w:r>
      <w:r>
        <w:rPr>
          <w:rFonts w:ascii="Open Sans" w:hAnsi="Open Sans" w:cs="Open Sans"/>
        </w:rPr>
        <w:t xml:space="preserve"> service environment was observed.</w:t>
      </w:r>
      <w:r w:rsidR="00966902">
        <w:rPr>
          <w:rFonts w:ascii="Open Sans" w:hAnsi="Open Sans" w:cs="Open Sans"/>
        </w:rPr>
        <w:t xml:space="preserve"> </w:t>
      </w:r>
      <w:r>
        <w:rPr>
          <w:rFonts w:ascii="Open Sans" w:hAnsi="Open Sans" w:cs="Open Sans"/>
        </w:rPr>
        <w:t>Sufficient lighting, signage and sound proofing art</w:t>
      </w:r>
      <w:r w:rsidR="00966902">
        <w:rPr>
          <w:rFonts w:ascii="Open Sans" w:hAnsi="Open Sans" w:cs="Open Sans"/>
        </w:rPr>
        <w:t xml:space="preserve"> </w:t>
      </w:r>
      <w:r>
        <w:rPr>
          <w:rFonts w:ascii="Open Sans" w:hAnsi="Open Sans" w:cs="Open Sans"/>
        </w:rPr>
        <w:t>work</w:t>
      </w:r>
      <w:r w:rsidR="00966902">
        <w:rPr>
          <w:rFonts w:ascii="Open Sans" w:hAnsi="Open Sans" w:cs="Open Sans"/>
        </w:rPr>
        <w:t xml:space="preserve">s </w:t>
      </w:r>
      <w:r>
        <w:rPr>
          <w:rFonts w:ascii="Open Sans" w:hAnsi="Open Sans" w:cs="Open Sans"/>
        </w:rPr>
        <w:t xml:space="preserve">contributed to consumer comfort, </w:t>
      </w:r>
      <w:r w:rsidR="00966902">
        <w:rPr>
          <w:rFonts w:ascii="Open Sans" w:hAnsi="Open Sans" w:cs="Open Sans"/>
        </w:rPr>
        <w:t xml:space="preserve">interaction and function. An open communal area supported consumer engagement in leisure activities, with consumer access </w:t>
      </w:r>
      <w:r w:rsidR="008E3B86">
        <w:rPr>
          <w:rFonts w:ascii="Open Sans" w:hAnsi="Open Sans" w:cs="Open Sans"/>
        </w:rPr>
        <w:t>available</w:t>
      </w:r>
      <w:r w:rsidR="00966902">
        <w:rPr>
          <w:rFonts w:ascii="Open Sans" w:hAnsi="Open Sans" w:cs="Open Sans"/>
        </w:rPr>
        <w:t xml:space="preserve"> to outdoor garden areas.</w:t>
      </w:r>
    </w:p>
    <w:p w14:paraId="0693A72B" w14:textId="602E4094" w:rsidR="003058E7" w:rsidRDefault="00966902" w:rsidP="0036130C">
      <w:pPr>
        <w:pStyle w:val="NormalArial"/>
        <w:rPr>
          <w:rFonts w:ascii="Open Sans" w:hAnsi="Open Sans" w:cs="Open Sans"/>
        </w:rPr>
      </w:pPr>
      <w:r>
        <w:rPr>
          <w:rFonts w:ascii="Open Sans" w:hAnsi="Open Sans" w:cs="Open Sans"/>
        </w:rPr>
        <w:t xml:space="preserve">Consumers were </w:t>
      </w:r>
      <w:r w:rsidR="00801F0B">
        <w:rPr>
          <w:rFonts w:ascii="Open Sans" w:hAnsi="Open Sans" w:cs="Open Sans"/>
        </w:rPr>
        <w:t xml:space="preserve">observed to be </w:t>
      </w:r>
      <w:r>
        <w:rPr>
          <w:rFonts w:ascii="Open Sans" w:hAnsi="Open Sans" w:cs="Open Sans"/>
        </w:rPr>
        <w:t xml:space="preserve">engaged with visitors, staff and other consumers in the communal lounge and dining areas and outdoor seated areas. Appropriately positioned furniture and art works provided a home-like environment which </w:t>
      </w:r>
      <w:r w:rsidR="00B40D55">
        <w:rPr>
          <w:rFonts w:ascii="Open Sans" w:hAnsi="Open Sans" w:cs="Open Sans"/>
        </w:rPr>
        <w:t xml:space="preserve">supported consumer interactions, and wide easily navigated internal corridors and handrails assisted with safe mobility. Outdoor areas were accessible and </w:t>
      </w:r>
      <w:r w:rsidR="009101D1">
        <w:rPr>
          <w:rFonts w:ascii="Open Sans" w:hAnsi="Open Sans" w:cs="Open Sans"/>
        </w:rPr>
        <w:t xml:space="preserve">outdoor </w:t>
      </w:r>
      <w:r w:rsidR="00B40D55">
        <w:rPr>
          <w:rFonts w:ascii="Open Sans" w:hAnsi="Open Sans" w:cs="Open Sans"/>
        </w:rPr>
        <w:t xml:space="preserve">pathways </w:t>
      </w:r>
      <w:r w:rsidR="009101D1">
        <w:rPr>
          <w:rFonts w:ascii="Open Sans" w:hAnsi="Open Sans" w:cs="Open Sans"/>
        </w:rPr>
        <w:t xml:space="preserve">and sun shaded areas offered </w:t>
      </w:r>
      <w:r w:rsidR="00801F0B">
        <w:rPr>
          <w:rFonts w:ascii="Open Sans" w:hAnsi="Open Sans" w:cs="Open Sans"/>
        </w:rPr>
        <w:t>safe weather</w:t>
      </w:r>
      <w:r w:rsidR="009101D1">
        <w:rPr>
          <w:rFonts w:ascii="Open Sans" w:hAnsi="Open Sans" w:cs="Open Sans"/>
        </w:rPr>
        <w:t xml:space="preserve"> protection. </w:t>
      </w:r>
    </w:p>
    <w:p w14:paraId="71855B81" w14:textId="27D2F1CE" w:rsidR="00604448" w:rsidRDefault="0086072E" w:rsidP="0036130C">
      <w:pPr>
        <w:pStyle w:val="NormalArial"/>
        <w:rPr>
          <w:rFonts w:ascii="Open Sans" w:hAnsi="Open Sans" w:cs="Open Sans"/>
        </w:rPr>
      </w:pPr>
      <w:r>
        <w:rPr>
          <w:rFonts w:ascii="Open Sans" w:hAnsi="Open Sans" w:cs="Open Sans"/>
        </w:rPr>
        <w:t>Furniture, fittings and equipment were safe, clean and well maintained. Staff understood the importance of clinical, care and activity equipment cleanliness, which was consistent with observations of consumer aids and equipment. Cleaning and maintenance activities were optimised through work order tracking, asset management and scheduled preventive maintenance.</w:t>
      </w:r>
    </w:p>
    <w:p w14:paraId="4BEB7557" w14:textId="51BD9837" w:rsidR="0062317D" w:rsidRPr="001E694D" w:rsidRDefault="001820E2" w:rsidP="0036130C">
      <w:pPr>
        <w:pStyle w:val="NormalArial"/>
        <w:rPr>
          <w:rFonts w:ascii="Open Sans" w:hAnsi="Open Sans" w:cs="Open Sans"/>
        </w:rPr>
      </w:pPr>
      <w:r w:rsidRPr="001E694D">
        <w:rPr>
          <w:rFonts w:ascii="Open Sans" w:hAnsi="Open Sans" w:cs="Open Sans"/>
        </w:rPr>
        <w:br w:type="page"/>
      </w:r>
    </w:p>
    <w:p w14:paraId="23016ABE" w14:textId="77777777" w:rsidR="0062317D" w:rsidRPr="001E694D" w:rsidRDefault="0018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0074B" w14:paraId="52AD92DC" w14:textId="77777777" w:rsidTr="00C00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868B03A" w14:textId="77777777" w:rsidR="0062317D" w:rsidRPr="001E694D" w:rsidRDefault="001820E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33D5333" w14:textId="77777777" w:rsidR="0062317D" w:rsidRPr="001E694D" w:rsidRDefault="006231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74B" w14:paraId="4331564C"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E7D8C3"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4739EAF"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Consumers, their family, </w:t>
            </w:r>
            <w:r w:rsidRPr="001E694D">
              <w:rPr>
                <w:rFonts w:ascii="Open Sans" w:hAnsi="Open Sans" w:cs="Open Sans"/>
              </w:rPr>
              <w:t>friends, carers and others are encouraged and supported to provide feedback and make complaints.</w:t>
            </w:r>
          </w:p>
        </w:tc>
        <w:tc>
          <w:tcPr>
            <w:tcW w:w="1977" w:type="dxa"/>
            <w:shd w:val="clear" w:color="auto" w:fill="auto"/>
          </w:tcPr>
          <w:p w14:paraId="229B845B"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835554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4ED35C7A"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C88723"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5F52846"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Consumers are made aware of and have access to advocates, language services and other methods for raising and </w:t>
            </w:r>
            <w:r w:rsidRPr="001E694D">
              <w:rPr>
                <w:rFonts w:ascii="Open Sans" w:hAnsi="Open Sans" w:cs="Open Sans"/>
              </w:rPr>
              <w:t>resolving complaints.</w:t>
            </w:r>
          </w:p>
        </w:tc>
        <w:tc>
          <w:tcPr>
            <w:tcW w:w="1977" w:type="dxa"/>
            <w:shd w:val="clear" w:color="auto" w:fill="auto"/>
          </w:tcPr>
          <w:p w14:paraId="0916E81D"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810335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38882AD8"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8F9A26"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91977E0"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1189E92"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565882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22E1918B" w14:textId="77777777" w:rsidTr="00C0074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E07835"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0707DFD"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Feedback and complaints are reviewed and used to </w:t>
            </w:r>
            <w:r w:rsidRPr="001E694D">
              <w:rPr>
                <w:rFonts w:ascii="Open Sans" w:hAnsi="Open Sans" w:cs="Open Sans"/>
              </w:rPr>
              <w:t>improve the quality of care and services.</w:t>
            </w:r>
          </w:p>
        </w:tc>
        <w:tc>
          <w:tcPr>
            <w:tcW w:w="1977" w:type="dxa"/>
            <w:shd w:val="clear" w:color="auto" w:fill="auto"/>
          </w:tcPr>
          <w:p w14:paraId="269E52F7" w14:textId="77777777" w:rsidR="0062317D" w:rsidRPr="001E694D" w:rsidRDefault="001820E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963132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29943BC" w14:textId="77777777" w:rsidR="0062317D" w:rsidRPr="003E162B" w:rsidRDefault="001820E2" w:rsidP="00D87E7C">
      <w:pPr>
        <w:pStyle w:val="Heading20"/>
        <w:rPr>
          <w:rFonts w:ascii="Open Sans" w:hAnsi="Open Sans" w:cs="Open Sans"/>
          <w:color w:val="781E77"/>
        </w:rPr>
      </w:pPr>
      <w:r w:rsidRPr="003E162B">
        <w:rPr>
          <w:rFonts w:ascii="Open Sans" w:hAnsi="Open Sans" w:cs="Open Sans"/>
          <w:color w:val="781E77"/>
        </w:rPr>
        <w:t>Findings</w:t>
      </w:r>
    </w:p>
    <w:p w14:paraId="75CCB2ED" w14:textId="710702B5" w:rsidR="0086072E" w:rsidRDefault="0086072E" w:rsidP="0086072E">
      <w:pPr>
        <w:pStyle w:val="NormalArial"/>
        <w:rPr>
          <w:rFonts w:ascii="Open Sans" w:hAnsi="Open Sans" w:cs="Open Sans"/>
        </w:rPr>
      </w:pPr>
      <w:r>
        <w:rPr>
          <w:rFonts w:ascii="Open Sans" w:hAnsi="Open Sans" w:cs="Open Sans"/>
        </w:rPr>
        <w:t>This Quality Standard is Compliant as 4 of the 4 Requirements have been assessed as Compliant.</w:t>
      </w:r>
    </w:p>
    <w:p w14:paraId="52F264DC" w14:textId="6944CAF9" w:rsidR="0086072E" w:rsidRDefault="0086072E" w:rsidP="0036130C">
      <w:pPr>
        <w:pStyle w:val="NormalArial"/>
        <w:rPr>
          <w:rFonts w:ascii="Open Sans" w:hAnsi="Open Sans" w:cs="Open Sans"/>
        </w:rPr>
      </w:pPr>
      <w:r>
        <w:rPr>
          <w:rFonts w:ascii="Open Sans" w:hAnsi="Open Sans" w:cs="Open Sans"/>
        </w:rPr>
        <w:t>Consumer representatives were encouraged to raise complaints and provide feedback</w:t>
      </w:r>
      <w:r w:rsidR="00CF4055">
        <w:rPr>
          <w:rFonts w:ascii="Open Sans" w:hAnsi="Open Sans" w:cs="Open Sans"/>
        </w:rPr>
        <w:t xml:space="preserve"> and were comfortable speaking directly with staff. Staff described several avenues available for providing feedback or making complaints and escalation processes. Management advised that feedback was actively encouraged and confirmed multiple discussion pathways were available including meetings, case conferences, email correspondence, and telephone.</w:t>
      </w:r>
    </w:p>
    <w:p w14:paraId="7B0FF7F2" w14:textId="3A840A6C" w:rsidR="0086072E" w:rsidRDefault="00CF4055" w:rsidP="0036130C">
      <w:pPr>
        <w:pStyle w:val="NormalArial"/>
        <w:rPr>
          <w:rFonts w:ascii="Open Sans" w:hAnsi="Open Sans" w:cs="Open Sans"/>
        </w:rPr>
      </w:pPr>
      <w:r>
        <w:rPr>
          <w:rFonts w:ascii="Open Sans" w:hAnsi="Open Sans" w:cs="Open Sans"/>
        </w:rPr>
        <w:t xml:space="preserve">Consumer representatives </w:t>
      </w:r>
      <w:r w:rsidR="00585DBD">
        <w:rPr>
          <w:rFonts w:ascii="Open Sans" w:hAnsi="Open Sans" w:cs="Open Sans"/>
        </w:rPr>
        <w:t xml:space="preserve">discussed their preference to raise complaints </w:t>
      </w:r>
      <w:proofErr w:type="gramStart"/>
      <w:r w:rsidR="00585DBD">
        <w:rPr>
          <w:rFonts w:ascii="Open Sans" w:hAnsi="Open Sans" w:cs="Open Sans"/>
        </w:rPr>
        <w:t>directly, and</w:t>
      </w:r>
      <w:proofErr w:type="gramEnd"/>
      <w:r w:rsidR="00585DBD">
        <w:rPr>
          <w:rFonts w:ascii="Open Sans" w:hAnsi="Open Sans" w:cs="Open Sans"/>
        </w:rPr>
        <w:t xml:space="preserve"> </w:t>
      </w:r>
      <w:r>
        <w:rPr>
          <w:rFonts w:ascii="Open Sans" w:hAnsi="Open Sans" w:cs="Open Sans"/>
        </w:rPr>
        <w:t xml:space="preserve">were familiar with </w:t>
      </w:r>
      <w:r w:rsidR="00585DBD">
        <w:rPr>
          <w:rFonts w:ascii="Open Sans" w:hAnsi="Open Sans" w:cs="Open Sans"/>
        </w:rPr>
        <w:t xml:space="preserve">available </w:t>
      </w:r>
      <w:r>
        <w:rPr>
          <w:rFonts w:ascii="Open Sans" w:hAnsi="Open Sans" w:cs="Open Sans"/>
        </w:rPr>
        <w:t>advocacy services</w:t>
      </w:r>
      <w:r w:rsidR="00585DBD">
        <w:rPr>
          <w:rFonts w:ascii="Open Sans" w:hAnsi="Open Sans" w:cs="Open Sans"/>
        </w:rPr>
        <w:t>.</w:t>
      </w:r>
      <w:r w:rsidR="007B724F">
        <w:rPr>
          <w:rFonts w:ascii="Open Sans" w:hAnsi="Open Sans" w:cs="Open Sans"/>
        </w:rPr>
        <w:t xml:space="preserve"> Management discussed engagement with advocacy and interpreter services and past referrals. Information about external complaints agencies and advocacy services were available in brochures, posters, the consumer handbook, newsletters</w:t>
      </w:r>
      <w:r w:rsidR="00A5536F">
        <w:rPr>
          <w:rFonts w:ascii="Open Sans" w:hAnsi="Open Sans" w:cs="Open Sans"/>
        </w:rPr>
        <w:t xml:space="preserve"> and information sessions.</w:t>
      </w:r>
    </w:p>
    <w:p w14:paraId="28923778" w14:textId="46A66A0F" w:rsidR="00A5536F" w:rsidRDefault="00A5536F" w:rsidP="0036130C">
      <w:pPr>
        <w:pStyle w:val="NormalArial"/>
        <w:rPr>
          <w:rFonts w:ascii="Open Sans" w:hAnsi="Open Sans" w:cs="Open Sans"/>
        </w:rPr>
      </w:pPr>
      <w:bookmarkStart w:id="4" w:name="_Hlk188627653"/>
      <w:r>
        <w:rPr>
          <w:rFonts w:ascii="Open Sans" w:hAnsi="Open Sans" w:cs="Open Sans"/>
        </w:rPr>
        <w:t xml:space="preserve">Consumer representatives stated management were responsive to any matters raised. </w:t>
      </w:r>
      <w:bookmarkEnd w:id="4"/>
      <w:r w:rsidR="00AA1798">
        <w:rPr>
          <w:rFonts w:ascii="Open Sans" w:hAnsi="Open Sans" w:cs="Open Sans"/>
        </w:rPr>
        <w:t>Complaints were acknowledged, actioned, documented and resolved in accordance with policies and procedures</w:t>
      </w:r>
      <w:r w:rsidR="000070CD">
        <w:rPr>
          <w:rFonts w:ascii="Open Sans" w:hAnsi="Open Sans" w:cs="Open Sans"/>
        </w:rPr>
        <w:t>, and included appropriate apolog</w:t>
      </w:r>
      <w:r w:rsidR="004A6D59">
        <w:rPr>
          <w:rFonts w:ascii="Open Sans" w:hAnsi="Open Sans" w:cs="Open Sans"/>
        </w:rPr>
        <w:t>ies</w:t>
      </w:r>
      <w:r w:rsidR="00AA1798">
        <w:rPr>
          <w:rFonts w:ascii="Open Sans" w:hAnsi="Open Sans" w:cs="Open Sans"/>
        </w:rPr>
        <w:t xml:space="preserve">. Management </w:t>
      </w:r>
      <w:r w:rsidR="000070CD">
        <w:rPr>
          <w:rFonts w:ascii="Open Sans" w:hAnsi="Open Sans" w:cs="Open Sans"/>
        </w:rPr>
        <w:t>discussed</w:t>
      </w:r>
      <w:r w:rsidR="00AA1798">
        <w:rPr>
          <w:rFonts w:ascii="Open Sans" w:hAnsi="Open Sans" w:cs="Open Sans"/>
        </w:rPr>
        <w:t xml:space="preserve"> </w:t>
      </w:r>
      <w:r w:rsidR="000070CD">
        <w:rPr>
          <w:rFonts w:ascii="Open Sans" w:hAnsi="Open Sans" w:cs="Open Sans"/>
        </w:rPr>
        <w:t>investigation processes and consumer outcomes which included improvements in cleaning systems and additional education</w:t>
      </w:r>
      <w:r w:rsidR="00AA1798">
        <w:rPr>
          <w:rFonts w:ascii="Open Sans" w:hAnsi="Open Sans" w:cs="Open Sans"/>
        </w:rPr>
        <w:t xml:space="preserve">. </w:t>
      </w:r>
    </w:p>
    <w:p w14:paraId="7B3175D6" w14:textId="68268330" w:rsidR="0062317D" w:rsidRPr="001E694D" w:rsidRDefault="004A6D59" w:rsidP="0036130C">
      <w:pPr>
        <w:pStyle w:val="NormalArial"/>
        <w:rPr>
          <w:rFonts w:ascii="Open Sans" w:hAnsi="Open Sans" w:cs="Open Sans"/>
        </w:rPr>
      </w:pPr>
      <w:r>
        <w:rPr>
          <w:rFonts w:ascii="Open Sans" w:hAnsi="Open Sans" w:cs="Open Sans"/>
        </w:rPr>
        <w:t xml:space="preserve">Feedback and complaints were thoroughly reviewed and resulted in continuous improvement actions. The plan for continuous improvement demonstrated </w:t>
      </w:r>
      <w:r>
        <w:rPr>
          <w:rFonts w:ascii="Open Sans" w:hAnsi="Open Sans" w:cs="Open Sans"/>
        </w:rPr>
        <w:lastRenderedPageBreak/>
        <w:t>several actions which included clinical care reviews, community education, and upgrades to the service environment.</w:t>
      </w:r>
      <w:r w:rsidRPr="001E694D">
        <w:rPr>
          <w:rFonts w:ascii="Open Sans" w:hAnsi="Open Sans" w:cs="Open Sans"/>
        </w:rPr>
        <w:br w:type="page"/>
      </w:r>
    </w:p>
    <w:p w14:paraId="33828469" w14:textId="77777777" w:rsidR="0062317D" w:rsidRPr="001E694D" w:rsidRDefault="0018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0074B" w14:paraId="3E6ECCE2" w14:textId="77777777" w:rsidTr="00C00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11E78C0" w14:textId="77777777" w:rsidR="0062317D" w:rsidRPr="001E694D" w:rsidRDefault="001820E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90B37F6" w14:textId="77777777" w:rsidR="0062317D" w:rsidRPr="001E694D" w:rsidRDefault="006231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74B" w14:paraId="367EEE9C"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B6BEF6"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CC8BA6E"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members of the workforce deployed </w:t>
            </w:r>
            <w:r w:rsidRPr="001E694D">
              <w:rPr>
                <w:rFonts w:ascii="Open Sans" w:hAnsi="Open Sans" w:cs="Open Sans"/>
              </w:rPr>
              <w:t>enables, the delivery and management of safe and quality care and services.</w:t>
            </w:r>
          </w:p>
        </w:tc>
        <w:tc>
          <w:tcPr>
            <w:tcW w:w="1977" w:type="dxa"/>
            <w:shd w:val="clear" w:color="auto" w:fill="auto"/>
          </w:tcPr>
          <w:p w14:paraId="6BA510B5"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60436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2D9EF448"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949E14"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6814313"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7F719A1"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10071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7A0AEA11"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0E29E0"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869474D"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69E10F0A"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225784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677CA520" w14:textId="77777777" w:rsidTr="00C00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C27C8C"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330CFC4"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equipped and supported to </w:t>
            </w:r>
            <w:r w:rsidRPr="001E694D">
              <w:rPr>
                <w:rFonts w:ascii="Open Sans" w:hAnsi="Open Sans" w:cs="Open Sans"/>
              </w:rPr>
              <w:t>deliver the outcomes required by these standards.</w:t>
            </w:r>
          </w:p>
        </w:tc>
        <w:tc>
          <w:tcPr>
            <w:tcW w:w="1977" w:type="dxa"/>
            <w:shd w:val="clear" w:color="auto" w:fill="auto"/>
          </w:tcPr>
          <w:p w14:paraId="729F61ED" w14:textId="77777777" w:rsidR="0062317D" w:rsidRPr="001E694D" w:rsidRDefault="001820E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073125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1E241719" w14:textId="77777777" w:rsidTr="00C00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D7A959"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388844F"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748C7C1" w14:textId="77777777" w:rsidR="0062317D" w:rsidRPr="001E694D" w:rsidRDefault="001820E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216709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996E7B5" w14:textId="77777777" w:rsidR="0062317D" w:rsidRPr="003E162B" w:rsidRDefault="001820E2" w:rsidP="002B0C90">
      <w:pPr>
        <w:pStyle w:val="Heading20"/>
        <w:rPr>
          <w:rFonts w:ascii="Open Sans" w:hAnsi="Open Sans" w:cs="Open Sans"/>
          <w:color w:val="781E77"/>
        </w:rPr>
      </w:pPr>
      <w:r w:rsidRPr="003E162B">
        <w:rPr>
          <w:rFonts w:ascii="Open Sans" w:hAnsi="Open Sans" w:cs="Open Sans"/>
          <w:color w:val="781E77"/>
        </w:rPr>
        <w:t>Findings</w:t>
      </w:r>
    </w:p>
    <w:p w14:paraId="3C43F556" w14:textId="5D4BA13C" w:rsidR="007B724F" w:rsidRDefault="007B724F" w:rsidP="007B724F">
      <w:pPr>
        <w:pStyle w:val="NormalArial"/>
        <w:rPr>
          <w:rFonts w:ascii="Open Sans" w:hAnsi="Open Sans" w:cs="Open Sans"/>
        </w:rPr>
      </w:pPr>
      <w:r>
        <w:rPr>
          <w:rFonts w:ascii="Open Sans" w:hAnsi="Open Sans" w:cs="Open Sans"/>
        </w:rPr>
        <w:t>This Quality Standard is Compliant as 5 of the 5 Requirements have been assessed as Compliant.</w:t>
      </w:r>
    </w:p>
    <w:p w14:paraId="5D43EB7C" w14:textId="796135DB" w:rsidR="0062317D" w:rsidRDefault="004A6D59" w:rsidP="0036130C">
      <w:pPr>
        <w:pStyle w:val="NormalArial"/>
        <w:rPr>
          <w:rFonts w:ascii="Open Sans" w:hAnsi="Open Sans" w:cs="Open Sans"/>
        </w:rPr>
      </w:pPr>
      <w:r>
        <w:rPr>
          <w:rFonts w:ascii="Open Sans" w:hAnsi="Open Sans" w:cs="Open Sans"/>
        </w:rPr>
        <w:t xml:space="preserve">Consumer representatives consistently indicated staff were meeting consumer care needs and </w:t>
      </w:r>
      <w:r w:rsidR="00EC3BEB">
        <w:rPr>
          <w:rFonts w:ascii="Open Sans" w:hAnsi="Open Sans" w:cs="Open Sans"/>
        </w:rPr>
        <w:t xml:space="preserve">staff numbers were adequate. </w:t>
      </w:r>
      <w:r w:rsidR="00E536BD">
        <w:rPr>
          <w:rFonts w:ascii="Open Sans" w:hAnsi="Open Sans" w:cs="Open Sans"/>
        </w:rPr>
        <w:t>Staff noted there were enough staff</w:t>
      </w:r>
      <w:r w:rsidR="00654907">
        <w:rPr>
          <w:rFonts w:ascii="Open Sans" w:hAnsi="Open Sans" w:cs="Open Sans"/>
        </w:rPr>
        <w:t xml:space="preserve"> </w:t>
      </w:r>
      <w:r w:rsidR="00187AF2">
        <w:rPr>
          <w:rFonts w:ascii="Open Sans" w:hAnsi="Open Sans" w:cs="Open Sans"/>
        </w:rPr>
        <w:t xml:space="preserve">available to provide </w:t>
      </w:r>
      <w:r w:rsidR="00654907">
        <w:rPr>
          <w:rFonts w:ascii="Open Sans" w:hAnsi="Open Sans" w:cs="Open Sans"/>
        </w:rPr>
        <w:t>consumer support</w:t>
      </w:r>
      <w:r w:rsidR="00E536BD">
        <w:rPr>
          <w:rFonts w:ascii="Open Sans" w:hAnsi="Open Sans" w:cs="Open Sans"/>
        </w:rPr>
        <w:t xml:space="preserve">. Consumer care needs were monitored and maintained which ensured consistent provision of safe and quality care and services. Core rosters were </w:t>
      </w:r>
      <w:r w:rsidR="00654907">
        <w:rPr>
          <w:rFonts w:ascii="Open Sans" w:hAnsi="Open Sans" w:cs="Open Sans"/>
        </w:rPr>
        <w:t>facilitated to ensure clinical care staff allocation and non-agency regular staff were utilised for consumer continuity of care.</w:t>
      </w:r>
    </w:p>
    <w:p w14:paraId="26CC9184" w14:textId="247AB9AA" w:rsidR="00654907" w:rsidRDefault="00654907" w:rsidP="0036130C">
      <w:pPr>
        <w:pStyle w:val="NormalArial"/>
        <w:rPr>
          <w:rFonts w:ascii="Open Sans" w:hAnsi="Open Sans" w:cs="Open Sans"/>
        </w:rPr>
      </w:pPr>
      <w:r>
        <w:rPr>
          <w:rFonts w:ascii="Open Sans" w:hAnsi="Open Sans" w:cs="Open Sans"/>
        </w:rPr>
        <w:t xml:space="preserve">Consumer representatives said staff were kind, caring and respectful of each consumer and were calm and considered during care and service delivery. Staff demonstrated familiarity with consumers and their backgrounds and </w:t>
      </w:r>
      <w:r w:rsidR="002B7029">
        <w:rPr>
          <w:rFonts w:ascii="Open Sans" w:hAnsi="Open Sans" w:cs="Open Sans"/>
        </w:rPr>
        <w:t xml:space="preserve">were observed to be caring and respectful. </w:t>
      </w:r>
      <w:r>
        <w:rPr>
          <w:rFonts w:ascii="Open Sans" w:hAnsi="Open Sans" w:cs="Open Sans"/>
        </w:rPr>
        <w:t>Management emphasised the importance of kind and caring interactions</w:t>
      </w:r>
      <w:r w:rsidR="002B7029">
        <w:rPr>
          <w:rFonts w:ascii="Open Sans" w:hAnsi="Open Sans" w:cs="Open Sans"/>
        </w:rPr>
        <w:t xml:space="preserve"> and </w:t>
      </w:r>
      <w:r>
        <w:rPr>
          <w:rFonts w:ascii="Open Sans" w:hAnsi="Open Sans" w:cs="Open Sans"/>
        </w:rPr>
        <w:t xml:space="preserve">promotion of a positive staff culture </w:t>
      </w:r>
      <w:r w:rsidR="00187AF2">
        <w:rPr>
          <w:rFonts w:ascii="Open Sans" w:hAnsi="Open Sans" w:cs="Open Sans"/>
        </w:rPr>
        <w:t xml:space="preserve">that </w:t>
      </w:r>
      <w:r>
        <w:rPr>
          <w:rFonts w:ascii="Open Sans" w:hAnsi="Open Sans" w:cs="Open Sans"/>
        </w:rPr>
        <w:t>aligned with organisational values.</w:t>
      </w:r>
    </w:p>
    <w:p w14:paraId="5565E833" w14:textId="49FD41B1" w:rsidR="002B7029" w:rsidRDefault="002B7029" w:rsidP="0036130C">
      <w:pPr>
        <w:pStyle w:val="NormalArial"/>
        <w:rPr>
          <w:rFonts w:ascii="Open Sans" w:hAnsi="Open Sans" w:cs="Open Sans"/>
        </w:rPr>
      </w:pPr>
      <w:r>
        <w:rPr>
          <w:rFonts w:ascii="Open Sans" w:hAnsi="Open Sans" w:cs="Open Sans"/>
        </w:rPr>
        <w:t xml:space="preserve">Consumer representatives were satisfied staff were competent and trained in consumer care and service delivery. Management discussed position </w:t>
      </w:r>
      <w:r>
        <w:rPr>
          <w:rFonts w:ascii="Open Sans" w:hAnsi="Open Sans" w:cs="Open Sans"/>
        </w:rPr>
        <w:lastRenderedPageBreak/>
        <w:t xml:space="preserve">descriptions, roles and responsibilities </w:t>
      </w:r>
      <w:r w:rsidR="00F5329D">
        <w:rPr>
          <w:rFonts w:ascii="Open Sans" w:hAnsi="Open Sans" w:cs="Open Sans"/>
        </w:rPr>
        <w:t>and duty statements and the capability framework which ensured appropriate skills, training and competencies were identified for the workforce.</w:t>
      </w:r>
      <w:r w:rsidR="000A46D9">
        <w:rPr>
          <w:rFonts w:ascii="Open Sans" w:hAnsi="Open Sans" w:cs="Open Sans"/>
        </w:rPr>
        <w:t xml:space="preserve"> </w:t>
      </w:r>
      <w:r w:rsidR="00D837E6">
        <w:rPr>
          <w:rFonts w:ascii="Open Sans" w:hAnsi="Open Sans" w:cs="Open Sans"/>
        </w:rPr>
        <w:t xml:space="preserve">Staff files evidenced qualifications relevant to position roles and responsibilities and employment checks were undertaken. Staff competencies were assessed across various topics </w:t>
      </w:r>
      <w:r w:rsidR="007B4B7F">
        <w:rPr>
          <w:rFonts w:ascii="Open Sans" w:hAnsi="Open Sans" w:cs="Open Sans"/>
        </w:rPr>
        <w:t>which included</w:t>
      </w:r>
      <w:r w:rsidR="00D837E6">
        <w:rPr>
          <w:rFonts w:ascii="Open Sans" w:hAnsi="Open Sans" w:cs="Open Sans"/>
        </w:rPr>
        <w:t xml:space="preserve"> (but </w:t>
      </w:r>
      <w:r w:rsidR="007B4B7F">
        <w:rPr>
          <w:rFonts w:ascii="Open Sans" w:hAnsi="Open Sans" w:cs="Open Sans"/>
        </w:rPr>
        <w:t xml:space="preserve">were </w:t>
      </w:r>
      <w:r w:rsidR="00D837E6">
        <w:rPr>
          <w:rFonts w:ascii="Open Sans" w:hAnsi="Open Sans" w:cs="Open Sans"/>
        </w:rPr>
        <w:t>not limited to) code of conduct, positive workplace behaviour and the Serious Incident Response Scheme and were actively monitored for completion.</w:t>
      </w:r>
    </w:p>
    <w:p w14:paraId="17AE9D68" w14:textId="3A5673B3" w:rsidR="00D837E6" w:rsidRPr="007B4B7F" w:rsidRDefault="00D837E6" w:rsidP="0036130C">
      <w:pPr>
        <w:pStyle w:val="NormalArial"/>
        <w:rPr>
          <w:rFonts w:ascii="Open Sans" w:hAnsi="Open Sans" w:cs="Open Sans"/>
          <w:color w:val="auto"/>
        </w:rPr>
      </w:pPr>
      <w:r w:rsidRPr="007B4B7F">
        <w:rPr>
          <w:rFonts w:ascii="Open Sans" w:hAnsi="Open Sans" w:cs="Open Sans"/>
          <w:color w:val="auto"/>
        </w:rPr>
        <w:t xml:space="preserve">Consumer representatives were satisfied with consumer care and said staff knew what they were doing. </w:t>
      </w:r>
      <w:r w:rsidR="007B4B7F" w:rsidRPr="007B4B7F">
        <w:rPr>
          <w:rFonts w:ascii="Open Sans" w:hAnsi="Open Sans" w:cs="Open Sans"/>
          <w:color w:val="auto"/>
        </w:rPr>
        <w:t xml:space="preserve">Staff confirmed their participation in training and the availability of resources and equipment to deliver consumer outcomes. </w:t>
      </w:r>
      <w:r w:rsidRPr="007B4B7F">
        <w:rPr>
          <w:rFonts w:ascii="Open Sans" w:hAnsi="Open Sans" w:cs="Open Sans"/>
          <w:color w:val="auto"/>
        </w:rPr>
        <w:t xml:space="preserve">Management explained </w:t>
      </w:r>
      <w:r w:rsidR="007B4B7F" w:rsidRPr="007B4B7F">
        <w:rPr>
          <w:rFonts w:ascii="Open Sans" w:hAnsi="Open Sans" w:cs="Open Sans"/>
          <w:color w:val="auto"/>
        </w:rPr>
        <w:t xml:space="preserve">that staff recruitment was supported by the organisational recruitment team which ensured qualified and knowledgeable staff were recruited. A training needs analysis directed staff training and clinical nurse educators were engaged. An orientation program and ‘buddy’ shifts supported new staff and </w:t>
      </w:r>
      <w:proofErr w:type="gramStart"/>
      <w:r w:rsidR="007B4B7F" w:rsidRPr="007B4B7F">
        <w:rPr>
          <w:rFonts w:ascii="Open Sans" w:hAnsi="Open Sans" w:cs="Open Sans"/>
          <w:color w:val="auto"/>
        </w:rPr>
        <w:t>education</w:t>
      </w:r>
      <w:proofErr w:type="gramEnd"/>
      <w:r w:rsidR="007B4B7F" w:rsidRPr="007B4B7F">
        <w:rPr>
          <w:rFonts w:ascii="Open Sans" w:hAnsi="Open Sans" w:cs="Open Sans"/>
          <w:color w:val="auto"/>
        </w:rPr>
        <w:t xml:space="preserve"> and training included (but was not limited to) communication with dementia, referral pathways, behaviour charting, lewy body dementia and basic lower limb assessment. </w:t>
      </w:r>
    </w:p>
    <w:p w14:paraId="437BD020" w14:textId="033EDAC2" w:rsidR="00F46901" w:rsidRDefault="007B4B7F" w:rsidP="0036130C">
      <w:pPr>
        <w:pStyle w:val="NormalArial"/>
        <w:rPr>
          <w:rFonts w:ascii="Open Sans" w:hAnsi="Open Sans" w:cs="Open Sans"/>
        </w:rPr>
      </w:pPr>
      <w:r>
        <w:rPr>
          <w:rFonts w:ascii="Open Sans" w:hAnsi="Open Sans" w:cs="Open Sans"/>
        </w:rPr>
        <w:t>Formal staff performance review processes were demonstrated</w:t>
      </w:r>
      <w:r w:rsidR="00F46901">
        <w:rPr>
          <w:rFonts w:ascii="Open Sans" w:hAnsi="Open Sans" w:cs="Open Sans"/>
        </w:rPr>
        <w:t xml:space="preserve">. Performance appraisals were monitored at organisational level and reminders ensured annual appraisals were competed when required. </w:t>
      </w:r>
      <w:r w:rsidR="00744DDB">
        <w:rPr>
          <w:rFonts w:ascii="Open Sans" w:hAnsi="Open Sans" w:cs="Open Sans"/>
        </w:rPr>
        <w:t xml:space="preserve">Staff confirmed engagement in performance appraisals and identification and provision of further education and training. </w:t>
      </w:r>
      <w:r w:rsidR="00F46901">
        <w:rPr>
          <w:rFonts w:ascii="Open Sans" w:hAnsi="Open Sans" w:cs="Open Sans"/>
        </w:rPr>
        <w:t>Staff performance was monitored through observations, supervision and consumer, representative and staff feedback.</w:t>
      </w:r>
      <w:r w:rsidR="00744DDB">
        <w:rPr>
          <w:rFonts w:ascii="Open Sans" w:hAnsi="Open Sans" w:cs="Open Sans"/>
        </w:rPr>
        <w:t xml:space="preserve"> Management discussed good role modelling and encouragement of positive staff performance.</w:t>
      </w:r>
    </w:p>
    <w:p w14:paraId="11ADE0FF" w14:textId="7C28C789" w:rsidR="0062317D" w:rsidRPr="001E694D" w:rsidRDefault="001820E2" w:rsidP="0036130C">
      <w:pPr>
        <w:pStyle w:val="NormalArial"/>
        <w:rPr>
          <w:rFonts w:ascii="Open Sans" w:hAnsi="Open Sans" w:cs="Open Sans"/>
        </w:rPr>
      </w:pPr>
      <w:r w:rsidRPr="001E694D">
        <w:rPr>
          <w:rFonts w:ascii="Open Sans" w:hAnsi="Open Sans" w:cs="Open Sans"/>
        </w:rPr>
        <w:br w:type="page"/>
      </w:r>
    </w:p>
    <w:p w14:paraId="569D4E28" w14:textId="77777777" w:rsidR="0062317D" w:rsidRPr="001E694D" w:rsidRDefault="001820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804"/>
        <w:gridCol w:w="1983"/>
      </w:tblGrid>
      <w:tr w:rsidR="00C0074B" w14:paraId="0D264132" w14:textId="77777777" w:rsidTr="00A81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6BCC4539" w14:textId="77777777" w:rsidR="0062317D" w:rsidRPr="001E694D" w:rsidRDefault="001820E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83" w:type="dxa"/>
            <w:shd w:val="clear" w:color="auto" w:fill="781E77"/>
          </w:tcPr>
          <w:p w14:paraId="16887CBE" w14:textId="77777777" w:rsidR="0062317D" w:rsidRPr="001E694D" w:rsidRDefault="0062317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74B" w14:paraId="0E258601" w14:textId="77777777" w:rsidTr="00A8191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F9FC92C"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8(3)(a)</w:t>
            </w:r>
          </w:p>
        </w:tc>
        <w:tc>
          <w:tcPr>
            <w:tcW w:w="5804" w:type="dxa"/>
            <w:shd w:val="clear" w:color="auto" w:fill="auto"/>
          </w:tcPr>
          <w:p w14:paraId="7FF564B0"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983" w:type="dxa"/>
            <w:shd w:val="clear" w:color="auto" w:fill="auto"/>
          </w:tcPr>
          <w:p w14:paraId="0424ADA0"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355721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21586D7A" w14:textId="77777777" w:rsidTr="00A81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09294A7"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8(3)(b)</w:t>
            </w:r>
          </w:p>
        </w:tc>
        <w:tc>
          <w:tcPr>
            <w:tcW w:w="5804" w:type="dxa"/>
            <w:shd w:val="clear" w:color="auto" w:fill="auto"/>
          </w:tcPr>
          <w:p w14:paraId="225D9EAA"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983" w:type="dxa"/>
            <w:shd w:val="clear" w:color="auto" w:fill="auto"/>
          </w:tcPr>
          <w:p w14:paraId="7C9CAAFC"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246945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41C6A413" w14:textId="77777777" w:rsidTr="00A8191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86C9266"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58392BEB"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456C08C" w14:textId="77777777" w:rsidR="0062317D" w:rsidRPr="001E694D" w:rsidRDefault="001820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2F257D19" w14:textId="77777777" w:rsidR="0062317D" w:rsidRPr="001E694D" w:rsidRDefault="001820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4C3CF170" w14:textId="77777777" w:rsidR="0062317D" w:rsidRPr="001E694D" w:rsidRDefault="001820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590728DB" w14:textId="77777777" w:rsidR="0062317D" w:rsidRPr="001E694D" w:rsidRDefault="001820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02B74B3B" w14:textId="77777777" w:rsidR="0062317D" w:rsidRPr="001E694D" w:rsidRDefault="001820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4CCDB89A" w14:textId="77777777" w:rsidR="0062317D" w:rsidRPr="001E694D" w:rsidRDefault="001820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983" w:type="dxa"/>
            <w:shd w:val="clear" w:color="auto" w:fill="auto"/>
          </w:tcPr>
          <w:p w14:paraId="0B2FBF32" w14:textId="35C60F9D"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600851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D7682">
                  <w:rPr>
                    <w:rFonts w:ascii="Open Sans" w:hAnsi="Open Sans" w:cs="Open Sans"/>
                    <w:color w:val="auto"/>
                  </w:rPr>
                  <w:t>Not Compliant</w:t>
                </w:r>
              </w:sdtContent>
            </w:sdt>
          </w:p>
        </w:tc>
      </w:tr>
      <w:tr w:rsidR="00C0074B" w14:paraId="4C278410" w14:textId="77777777" w:rsidTr="00A819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C914E9B"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6D818B1D" w14:textId="77777777" w:rsidR="0062317D" w:rsidRPr="001E694D" w:rsidRDefault="001820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DC2CCA7" w14:textId="77777777" w:rsidR="0062317D" w:rsidRPr="001E694D" w:rsidRDefault="001820E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5531D28C" w14:textId="77777777" w:rsidR="0062317D" w:rsidRPr="001E694D" w:rsidRDefault="001820E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73672151" w14:textId="77777777" w:rsidR="0062317D" w:rsidRPr="001E694D" w:rsidRDefault="001820E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676262C" w14:textId="77777777" w:rsidR="0062317D" w:rsidRPr="001E694D" w:rsidRDefault="001820E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83" w:type="dxa"/>
            <w:shd w:val="clear" w:color="auto" w:fill="auto"/>
          </w:tcPr>
          <w:p w14:paraId="0DA348AB" w14:textId="77777777" w:rsidR="0062317D" w:rsidRPr="001E694D" w:rsidRDefault="001820E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406981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0074B" w14:paraId="37BCDC45" w14:textId="77777777" w:rsidTr="00A8191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3023FA4" w14:textId="77777777" w:rsidR="0062317D" w:rsidRPr="001E694D" w:rsidRDefault="001820E2" w:rsidP="002C5FA9">
            <w:pPr>
              <w:spacing w:line="22" w:lineRule="atLeast"/>
              <w:rPr>
                <w:rFonts w:ascii="Open Sans" w:hAnsi="Open Sans" w:cs="Open Sans"/>
              </w:rPr>
            </w:pPr>
            <w:r w:rsidRPr="001E694D">
              <w:rPr>
                <w:rFonts w:ascii="Open Sans" w:hAnsi="Open Sans" w:cs="Open Sans"/>
              </w:rPr>
              <w:t>Requirement 8(3)(e)</w:t>
            </w:r>
          </w:p>
        </w:tc>
        <w:tc>
          <w:tcPr>
            <w:tcW w:w="5804" w:type="dxa"/>
            <w:shd w:val="clear" w:color="auto" w:fill="auto"/>
          </w:tcPr>
          <w:p w14:paraId="28504AA6" w14:textId="77777777" w:rsidR="0062317D" w:rsidRPr="001E694D" w:rsidRDefault="001820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clinical care is provided—a clinical governance </w:t>
            </w:r>
            <w:r w:rsidRPr="001E694D">
              <w:rPr>
                <w:rFonts w:ascii="Open Sans" w:hAnsi="Open Sans" w:cs="Open Sans"/>
              </w:rPr>
              <w:t>framework, including but not limited to the following:</w:t>
            </w:r>
          </w:p>
          <w:p w14:paraId="2B4C9481" w14:textId="77777777" w:rsidR="0062317D" w:rsidRPr="001E694D" w:rsidRDefault="001820E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33E9D64E" w14:textId="77777777" w:rsidR="0062317D" w:rsidRPr="001E694D" w:rsidRDefault="001820E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2CCF4614" w14:textId="77777777" w:rsidR="0062317D" w:rsidRPr="001E694D" w:rsidRDefault="001820E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83" w:type="dxa"/>
            <w:shd w:val="clear" w:color="auto" w:fill="auto"/>
          </w:tcPr>
          <w:p w14:paraId="26C03BA4" w14:textId="77777777" w:rsidR="0062317D" w:rsidRPr="001E694D" w:rsidRDefault="001820E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03930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35B06CD" w14:textId="77777777" w:rsidR="0062317D" w:rsidRPr="007A2323" w:rsidRDefault="001820E2"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F1EBD17" w14:textId="5C0A5079" w:rsidR="006D7682" w:rsidRPr="00603DFD" w:rsidRDefault="008A4780" w:rsidP="006D7682">
      <w:pPr>
        <w:pStyle w:val="NormalArial"/>
        <w:rPr>
          <w:rFonts w:ascii="Open Sans" w:hAnsi="Open Sans" w:cs="Open Sans"/>
          <w:color w:val="auto"/>
        </w:rPr>
      </w:pPr>
      <w:r w:rsidRPr="006D7682">
        <w:rPr>
          <w:rFonts w:ascii="Open Sans" w:hAnsi="Open Sans" w:cs="Open Sans"/>
          <w:color w:val="auto"/>
        </w:rPr>
        <w:lastRenderedPageBreak/>
        <w:t>This Quality Standard</w:t>
      </w:r>
      <w:r w:rsidR="006D7682">
        <w:rPr>
          <w:rFonts w:ascii="Open Sans" w:hAnsi="Open Sans" w:cs="Open Sans"/>
          <w:color w:val="FF0000"/>
        </w:rPr>
        <w:t xml:space="preserve"> </w:t>
      </w:r>
      <w:r w:rsidR="006D7682" w:rsidRPr="00603DFD">
        <w:rPr>
          <w:rFonts w:ascii="Open Sans" w:hAnsi="Open Sans" w:cs="Open Sans"/>
          <w:color w:val="auto"/>
        </w:rPr>
        <w:t>has been assessed as Not Compliant as</w:t>
      </w:r>
      <w:r w:rsidR="006D7682">
        <w:rPr>
          <w:rFonts w:ascii="Open Sans" w:hAnsi="Open Sans" w:cs="Open Sans"/>
          <w:color w:val="auto"/>
        </w:rPr>
        <w:t xml:space="preserve"> I am satisfied that </w:t>
      </w:r>
      <w:r w:rsidR="006D7682" w:rsidRPr="00603DFD">
        <w:rPr>
          <w:rFonts w:ascii="Open Sans" w:hAnsi="Open Sans" w:cs="Open Sans"/>
          <w:color w:val="auto"/>
        </w:rPr>
        <w:t xml:space="preserve">Requirement </w:t>
      </w:r>
      <w:r w:rsidR="006D7682">
        <w:rPr>
          <w:rFonts w:ascii="Open Sans" w:hAnsi="Open Sans" w:cs="Open Sans"/>
          <w:color w:val="auto"/>
        </w:rPr>
        <w:t>8</w:t>
      </w:r>
      <w:r w:rsidR="006D7682" w:rsidRPr="00603DFD">
        <w:rPr>
          <w:rFonts w:ascii="Open Sans" w:hAnsi="Open Sans" w:cs="Open Sans"/>
          <w:color w:val="auto"/>
        </w:rPr>
        <w:t>(3)(</w:t>
      </w:r>
      <w:r w:rsidR="006D7682">
        <w:rPr>
          <w:rFonts w:ascii="Open Sans" w:hAnsi="Open Sans" w:cs="Open Sans"/>
          <w:color w:val="auto"/>
        </w:rPr>
        <w:t>c</w:t>
      </w:r>
      <w:r w:rsidR="006D7682" w:rsidRPr="00603DFD">
        <w:rPr>
          <w:rFonts w:ascii="Open Sans" w:hAnsi="Open Sans" w:cs="Open Sans"/>
          <w:color w:val="auto"/>
        </w:rPr>
        <w:t xml:space="preserve">) is </w:t>
      </w:r>
      <w:r w:rsidR="006D7682">
        <w:rPr>
          <w:rFonts w:ascii="Open Sans" w:hAnsi="Open Sans" w:cs="Open Sans"/>
          <w:color w:val="auto"/>
        </w:rPr>
        <w:t>N</w:t>
      </w:r>
      <w:r w:rsidR="006D7682" w:rsidRPr="00603DFD">
        <w:rPr>
          <w:rFonts w:ascii="Open Sans" w:hAnsi="Open Sans" w:cs="Open Sans"/>
          <w:color w:val="auto"/>
        </w:rPr>
        <w:t xml:space="preserve">ot Compliant. </w:t>
      </w:r>
    </w:p>
    <w:p w14:paraId="005C1235" w14:textId="035A3EFB" w:rsidR="00457BE5" w:rsidRPr="004D762B" w:rsidRDefault="00B83F0F" w:rsidP="008A4780">
      <w:pPr>
        <w:pStyle w:val="NormalArial"/>
        <w:rPr>
          <w:rFonts w:ascii="Open Sans" w:hAnsi="Open Sans" w:cs="Open Sans"/>
          <w:color w:val="auto"/>
        </w:rPr>
      </w:pPr>
      <w:bookmarkStart w:id="5" w:name="_Hlk189416086"/>
      <w:r w:rsidRPr="004D762B">
        <w:rPr>
          <w:rFonts w:ascii="Open Sans" w:hAnsi="Open Sans" w:cs="Open Sans"/>
          <w:color w:val="auto"/>
        </w:rPr>
        <w:t xml:space="preserve">Effective organisational governance systems were demonstrated for information management, continuous improvement, financial governance, workforce governance and feedback and complaints. </w:t>
      </w:r>
      <w:r w:rsidR="00171FC1" w:rsidRPr="004D762B">
        <w:rPr>
          <w:rFonts w:ascii="Open Sans" w:hAnsi="Open Sans" w:cs="Open Sans"/>
          <w:color w:val="auto"/>
        </w:rPr>
        <w:t xml:space="preserve">Regulatory compliance </w:t>
      </w:r>
      <w:r w:rsidR="00796B3B" w:rsidRPr="004D762B">
        <w:rPr>
          <w:rFonts w:ascii="Open Sans" w:hAnsi="Open Sans" w:cs="Open Sans"/>
          <w:color w:val="auto"/>
        </w:rPr>
        <w:t xml:space="preserve">included monitoring, review and implementation of </w:t>
      </w:r>
      <w:r w:rsidR="00FD1A57" w:rsidRPr="004D762B">
        <w:rPr>
          <w:rFonts w:ascii="Open Sans" w:hAnsi="Open Sans" w:cs="Open Sans"/>
          <w:color w:val="auto"/>
        </w:rPr>
        <w:t>changes to aged care regulation and legislation</w:t>
      </w:r>
      <w:r w:rsidR="00796B3B" w:rsidRPr="004D762B">
        <w:rPr>
          <w:rFonts w:ascii="Open Sans" w:hAnsi="Open Sans" w:cs="Open Sans"/>
          <w:color w:val="auto"/>
        </w:rPr>
        <w:t>, with communication to all staff and</w:t>
      </w:r>
      <w:r w:rsidR="00FD1A57" w:rsidRPr="004D762B">
        <w:rPr>
          <w:rFonts w:ascii="Open Sans" w:hAnsi="Open Sans" w:cs="Open Sans"/>
          <w:color w:val="auto"/>
        </w:rPr>
        <w:t xml:space="preserve"> relevant changes made to policies and procedures</w:t>
      </w:r>
      <w:r w:rsidR="00CA4EBD" w:rsidRPr="004D762B">
        <w:rPr>
          <w:rFonts w:ascii="Open Sans" w:hAnsi="Open Sans" w:cs="Open Sans"/>
          <w:color w:val="auto"/>
        </w:rPr>
        <w:t xml:space="preserve"> evidenced</w:t>
      </w:r>
      <w:r w:rsidR="00FD1A57" w:rsidRPr="004D762B">
        <w:rPr>
          <w:rFonts w:ascii="Open Sans" w:hAnsi="Open Sans" w:cs="Open Sans"/>
          <w:color w:val="auto"/>
        </w:rPr>
        <w:t xml:space="preserve">. </w:t>
      </w:r>
      <w:r w:rsidR="0086122B" w:rsidRPr="004D762B">
        <w:rPr>
          <w:rFonts w:ascii="Open Sans" w:hAnsi="Open Sans" w:cs="Open Sans"/>
          <w:color w:val="auto"/>
        </w:rPr>
        <w:t>Whilst policies and procedures were in place to direct care for restrictive practices, adherence to, and understanding of,</w:t>
      </w:r>
      <w:r w:rsidR="00796B3B" w:rsidRPr="004D762B">
        <w:rPr>
          <w:rFonts w:ascii="Open Sans" w:hAnsi="Open Sans" w:cs="Open Sans"/>
          <w:color w:val="auto"/>
        </w:rPr>
        <w:t xml:space="preserve"> </w:t>
      </w:r>
      <w:r w:rsidR="00FD1A57" w:rsidRPr="004D762B">
        <w:rPr>
          <w:rFonts w:ascii="Open Sans" w:hAnsi="Open Sans" w:cs="Open Sans"/>
          <w:color w:val="auto"/>
        </w:rPr>
        <w:t xml:space="preserve">the </w:t>
      </w:r>
      <w:proofErr w:type="gramStart"/>
      <w:r w:rsidR="00FD1A57" w:rsidRPr="004D762B">
        <w:rPr>
          <w:rFonts w:ascii="Open Sans" w:hAnsi="Open Sans" w:cs="Open Sans"/>
          <w:color w:val="auto"/>
        </w:rPr>
        <w:t>Quality of Care</w:t>
      </w:r>
      <w:proofErr w:type="gramEnd"/>
      <w:r w:rsidR="00FD1A57" w:rsidRPr="004D762B">
        <w:rPr>
          <w:rFonts w:ascii="Open Sans" w:hAnsi="Open Sans" w:cs="Open Sans"/>
          <w:color w:val="auto"/>
        </w:rPr>
        <w:t xml:space="preserve"> Principles and </w:t>
      </w:r>
      <w:r w:rsidR="0086122B" w:rsidRPr="004D762B">
        <w:rPr>
          <w:rFonts w:ascii="Open Sans" w:hAnsi="Open Sans" w:cs="Open Sans"/>
          <w:color w:val="auto"/>
        </w:rPr>
        <w:t xml:space="preserve">regulatory requirements for </w:t>
      </w:r>
      <w:r w:rsidR="00FD1A57" w:rsidRPr="004D762B">
        <w:rPr>
          <w:rFonts w:ascii="Open Sans" w:hAnsi="Open Sans" w:cs="Open Sans"/>
          <w:color w:val="auto"/>
        </w:rPr>
        <w:t>restrictive practices</w:t>
      </w:r>
      <w:r w:rsidR="00796B3B" w:rsidRPr="004D762B">
        <w:rPr>
          <w:rFonts w:ascii="Open Sans" w:hAnsi="Open Sans" w:cs="Open Sans"/>
          <w:color w:val="auto"/>
        </w:rPr>
        <w:t xml:space="preserve"> </w:t>
      </w:r>
      <w:r w:rsidR="0086122B" w:rsidRPr="004D762B">
        <w:rPr>
          <w:rFonts w:ascii="Open Sans" w:hAnsi="Open Sans" w:cs="Open Sans"/>
          <w:color w:val="auto"/>
        </w:rPr>
        <w:t xml:space="preserve">was not demonstrated. </w:t>
      </w:r>
    </w:p>
    <w:p w14:paraId="1818FF73" w14:textId="7B52E6A2" w:rsidR="00F62D3D" w:rsidRPr="00A83F50" w:rsidRDefault="00F62D3D" w:rsidP="008A4780">
      <w:pPr>
        <w:pStyle w:val="NormalArial"/>
        <w:rPr>
          <w:rFonts w:ascii="Open Sans" w:hAnsi="Open Sans" w:cs="Open Sans"/>
          <w:color w:val="auto"/>
        </w:rPr>
      </w:pPr>
      <w:bookmarkStart w:id="6" w:name="_Hlk189233208"/>
      <w:r w:rsidRPr="00A83F50">
        <w:rPr>
          <w:rFonts w:ascii="Open Sans" w:hAnsi="Open Sans" w:cs="Open Sans"/>
          <w:color w:val="auto"/>
        </w:rPr>
        <w:t>In response to the Assessment Team report, the approved provider</w:t>
      </w:r>
      <w:r w:rsidR="00811EB9" w:rsidRPr="00A83F50">
        <w:rPr>
          <w:rFonts w:ascii="Open Sans" w:hAnsi="Open Sans" w:cs="Open Sans"/>
          <w:color w:val="auto"/>
        </w:rPr>
        <w:t xml:space="preserve"> disagreed with the Assessment Team recommendations</w:t>
      </w:r>
      <w:r w:rsidR="00AF7645" w:rsidRPr="00A83F50">
        <w:rPr>
          <w:rFonts w:ascii="Open Sans" w:hAnsi="Open Sans" w:cs="Open Sans"/>
          <w:color w:val="auto"/>
        </w:rPr>
        <w:t>.</w:t>
      </w:r>
      <w:r w:rsidR="00811EB9" w:rsidRPr="00A83F50">
        <w:rPr>
          <w:rFonts w:ascii="Open Sans" w:hAnsi="Open Sans" w:cs="Open Sans"/>
          <w:color w:val="auto"/>
        </w:rPr>
        <w:t xml:space="preserve"> </w:t>
      </w:r>
      <w:r w:rsidR="00AF7645" w:rsidRPr="00A83F50">
        <w:rPr>
          <w:rFonts w:ascii="Open Sans" w:hAnsi="Open Sans" w:cs="Open Sans"/>
          <w:color w:val="auto"/>
        </w:rPr>
        <w:t xml:space="preserve">The approved provider </w:t>
      </w:r>
      <w:r w:rsidR="00457BE5" w:rsidRPr="00A83F50">
        <w:rPr>
          <w:rFonts w:ascii="Open Sans" w:hAnsi="Open Sans" w:cs="Open Sans"/>
          <w:color w:val="auto"/>
        </w:rPr>
        <w:t xml:space="preserve">discussed several actions taken </w:t>
      </w:r>
      <w:r w:rsidR="00811EB9" w:rsidRPr="00A83F50">
        <w:rPr>
          <w:rFonts w:ascii="Open Sans" w:hAnsi="Open Sans" w:cs="Open Sans"/>
          <w:color w:val="auto"/>
        </w:rPr>
        <w:t xml:space="preserve">to address </w:t>
      </w:r>
      <w:r w:rsidR="00EC3F22" w:rsidRPr="00A83F50">
        <w:rPr>
          <w:rFonts w:ascii="Open Sans" w:hAnsi="Open Sans" w:cs="Open Sans"/>
          <w:color w:val="auto"/>
        </w:rPr>
        <w:t xml:space="preserve">staff understanding of </w:t>
      </w:r>
      <w:r w:rsidR="006D7682" w:rsidRPr="00A83F50">
        <w:rPr>
          <w:rFonts w:ascii="Open Sans" w:hAnsi="Open Sans" w:cs="Open Sans"/>
          <w:color w:val="auto"/>
        </w:rPr>
        <w:t xml:space="preserve">the </w:t>
      </w:r>
      <w:r w:rsidR="00EC3F22" w:rsidRPr="00A83F50">
        <w:rPr>
          <w:rFonts w:ascii="Open Sans" w:hAnsi="Open Sans" w:cs="Open Sans"/>
          <w:color w:val="auto"/>
        </w:rPr>
        <w:t>restrictive practices policy and procedur</w:t>
      </w:r>
      <w:r w:rsidR="00AF7645" w:rsidRPr="00A83F50">
        <w:rPr>
          <w:rFonts w:ascii="Open Sans" w:hAnsi="Open Sans" w:cs="Open Sans"/>
          <w:color w:val="auto"/>
        </w:rPr>
        <w:t>e</w:t>
      </w:r>
      <w:r w:rsidR="00A83F50" w:rsidRPr="00A83F50">
        <w:rPr>
          <w:rFonts w:ascii="Open Sans" w:hAnsi="Open Sans" w:cs="Open Sans"/>
          <w:color w:val="auto"/>
        </w:rPr>
        <w:t>, which included finalisation of the safe operation procedure for the de-escalation strategy, staff training on the safe operation procedure and use of the de-escalation strategy and distribution of the restrictive practice policy and procedure to staff</w:t>
      </w:r>
      <w:r w:rsidR="00EC3F22" w:rsidRPr="00A83F50">
        <w:rPr>
          <w:rFonts w:ascii="Open Sans" w:hAnsi="Open Sans" w:cs="Open Sans"/>
          <w:color w:val="auto"/>
        </w:rPr>
        <w:t xml:space="preserve">. </w:t>
      </w:r>
      <w:r w:rsidR="0011198E" w:rsidRPr="00A83F50">
        <w:rPr>
          <w:rFonts w:ascii="Open Sans" w:hAnsi="Open Sans" w:cs="Open Sans"/>
          <w:color w:val="auto"/>
        </w:rPr>
        <w:t xml:space="preserve">All consumer representatives have received information about the de-escalation strategy and circumstances for its use, and positive risk assessments and behaviour support plans will be updated for individual consumers should the de-escalation strategy be used. </w:t>
      </w:r>
    </w:p>
    <w:p w14:paraId="27B15D36" w14:textId="1CA72B61" w:rsidR="0011198E" w:rsidRPr="00A83F50" w:rsidRDefault="0011198E" w:rsidP="008A4780">
      <w:pPr>
        <w:pStyle w:val="NormalArial"/>
        <w:rPr>
          <w:rFonts w:ascii="Open Sans" w:hAnsi="Open Sans" w:cs="Open Sans"/>
          <w:color w:val="auto"/>
        </w:rPr>
      </w:pPr>
      <w:r w:rsidRPr="00A83F50">
        <w:rPr>
          <w:rFonts w:ascii="Open Sans" w:hAnsi="Open Sans" w:cs="Open Sans"/>
          <w:color w:val="auto"/>
        </w:rPr>
        <w:t xml:space="preserve">The approved provider </w:t>
      </w:r>
      <w:r w:rsidR="006A1BDE" w:rsidRPr="00A83F50">
        <w:rPr>
          <w:rFonts w:ascii="Open Sans" w:hAnsi="Open Sans" w:cs="Open Sans"/>
          <w:color w:val="auto"/>
        </w:rPr>
        <w:t>described</w:t>
      </w:r>
      <w:r w:rsidRPr="00A83F50">
        <w:rPr>
          <w:rFonts w:ascii="Open Sans" w:hAnsi="Open Sans" w:cs="Open Sans"/>
          <w:color w:val="auto"/>
        </w:rPr>
        <w:t xml:space="preserve"> the management of high-impact and high-prevalence risks</w:t>
      </w:r>
      <w:r w:rsidR="00980BE0" w:rsidRPr="00A83F50">
        <w:rPr>
          <w:rFonts w:ascii="Open Sans" w:hAnsi="Open Sans" w:cs="Open Sans"/>
          <w:color w:val="auto"/>
        </w:rPr>
        <w:t>, which are monitored in accordance with the high-impact high-prevalence protocol. The actions include consumer risk assessments and personal and clinical care delivery consistent with consumer specialised nursing plans, access and referral to appropriately qualified clinical nurse consultants for specialised care and external specialist servic</w:t>
      </w:r>
      <w:r w:rsidR="00C60CCB">
        <w:rPr>
          <w:rFonts w:ascii="Open Sans" w:hAnsi="Open Sans" w:cs="Open Sans"/>
          <w:color w:val="auto"/>
        </w:rPr>
        <w:t>es</w:t>
      </w:r>
      <w:r w:rsidR="00980BE0" w:rsidRPr="00A83F50">
        <w:rPr>
          <w:rFonts w:ascii="Open Sans" w:hAnsi="Open Sans" w:cs="Open Sans"/>
          <w:color w:val="auto"/>
        </w:rPr>
        <w:t xml:space="preserve">. </w:t>
      </w:r>
      <w:r w:rsidR="00BE6EC3" w:rsidRPr="00A83F50">
        <w:rPr>
          <w:rFonts w:ascii="Open Sans" w:hAnsi="Open Sans" w:cs="Open Sans"/>
          <w:color w:val="auto"/>
        </w:rPr>
        <w:t xml:space="preserve">Additionally, clinical indicator data is monitored for care effectiveness and quality audits are undertaken for risk </w:t>
      </w:r>
      <w:proofErr w:type="gramStart"/>
      <w:r w:rsidR="00BE6EC3" w:rsidRPr="00A83F50">
        <w:rPr>
          <w:rFonts w:ascii="Open Sans" w:hAnsi="Open Sans" w:cs="Open Sans"/>
          <w:color w:val="auto"/>
        </w:rPr>
        <w:t>identification, and</w:t>
      </w:r>
      <w:proofErr w:type="gramEnd"/>
      <w:r w:rsidR="00BE6EC3" w:rsidRPr="00A83F50">
        <w:rPr>
          <w:rFonts w:ascii="Open Sans" w:hAnsi="Open Sans" w:cs="Open Sans"/>
          <w:color w:val="auto"/>
        </w:rPr>
        <w:t xml:space="preserve"> are discussed at service level governance and clinical forums.</w:t>
      </w:r>
    </w:p>
    <w:p w14:paraId="102EAC2A" w14:textId="4CCEF195" w:rsidR="0011198E" w:rsidRPr="00A83F50" w:rsidRDefault="0011198E" w:rsidP="008A4780">
      <w:pPr>
        <w:pStyle w:val="NormalArial"/>
        <w:rPr>
          <w:rFonts w:ascii="Open Sans" w:hAnsi="Open Sans" w:cs="Open Sans"/>
          <w:color w:val="auto"/>
        </w:rPr>
      </w:pPr>
      <w:r w:rsidRPr="00A83F50">
        <w:rPr>
          <w:rFonts w:ascii="Open Sans" w:hAnsi="Open Sans" w:cs="Open Sans"/>
          <w:color w:val="auto"/>
        </w:rPr>
        <w:t>The approved provider discussed the comprehensive care systems and processes in place to ensure appropriate oversight of clinical care for consumers, which is supported by service level governance processes including daily huddles, weekly service level consumer risk review meetings, and identification of high-risk consumers in the high-risk register. High-risk consumers are also discussed in weekly risk meetings and monthly governance meetings</w:t>
      </w:r>
      <w:r w:rsidR="00980BE0" w:rsidRPr="00A83F50">
        <w:rPr>
          <w:rFonts w:ascii="Open Sans" w:hAnsi="Open Sans" w:cs="Open Sans"/>
          <w:color w:val="auto"/>
        </w:rPr>
        <w:t xml:space="preserve"> monitor clinical performance, trends and outcome effectiveness for the purposes of continuous improvement.</w:t>
      </w:r>
    </w:p>
    <w:p w14:paraId="1A20331E" w14:textId="62EF82B4" w:rsidR="006A1BDE" w:rsidRPr="00A83F50" w:rsidRDefault="006A1BDE" w:rsidP="008A4780">
      <w:pPr>
        <w:pStyle w:val="NormalArial"/>
        <w:rPr>
          <w:rFonts w:ascii="Open Sans" w:hAnsi="Open Sans" w:cs="Open Sans"/>
          <w:color w:val="auto"/>
        </w:rPr>
      </w:pPr>
      <w:r w:rsidRPr="00A83F50">
        <w:rPr>
          <w:rFonts w:ascii="Open Sans" w:hAnsi="Open Sans" w:cs="Open Sans"/>
          <w:color w:val="auto"/>
        </w:rPr>
        <w:t xml:space="preserve">The approved provider noted that monthly ‘resident of the day’ activities contributes to supporting consumers to meet their clinical and non-clinical needs, which include visual and physical review of consumer rooms, clothing, </w:t>
      </w:r>
      <w:r w:rsidRPr="00A83F50">
        <w:rPr>
          <w:rFonts w:ascii="Open Sans" w:hAnsi="Open Sans" w:cs="Open Sans"/>
          <w:color w:val="auto"/>
        </w:rPr>
        <w:lastRenderedPageBreak/>
        <w:t xml:space="preserve">weight checks, nail and oral assessments, and skin reviews. </w:t>
      </w:r>
      <w:r w:rsidR="00D801EE" w:rsidRPr="00A83F50">
        <w:rPr>
          <w:rFonts w:ascii="Open Sans" w:hAnsi="Open Sans" w:cs="Open Sans"/>
          <w:color w:val="auto"/>
        </w:rPr>
        <w:t>Changes to consumer</w:t>
      </w:r>
      <w:r w:rsidRPr="00A83F50">
        <w:rPr>
          <w:rFonts w:ascii="Open Sans" w:hAnsi="Open Sans" w:cs="Open Sans"/>
          <w:color w:val="auto"/>
        </w:rPr>
        <w:t xml:space="preserve"> needs, goals and supports are identified and </w:t>
      </w:r>
      <w:r w:rsidR="00D801EE" w:rsidRPr="00A83F50">
        <w:rPr>
          <w:rFonts w:ascii="Open Sans" w:hAnsi="Open Sans" w:cs="Open Sans"/>
          <w:color w:val="auto"/>
        </w:rPr>
        <w:t>escalations and referrals are recognised, with actions documented in updated care plans. Quarterly care plan reviews</w:t>
      </w:r>
      <w:r w:rsidR="00760710" w:rsidRPr="00A83F50">
        <w:rPr>
          <w:rFonts w:ascii="Open Sans" w:hAnsi="Open Sans" w:cs="Open Sans"/>
          <w:color w:val="auto"/>
        </w:rPr>
        <w:t xml:space="preserve">, </w:t>
      </w:r>
      <w:r w:rsidR="00D801EE" w:rsidRPr="00A83F50">
        <w:rPr>
          <w:rFonts w:ascii="Open Sans" w:hAnsi="Open Sans" w:cs="Open Sans"/>
          <w:color w:val="auto"/>
        </w:rPr>
        <w:t>annual formal case conferences</w:t>
      </w:r>
      <w:r w:rsidR="00760710" w:rsidRPr="00A83F50">
        <w:rPr>
          <w:rFonts w:ascii="Open Sans" w:hAnsi="Open Sans" w:cs="Open Sans"/>
          <w:color w:val="auto"/>
        </w:rPr>
        <w:t xml:space="preserve"> and informal case conferences and reviews were also discussed.</w:t>
      </w:r>
    </w:p>
    <w:p w14:paraId="3A5E18B4" w14:textId="5B7BCCF8" w:rsidR="00882C92" w:rsidRDefault="00882C92" w:rsidP="008A4780">
      <w:pPr>
        <w:pStyle w:val="NormalArial"/>
        <w:rPr>
          <w:rFonts w:ascii="Open Sans" w:hAnsi="Open Sans" w:cs="Open Sans"/>
          <w:color w:val="auto"/>
        </w:rPr>
      </w:pPr>
      <w:r w:rsidRPr="006D7682">
        <w:rPr>
          <w:rFonts w:ascii="Open Sans" w:hAnsi="Open Sans" w:cs="Open Sans"/>
          <w:color w:val="auto"/>
        </w:rPr>
        <w:t xml:space="preserve">In </w:t>
      </w:r>
      <w:proofErr w:type="gramStart"/>
      <w:r w:rsidRPr="006D7682">
        <w:rPr>
          <w:rFonts w:ascii="Open Sans" w:hAnsi="Open Sans" w:cs="Open Sans"/>
          <w:color w:val="auto"/>
        </w:rPr>
        <w:t>making a decision</w:t>
      </w:r>
      <w:proofErr w:type="gramEnd"/>
      <w:r w:rsidRPr="006D7682">
        <w:rPr>
          <w:rFonts w:ascii="Open Sans" w:hAnsi="Open Sans" w:cs="Open Sans"/>
          <w:color w:val="auto"/>
        </w:rPr>
        <w:t xml:space="preserve"> about Requirement 8(3)(c), I have considered the intent of the Requirement which requires all organisations to ensure effective governance systems and processes </w:t>
      </w:r>
      <w:r w:rsidR="002351B9" w:rsidRPr="006D7682">
        <w:rPr>
          <w:rFonts w:ascii="Open Sans" w:hAnsi="Open Sans" w:cs="Open Sans"/>
          <w:color w:val="auto"/>
        </w:rPr>
        <w:t xml:space="preserve">for certain key areas </w:t>
      </w:r>
      <w:r w:rsidRPr="006D7682">
        <w:rPr>
          <w:rFonts w:ascii="Open Sans" w:hAnsi="Open Sans" w:cs="Open Sans"/>
          <w:color w:val="auto"/>
        </w:rPr>
        <w:t>are in place</w:t>
      </w:r>
      <w:r w:rsidR="002351B9" w:rsidRPr="006D7682">
        <w:rPr>
          <w:rFonts w:ascii="Open Sans" w:hAnsi="Open Sans" w:cs="Open Sans"/>
          <w:color w:val="auto"/>
        </w:rPr>
        <w:t xml:space="preserve">. </w:t>
      </w:r>
      <w:r w:rsidR="006D7682" w:rsidRPr="006D7682">
        <w:rPr>
          <w:rFonts w:ascii="Open Sans" w:hAnsi="Open Sans" w:cs="Open Sans"/>
          <w:color w:val="auto"/>
        </w:rPr>
        <w:t>R</w:t>
      </w:r>
      <w:r w:rsidR="002351B9" w:rsidRPr="006D7682">
        <w:rPr>
          <w:rFonts w:ascii="Open Sans" w:hAnsi="Open Sans" w:cs="Open Sans"/>
          <w:color w:val="auto"/>
        </w:rPr>
        <w:t>egulatory compliance</w:t>
      </w:r>
      <w:r w:rsidR="006D7682" w:rsidRPr="006D7682">
        <w:rPr>
          <w:rFonts w:ascii="Open Sans" w:hAnsi="Open Sans" w:cs="Open Sans"/>
          <w:color w:val="auto"/>
        </w:rPr>
        <w:t xml:space="preserve"> is a key </w:t>
      </w:r>
      <w:proofErr w:type="gramStart"/>
      <w:r w:rsidR="006D7682" w:rsidRPr="006D7682">
        <w:rPr>
          <w:rFonts w:ascii="Open Sans" w:hAnsi="Open Sans" w:cs="Open Sans"/>
          <w:color w:val="auto"/>
        </w:rPr>
        <w:t>area</w:t>
      </w:r>
      <w:proofErr w:type="gramEnd"/>
      <w:r w:rsidR="002351B9" w:rsidRPr="006D7682">
        <w:rPr>
          <w:rFonts w:ascii="Open Sans" w:hAnsi="Open Sans" w:cs="Open Sans"/>
          <w:color w:val="auto"/>
        </w:rPr>
        <w:t xml:space="preserve"> and organisations are required to ensure all relevant legislation, regulatory requirements, professional standards and guidelines are complied with. The organisation must be able to demonstrate </w:t>
      </w:r>
      <w:r w:rsidR="00C86DE8" w:rsidRPr="006D7682">
        <w:rPr>
          <w:rFonts w:ascii="Open Sans" w:hAnsi="Open Sans" w:cs="Open Sans"/>
          <w:color w:val="auto"/>
        </w:rPr>
        <w:t>that the workforce has an</w:t>
      </w:r>
      <w:r w:rsidR="002351B9" w:rsidRPr="006D7682">
        <w:rPr>
          <w:rFonts w:ascii="Open Sans" w:hAnsi="Open Sans" w:cs="Open Sans"/>
          <w:color w:val="auto"/>
        </w:rPr>
        <w:t xml:space="preserve"> understanding of</w:t>
      </w:r>
      <w:r w:rsidR="00C86DE8" w:rsidRPr="006D7682">
        <w:rPr>
          <w:rFonts w:ascii="Open Sans" w:hAnsi="Open Sans" w:cs="Open Sans"/>
          <w:color w:val="auto"/>
        </w:rPr>
        <w:t xml:space="preserve"> governance systems</w:t>
      </w:r>
      <w:r w:rsidR="002351B9" w:rsidRPr="006D7682">
        <w:rPr>
          <w:rFonts w:ascii="Open Sans" w:hAnsi="Open Sans" w:cs="Open Sans"/>
          <w:color w:val="auto"/>
        </w:rPr>
        <w:t xml:space="preserve"> </w:t>
      </w:r>
      <w:r w:rsidR="00C86DE8" w:rsidRPr="006D7682">
        <w:rPr>
          <w:rFonts w:ascii="Open Sans" w:hAnsi="Open Sans" w:cs="Open Sans"/>
          <w:color w:val="auto"/>
        </w:rPr>
        <w:t xml:space="preserve">and regulatory </w:t>
      </w:r>
      <w:proofErr w:type="gramStart"/>
      <w:r w:rsidR="002351B9" w:rsidRPr="006D7682">
        <w:rPr>
          <w:rFonts w:ascii="Open Sans" w:hAnsi="Open Sans" w:cs="Open Sans"/>
          <w:color w:val="auto"/>
        </w:rPr>
        <w:t>compliance</w:t>
      </w:r>
      <w:proofErr w:type="gramEnd"/>
      <w:r w:rsidR="00C86DE8" w:rsidRPr="006D7682">
        <w:rPr>
          <w:rFonts w:ascii="Open Sans" w:hAnsi="Open Sans" w:cs="Open Sans"/>
          <w:color w:val="auto"/>
        </w:rPr>
        <w:t xml:space="preserve"> </w:t>
      </w:r>
      <w:r w:rsidR="00811EB9" w:rsidRPr="006D7682">
        <w:rPr>
          <w:rFonts w:ascii="Open Sans" w:hAnsi="Open Sans" w:cs="Open Sans"/>
          <w:color w:val="auto"/>
        </w:rPr>
        <w:t xml:space="preserve">and </w:t>
      </w:r>
      <w:r w:rsidR="00C86DE8" w:rsidRPr="006D7682">
        <w:rPr>
          <w:rFonts w:ascii="Open Sans" w:hAnsi="Open Sans" w:cs="Open Sans"/>
          <w:color w:val="auto"/>
        </w:rPr>
        <w:t xml:space="preserve">that </w:t>
      </w:r>
      <w:r w:rsidR="00811EB9" w:rsidRPr="006D7682">
        <w:rPr>
          <w:rFonts w:ascii="Open Sans" w:hAnsi="Open Sans" w:cs="Open Sans"/>
          <w:color w:val="auto"/>
        </w:rPr>
        <w:t xml:space="preserve">ongoing monitoring of </w:t>
      </w:r>
      <w:r w:rsidR="00C86DE8" w:rsidRPr="006D7682">
        <w:rPr>
          <w:rFonts w:ascii="Open Sans" w:hAnsi="Open Sans" w:cs="Open Sans"/>
          <w:color w:val="auto"/>
        </w:rPr>
        <w:t>systems and processes is conducted to improve consumer outcomes.</w:t>
      </w:r>
    </w:p>
    <w:p w14:paraId="1F114F65" w14:textId="5B2C19BF" w:rsidR="00643240" w:rsidRDefault="00643240" w:rsidP="008A4780">
      <w:pPr>
        <w:pStyle w:val="NormalArial"/>
        <w:rPr>
          <w:rFonts w:ascii="Open Sans" w:hAnsi="Open Sans" w:cs="Open Sans"/>
          <w:color w:val="auto"/>
        </w:rPr>
      </w:pPr>
      <w:r>
        <w:rPr>
          <w:rFonts w:ascii="Open Sans" w:hAnsi="Open Sans" w:cs="Open Sans"/>
          <w:color w:val="auto"/>
        </w:rPr>
        <w:t xml:space="preserve">Based on the information submitted by the approved provider, it has not been demonstrated that an effective regulatory governance framework is in place to ensure the legislative requirements </w:t>
      </w:r>
      <w:r w:rsidR="00A83F50">
        <w:rPr>
          <w:rFonts w:ascii="Open Sans" w:hAnsi="Open Sans" w:cs="Open Sans"/>
          <w:color w:val="auto"/>
        </w:rPr>
        <w:t xml:space="preserve">contained in the </w:t>
      </w:r>
      <w:proofErr w:type="gramStart"/>
      <w:r w:rsidR="00A83F50">
        <w:rPr>
          <w:rFonts w:ascii="Open Sans" w:hAnsi="Open Sans" w:cs="Open Sans"/>
          <w:color w:val="auto"/>
        </w:rPr>
        <w:t>Quality of Care</w:t>
      </w:r>
      <w:proofErr w:type="gramEnd"/>
      <w:r w:rsidR="00A83F50">
        <w:rPr>
          <w:rFonts w:ascii="Open Sans" w:hAnsi="Open Sans" w:cs="Open Sans"/>
          <w:color w:val="auto"/>
        </w:rPr>
        <w:t xml:space="preserve"> Principles related to the management of restrictive practices, a </w:t>
      </w:r>
      <w:r w:rsidR="00C60CCB">
        <w:rPr>
          <w:rFonts w:ascii="Open Sans" w:hAnsi="Open Sans" w:cs="Open Sans"/>
          <w:color w:val="auto"/>
        </w:rPr>
        <w:t xml:space="preserve">noted </w:t>
      </w:r>
      <w:r w:rsidR="00A83F50">
        <w:rPr>
          <w:rFonts w:ascii="Open Sans" w:hAnsi="Open Sans" w:cs="Open Sans"/>
          <w:color w:val="auto"/>
        </w:rPr>
        <w:t xml:space="preserve">high-impact and high-prevalence risk, </w:t>
      </w:r>
      <w:r>
        <w:rPr>
          <w:rFonts w:ascii="Open Sans" w:hAnsi="Open Sans" w:cs="Open Sans"/>
          <w:color w:val="auto"/>
        </w:rPr>
        <w:t xml:space="preserve">are understood and </w:t>
      </w:r>
      <w:r w:rsidR="00C60CCB">
        <w:rPr>
          <w:rFonts w:ascii="Open Sans" w:hAnsi="Open Sans" w:cs="Open Sans"/>
          <w:color w:val="auto"/>
        </w:rPr>
        <w:t>applied accordingly</w:t>
      </w:r>
      <w:r>
        <w:rPr>
          <w:rFonts w:ascii="Open Sans" w:hAnsi="Open Sans" w:cs="Open Sans"/>
          <w:color w:val="auto"/>
        </w:rPr>
        <w:t>.</w:t>
      </w:r>
    </w:p>
    <w:p w14:paraId="4F371876" w14:textId="77777777" w:rsidR="001D7422" w:rsidRPr="00C666D2" w:rsidRDefault="001D7422" w:rsidP="001D7422">
      <w:pPr>
        <w:pStyle w:val="NormalArial"/>
        <w:rPr>
          <w:rFonts w:ascii="Open Sans" w:hAnsi="Open Sans" w:cs="Open Sans"/>
          <w:color w:val="auto"/>
        </w:rPr>
      </w:pPr>
      <w:r>
        <w:rPr>
          <w:rFonts w:ascii="Open Sans" w:hAnsi="Open Sans" w:cs="Open Sans"/>
          <w:color w:val="auto"/>
        </w:rPr>
        <w:t>I also note there are service-level deficiencies related to the management of restrictive practices, as discussed in Requirement 3(3)(b), which demonstrates an effective regulatory governance framework is not in place to ensure that high-impact and high-prevalence risks associated with the behaviour support needs of consumers are appropriately supported.</w:t>
      </w:r>
    </w:p>
    <w:p w14:paraId="658C3185" w14:textId="5AC56EE5" w:rsidR="00F02DE3" w:rsidRDefault="00A83F50" w:rsidP="00C60CCB">
      <w:pPr>
        <w:pStyle w:val="NormalArial"/>
        <w:rPr>
          <w:rFonts w:ascii="Open Sans" w:hAnsi="Open Sans" w:cs="Open Sans"/>
          <w:color w:val="auto"/>
        </w:rPr>
      </w:pPr>
      <w:r>
        <w:rPr>
          <w:rFonts w:ascii="Open Sans" w:hAnsi="Open Sans" w:cs="Open Sans"/>
          <w:color w:val="auto"/>
        </w:rPr>
        <w:t xml:space="preserve">Whilst </w:t>
      </w:r>
      <w:r w:rsidR="00AF7645">
        <w:rPr>
          <w:rFonts w:ascii="Open Sans" w:hAnsi="Open Sans" w:cs="Open Sans"/>
          <w:color w:val="auto"/>
        </w:rPr>
        <w:t xml:space="preserve">I acknowledge the various actions taken by the approved provider to align staff understanding of restrictive practices with the relevant policies and procedures and the legislative framework set out in the </w:t>
      </w:r>
      <w:proofErr w:type="gramStart"/>
      <w:r w:rsidR="00AF7645">
        <w:rPr>
          <w:rFonts w:ascii="Open Sans" w:hAnsi="Open Sans" w:cs="Open Sans"/>
          <w:color w:val="auto"/>
        </w:rPr>
        <w:t>Quality of Care</w:t>
      </w:r>
      <w:proofErr w:type="gramEnd"/>
      <w:r w:rsidR="00AF7645">
        <w:rPr>
          <w:rFonts w:ascii="Open Sans" w:hAnsi="Open Sans" w:cs="Open Sans"/>
          <w:color w:val="auto"/>
        </w:rPr>
        <w:t xml:space="preserve"> Principles</w:t>
      </w:r>
      <w:r>
        <w:rPr>
          <w:rFonts w:ascii="Open Sans" w:hAnsi="Open Sans" w:cs="Open Sans"/>
          <w:color w:val="auto"/>
        </w:rPr>
        <w:t xml:space="preserve">, </w:t>
      </w:r>
      <w:r w:rsidR="001D7422">
        <w:rPr>
          <w:rFonts w:ascii="Open Sans" w:hAnsi="Open Sans" w:cs="Open Sans"/>
          <w:color w:val="auto"/>
        </w:rPr>
        <w:t xml:space="preserve">staff understanding and improvements in clinical practice </w:t>
      </w:r>
      <w:r w:rsidR="00F02DE3">
        <w:rPr>
          <w:rFonts w:ascii="Open Sans" w:hAnsi="Open Sans" w:cs="Open Sans"/>
          <w:color w:val="auto"/>
        </w:rPr>
        <w:t xml:space="preserve">requires </w:t>
      </w:r>
      <w:r w:rsidR="001D7422">
        <w:rPr>
          <w:rFonts w:ascii="Open Sans" w:hAnsi="Open Sans" w:cs="Open Sans"/>
          <w:color w:val="auto"/>
        </w:rPr>
        <w:t xml:space="preserve">sufficient </w:t>
      </w:r>
      <w:r w:rsidR="00F02DE3">
        <w:rPr>
          <w:rFonts w:ascii="Open Sans" w:hAnsi="Open Sans" w:cs="Open Sans"/>
          <w:color w:val="auto"/>
        </w:rPr>
        <w:t xml:space="preserve">time </w:t>
      </w:r>
      <w:r w:rsidR="001D7422">
        <w:rPr>
          <w:rFonts w:ascii="Open Sans" w:hAnsi="Open Sans" w:cs="Open Sans"/>
          <w:color w:val="auto"/>
        </w:rPr>
        <w:t>to be embedded and demonstrated.</w:t>
      </w:r>
    </w:p>
    <w:p w14:paraId="58071533" w14:textId="23182328" w:rsidR="006D7682" w:rsidRPr="00090B1A" w:rsidRDefault="006D7682" w:rsidP="008A4780">
      <w:pPr>
        <w:pStyle w:val="NormalArial"/>
        <w:rPr>
          <w:rFonts w:ascii="Open Sans" w:hAnsi="Open Sans" w:cs="Open Sans"/>
          <w:color w:val="auto"/>
        </w:rPr>
      </w:pPr>
      <w:r w:rsidRPr="00090B1A">
        <w:rPr>
          <w:rFonts w:ascii="Open Sans" w:hAnsi="Open Sans" w:cs="Open Sans"/>
          <w:color w:val="auto"/>
        </w:rPr>
        <w:t>I therefore find that Requirement 8(3)(c) is Not Compliant.</w:t>
      </w:r>
    </w:p>
    <w:bookmarkEnd w:id="5"/>
    <w:p w14:paraId="65878278" w14:textId="517117ED" w:rsidR="006D7682" w:rsidRDefault="006D7682" w:rsidP="006D7682">
      <w:pPr>
        <w:pStyle w:val="NormalArial"/>
        <w:rPr>
          <w:rFonts w:ascii="Open Sans" w:hAnsi="Open Sans" w:cs="Open Sans"/>
        </w:rPr>
      </w:pPr>
      <w:r>
        <w:rPr>
          <w:rFonts w:ascii="Open Sans" w:hAnsi="Open Sans" w:cs="Open Sans"/>
        </w:rPr>
        <w:t>I am satisfied the remaining 4 Requirements of Standard 8 Organisational governance are Compliant.</w:t>
      </w:r>
    </w:p>
    <w:bookmarkEnd w:id="6"/>
    <w:p w14:paraId="5A658811" w14:textId="77777777" w:rsidR="00644891" w:rsidRDefault="00644891" w:rsidP="00644891">
      <w:pPr>
        <w:pStyle w:val="NormalArial"/>
        <w:rPr>
          <w:rFonts w:ascii="Open Sans" w:hAnsi="Open Sans" w:cs="Open Sans"/>
          <w:color w:val="auto"/>
        </w:rPr>
      </w:pPr>
      <w:r>
        <w:rPr>
          <w:rFonts w:ascii="Open Sans" w:hAnsi="Open Sans" w:cs="Open Sans"/>
          <w:color w:val="auto"/>
        </w:rPr>
        <w:t xml:space="preserve">Consumer representatives said they were included and encouraged to engage in decisions about care and service development and delivery. Management described a multi-level engagement framework for consumers, staff and other key stakeholders. Consumer participation in decision-making was demonstrated in monthly representative meetings, the consumer advisory body, directly through management observational walks, feedback and complaints mechanisms and consumer surveys and audits. </w:t>
      </w:r>
    </w:p>
    <w:p w14:paraId="0421D630" w14:textId="77777777" w:rsidR="00644891" w:rsidRDefault="00644891" w:rsidP="00644891">
      <w:pPr>
        <w:pStyle w:val="NormalArial"/>
        <w:rPr>
          <w:rFonts w:ascii="Open Sans" w:hAnsi="Open Sans" w:cs="Open Sans"/>
          <w:color w:val="auto"/>
        </w:rPr>
      </w:pPr>
      <w:r>
        <w:rPr>
          <w:rFonts w:ascii="Open Sans" w:hAnsi="Open Sans" w:cs="Open Sans"/>
          <w:color w:val="auto"/>
        </w:rPr>
        <w:lastRenderedPageBreak/>
        <w:t>Consumer representatives said the service was well run and management promoted consumer safety. Management discussed a safe and inclusive culture promoted by the governing body, supported by regular communications and sub-committee reports. Documentation confirmed the board identified, assessed and actioned improvements to consumer quality care and services and clear reporting pathways were evidenced. Reportable incidents, complaints and clinical indicators were captured and trended and continuous improvements activities were identified and applied. A quality care advisory board supported and informed the board in its strategic direction.</w:t>
      </w:r>
    </w:p>
    <w:p w14:paraId="1901754A" w14:textId="10BBC818" w:rsidR="008A4780" w:rsidRDefault="00102E02" w:rsidP="008A4780">
      <w:pPr>
        <w:pStyle w:val="NormalArial"/>
        <w:rPr>
          <w:rFonts w:ascii="Open Sans" w:hAnsi="Open Sans" w:cs="Open Sans"/>
          <w:color w:val="auto"/>
        </w:rPr>
      </w:pPr>
      <w:r>
        <w:rPr>
          <w:rFonts w:ascii="Open Sans" w:hAnsi="Open Sans" w:cs="Open Sans"/>
          <w:color w:val="auto"/>
        </w:rPr>
        <w:t xml:space="preserve">The risk management framework detailed risk management strategies, responsibilities and policies and procedures. </w:t>
      </w:r>
      <w:r w:rsidR="00135CFF">
        <w:rPr>
          <w:rFonts w:ascii="Open Sans" w:hAnsi="Open Sans" w:cs="Open Sans"/>
          <w:color w:val="auto"/>
        </w:rPr>
        <w:t xml:space="preserve">Risk oversight was demonstrated at organisational and service levels through audits, reporting, data analysis and trending, clinical assessments, daily clinical reviews and </w:t>
      </w:r>
      <w:r w:rsidR="00135CFF" w:rsidRPr="00D65179">
        <w:rPr>
          <w:rFonts w:ascii="Open Sans" w:hAnsi="Open Sans" w:cs="Open Sans"/>
          <w:color w:val="auto"/>
          <w:szCs w:val="22"/>
        </w:rPr>
        <w:t>ongoing monitoring, collection and analysis of clinical data</w:t>
      </w:r>
      <w:r w:rsidR="00135CFF">
        <w:rPr>
          <w:rFonts w:ascii="Open Sans" w:hAnsi="Open Sans" w:cs="Open Sans"/>
          <w:color w:val="auto"/>
          <w:szCs w:val="22"/>
        </w:rPr>
        <w:t>. Risk mitigation strategies were reviewed by the clinical leadership team and specialised care practice committee. Policies and procedures included, for example, the serious incident management scheme, consumer dignity of risk, mandatory reporting responsibilities, and incident management and closure.</w:t>
      </w:r>
    </w:p>
    <w:p w14:paraId="2E5A5B1B" w14:textId="290969AE" w:rsidR="0042021D" w:rsidRPr="007A2323" w:rsidRDefault="0042021D" w:rsidP="008A4780">
      <w:pPr>
        <w:pStyle w:val="NormalArial"/>
        <w:rPr>
          <w:rFonts w:ascii="Open Sans" w:hAnsi="Open Sans" w:cs="Open Sans"/>
          <w:color w:val="auto"/>
        </w:rPr>
      </w:pPr>
      <w:r>
        <w:rPr>
          <w:rFonts w:ascii="Open Sans" w:hAnsi="Open Sans" w:cs="Open Sans"/>
          <w:color w:val="auto"/>
        </w:rPr>
        <w:t xml:space="preserve">An effective clinical governance framework included consumer engagement and partnership and layers of clinical oversight. Clinical care oversight was demonstrated through a dedicated clinical effectiveness governance committee, which included key representatives from several clinical and health and safety disciplines. </w:t>
      </w:r>
      <w:r>
        <w:rPr>
          <w:rFonts w:ascii="Open Sans" w:hAnsi="Open Sans" w:cs="Open Sans"/>
        </w:rPr>
        <w:t>Additional</w:t>
      </w:r>
      <w:r w:rsidRPr="00220894">
        <w:rPr>
          <w:rFonts w:ascii="Open Sans" w:hAnsi="Open Sans" w:cs="Open Sans"/>
        </w:rPr>
        <w:t xml:space="preserve"> clinical mechanisms </w:t>
      </w:r>
      <w:r>
        <w:rPr>
          <w:rFonts w:ascii="Open Sans" w:hAnsi="Open Sans" w:cs="Open Sans"/>
        </w:rPr>
        <w:t>included</w:t>
      </w:r>
      <w:r w:rsidRPr="00220894">
        <w:rPr>
          <w:rFonts w:ascii="Open Sans" w:hAnsi="Open Sans" w:cs="Open Sans"/>
        </w:rPr>
        <w:t xml:space="preserve"> the specialised regional quality teams, specialist clinical roles, the medication advisory committee, and the ageing clinical governance committee</w:t>
      </w:r>
      <w:r>
        <w:rPr>
          <w:rFonts w:ascii="Open Sans" w:hAnsi="Open Sans" w:cs="Open Sans"/>
        </w:rPr>
        <w:t xml:space="preserve">. </w:t>
      </w:r>
      <w:r>
        <w:rPr>
          <w:rFonts w:ascii="Open Sans" w:hAnsi="Open Sans" w:cs="Open Sans"/>
          <w:color w:val="auto"/>
        </w:rPr>
        <w:t xml:space="preserve">Relevant policies and procedures were evidenced for </w:t>
      </w:r>
      <w:r>
        <w:rPr>
          <w:rFonts w:ascii="Open Sans" w:hAnsi="Open Sans" w:cs="Open Sans"/>
        </w:rPr>
        <w:t>antimicrobial stewardship, restrictive practices and open disclosure and staff were knowledgeable about these and their practice.</w:t>
      </w:r>
    </w:p>
    <w:sectPr w:rsidR="0042021D"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89F7" w14:textId="77777777" w:rsidR="00EC3D3F" w:rsidRDefault="00EC3D3F">
      <w:pPr>
        <w:spacing w:after="0"/>
      </w:pPr>
      <w:r>
        <w:separator/>
      </w:r>
    </w:p>
  </w:endnote>
  <w:endnote w:type="continuationSeparator" w:id="0">
    <w:p w14:paraId="59A09D43" w14:textId="77777777" w:rsidR="00EC3D3F" w:rsidRDefault="00EC3D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92A3" w14:textId="77777777" w:rsidR="0062317D" w:rsidRPr="00DF37F2" w:rsidRDefault="001820E2" w:rsidP="00DF37F2">
    <w:pPr>
      <w:pStyle w:val="FooterArial9"/>
      <w:rPr>
        <w:rStyle w:val="FooterBold"/>
        <w:rFonts w:ascii="Arial" w:hAnsi="Arial"/>
        <w:b w:val="0"/>
      </w:rPr>
    </w:pPr>
    <w:bookmarkStart w:id="7" w:name="_Hlk144301213"/>
    <w:r w:rsidRPr="00DF37F2">
      <w:rPr>
        <w:rStyle w:val="FooterBold"/>
        <w:rFonts w:ascii="Arial" w:hAnsi="Arial"/>
        <w:b w:val="0"/>
      </w:rPr>
      <w:t xml:space="preserve">Name of service: </w:t>
    </w:r>
    <w:r w:rsidRPr="00D3376F">
      <w:rPr>
        <w:rFonts w:cs="Times New Roman"/>
        <w:color w:val="auto"/>
        <w:szCs w:val="18"/>
      </w:rPr>
      <w:t>Uniting Eabrai Weston ACT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1EA431E" w14:textId="77777777" w:rsidR="0062317D" w:rsidRPr="00DF37F2" w:rsidRDefault="001820E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2915</w:t>
    </w:r>
    <w:bookmarkEnd w:id="7"/>
    <w:r w:rsidRPr="00DF37F2">
      <w:rPr>
        <w:rStyle w:val="FooterBold"/>
        <w:rFonts w:ascii="Arial" w:hAnsi="Arial"/>
        <w:b w:val="0"/>
      </w:rPr>
      <w:tab/>
      <w:t xml:space="preserve">OFFICIAL: Sensitive </w:t>
    </w:r>
  </w:p>
  <w:p w14:paraId="231DAFD1" w14:textId="77777777" w:rsidR="0062317D" w:rsidRPr="00DF37F2" w:rsidRDefault="001820E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AA5E" w14:textId="77777777" w:rsidR="0062317D" w:rsidRDefault="0062317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BA8D" w14:textId="77777777" w:rsidR="00EC3D3F" w:rsidRDefault="00EC3D3F" w:rsidP="00D71F88">
      <w:pPr>
        <w:spacing w:after="0"/>
      </w:pPr>
      <w:r>
        <w:separator/>
      </w:r>
    </w:p>
  </w:footnote>
  <w:footnote w:type="continuationSeparator" w:id="0">
    <w:p w14:paraId="36C3BF57" w14:textId="77777777" w:rsidR="00EC3D3F" w:rsidRDefault="00EC3D3F" w:rsidP="00D71F88">
      <w:pPr>
        <w:spacing w:after="0"/>
      </w:pPr>
      <w:r>
        <w:continuationSeparator/>
      </w:r>
    </w:p>
  </w:footnote>
  <w:footnote w:id="1">
    <w:p w14:paraId="481C01FC" w14:textId="51048E5E" w:rsidR="0062317D" w:rsidRDefault="001820E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296F8A">
        <w:rPr>
          <w:rFonts w:ascii="Arial" w:hAnsi="Arial"/>
          <w:color w:val="auto"/>
          <w:sz w:val="20"/>
          <w:szCs w:val="20"/>
        </w:rPr>
        <w:t>40A</w:t>
      </w:r>
      <w:r w:rsidRPr="00296F8A">
        <w:rPr>
          <w:rFonts w:ascii="Arial" w:hAnsi="Arial"/>
          <w:b/>
          <w:color w:val="auto"/>
          <w:sz w:val="20"/>
          <w:szCs w:val="20"/>
        </w:rPr>
        <w:t xml:space="preserve"> </w:t>
      </w:r>
      <w:r w:rsidRPr="00296F8A">
        <w:rPr>
          <w:rFonts w:ascii="Arial" w:hAnsi="Arial"/>
          <w:color w:val="auto"/>
          <w:sz w:val="20"/>
          <w:szCs w:val="20"/>
        </w:rPr>
        <w:t>of the A</w:t>
      </w:r>
      <w:r w:rsidRPr="00443CA4">
        <w:rPr>
          <w:rFonts w:ascii="Arial" w:hAnsi="Arial"/>
          <w:sz w:val="20"/>
          <w:szCs w:val="20"/>
        </w:rPr>
        <w:t xml:space="preserve">ged Care Quality and </w:t>
      </w:r>
      <w:r w:rsidRPr="00443CA4">
        <w:rPr>
          <w:rFonts w:ascii="Arial" w:hAnsi="Arial"/>
          <w:sz w:val="20"/>
          <w:szCs w:val="20"/>
        </w:rPr>
        <w:t>Safety Commission Rules 2018.</w:t>
      </w:r>
    </w:p>
    <w:p w14:paraId="7584FA28" w14:textId="77777777" w:rsidR="0062317D" w:rsidRDefault="0062317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5BDA" w14:textId="77777777" w:rsidR="0062317D" w:rsidRDefault="001820E2">
    <w:pPr>
      <w:pStyle w:val="Header"/>
    </w:pPr>
    <w:r>
      <w:rPr>
        <w:noProof/>
        <w:color w:val="2B579A"/>
        <w:shd w:val="clear" w:color="auto" w:fill="E6E6E6"/>
        <w:lang w:val="en-US"/>
      </w:rPr>
      <w:drawing>
        <wp:anchor distT="0" distB="0" distL="114300" distR="114300" simplePos="0" relativeHeight="251658241" behindDoc="1" locked="0" layoutInCell="1" allowOverlap="1" wp14:anchorId="532A97D5" wp14:editId="240FA81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7B2A" w14:textId="77777777" w:rsidR="0062317D" w:rsidRDefault="001820E2">
    <w:pPr>
      <w:pStyle w:val="Header"/>
    </w:pPr>
    <w:r>
      <w:rPr>
        <w:noProof/>
      </w:rPr>
      <w:drawing>
        <wp:anchor distT="0" distB="0" distL="114300" distR="114300" simplePos="0" relativeHeight="251658240" behindDoc="0" locked="0" layoutInCell="1" allowOverlap="1" wp14:anchorId="07B02871" wp14:editId="0C0C1F5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E6E21"/>
    <w:multiLevelType w:val="hybridMultilevel"/>
    <w:tmpl w:val="CBB0BADC"/>
    <w:lvl w:ilvl="0" w:tplc="0C090001">
      <w:start w:val="1"/>
      <w:numFmt w:val="bullet"/>
      <w:lvlText w:val=""/>
      <w:lvlJc w:val="left"/>
      <w:pPr>
        <w:ind w:left="720" w:hanging="360"/>
      </w:pPr>
      <w:rPr>
        <w:rFonts w:ascii="Symbol" w:hAnsi="Symbol" w:hint="default"/>
      </w:rPr>
    </w:lvl>
    <w:lvl w:ilvl="1" w:tplc="7C564BAC">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020B1"/>
    <w:multiLevelType w:val="hybridMultilevel"/>
    <w:tmpl w:val="E376B314"/>
    <w:lvl w:ilvl="0" w:tplc="ACAA8E14">
      <w:start w:val="1"/>
      <w:numFmt w:val="lowerRoman"/>
      <w:lvlText w:val="(%1)"/>
      <w:lvlJc w:val="left"/>
      <w:pPr>
        <w:ind w:left="1080" w:hanging="720"/>
      </w:pPr>
      <w:rPr>
        <w:rFonts w:hint="default"/>
      </w:rPr>
    </w:lvl>
    <w:lvl w:ilvl="1" w:tplc="206E9420" w:tentative="1">
      <w:start w:val="1"/>
      <w:numFmt w:val="lowerLetter"/>
      <w:lvlText w:val="%2."/>
      <w:lvlJc w:val="left"/>
      <w:pPr>
        <w:ind w:left="1440" w:hanging="360"/>
      </w:pPr>
    </w:lvl>
    <w:lvl w:ilvl="2" w:tplc="11A69128" w:tentative="1">
      <w:start w:val="1"/>
      <w:numFmt w:val="lowerRoman"/>
      <w:lvlText w:val="%3."/>
      <w:lvlJc w:val="right"/>
      <w:pPr>
        <w:ind w:left="2160" w:hanging="180"/>
      </w:pPr>
    </w:lvl>
    <w:lvl w:ilvl="3" w:tplc="26029198" w:tentative="1">
      <w:start w:val="1"/>
      <w:numFmt w:val="decimal"/>
      <w:lvlText w:val="%4."/>
      <w:lvlJc w:val="left"/>
      <w:pPr>
        <w:ind w:left="2880" w:hanging="360"/>
      </w:pPr>
    </w:lvl>
    <w:lvl w:ilvl="4" w:tplc="09D22086" w:tentative="1">
      <w:start w:val="1"/>
      <w:numFmt w:val="lowerLetter"/>
      <w:lvlText w:val="%5."/>
      <w:lvlJc w:val="left"/>
      <w:pPr>
        <w:ind w:left="3600" w:hanging="360"/>
      </w:pPr>
    </w:lvl>
    <w:lvl w:ilvl="5" w:tplc="26AE42B0" w:tentative="1">
      <w:start w:val="1"/>
      <w:numFmt w:val="lowerRoman"/>
      <w:lvlText w:val="%6."/>
      <w:lvlJc w:val="right"/>
      <w:pPr>
        <w:ind w:left="4320" w:hanging="180"/>
      </w:pPr>
    </w:lvl>
    <w:lvl w:ilvl="6" w:tplc="D7741F0C" w:tentative="1">
      <w:start w:val="1"/>
      <w:numFmt w:val="decimal"/>
      <w:lvlText w:val="%7."/>
      <w:lvlJc w:val="left"/>
      <w:pPr>
        <w:ind w:left="5040" w:hanging="360"/>
      </w:pPr>
    </w:lvl>
    <w:lvl w:ilvl="7" w:tplc="9AF4300E" w:tentative="1">
      <w:start w:val="1"/>
      <w:numFmt w:val="lowerLetter"/>
      <w:lvlText w:val="%8."/>
      <w:lvlJc w:val="left"/>
      <w:pPr>
        <w:ind w:left="5760" w:hanging="360"/>
      </w:pPr>
    </w:lvl>
    <w:lvl w:ilvl="8" w:tplc="DAF6A27C" w:tentative="1">
      <w:start w:val="1"/>
      <w:numFmt w:val="lowerRoman"/>
      <w:lvlText w:val="%9."/>
      <w:lvlJc w:val="right"/>
      <w:pPr>
        <w:ind w:left="6480" w:hanging="180"/>
      </w:pPr>
    </w:lvl>
  </w:abstractNum>
  <w:abstractNum w:abstractNumId="3" w15:restartNumberingAfterBreak="0">
    <w:nsid w:val="0B5E3AC6"/>
    <w:multiLevelType w:val="hybridMultilevel"/>
    <w:tmpl w:val="59A452EE"/>
    <w:lvl w:ilvl="0" w:tplc="E4D447D4">
      <w:start w:val="1"/>
      <w:numFmt w:val="lowerRoman"/>
      <w:lvlText w:val="(%1)"/>
      <w:lvlJc w:val="left"/>
      <w:pPr>
        <w:ind w:left="1080" w:hanging="720"/>
      </w:pPr>
      <w:rPr>
        <w:rFonts w:hint="default"/>
      </w:rPr>
    </w:lvl>
    <w:lvl w:ilvl="1" w:tplc="087251A4" w:tentative="1">
      <w:start w:val="1"/>
      <w:numFmt w:val="lowerLetter"/>
      <w:lvlText w:val="%2."/>
      <w:lvlJc w:val="left"/>
      <w:pPr>
        <w:ind w:left="1440" w:hanging="360"/>
      </w:pPr>
    </w:lvl>
    <w:lvl w:ilvl="2" w:tplc="6F0EF154" w:tentative="1">
      <w:start w:val="1"/>
      <w:numFmt w:val="lowerRoman"/>
      <w:lvlText w:val="%3."/>
      <w:lvlJc w:val="right"/>
      <w:pPr>
        <w:ind w:left="2160" w:hanging="180"/>
      </w:pPr>
    </w:lvl>
    <w:lvl w:ilvl="3" w:tplc="BD5E3B2A" w:tentative="1">
      <w:start w:val="1"/>
      <w:numFmt w:val="decimal"/>
      <w:lvlText w:val="%4."/>
      <w:lvlJc w:val="left"/>
      <w:pPr>
        <w:ind w:left="2880" w:hanging="360"/>
      </w:pPr>
    </w:lvl>
    <w:lvl w:ilvl="4" w:tplc="193090A8" w:tentative="1">
      <w:start w:val="1"/>
      <w:numFmt w:val="lowerLetter"/>
      <w:lvlText w:val="%5."/>
      <w:lvlJc w:val="left"/>
      <w:pPr>
        <w:ind w:left="3600" w:hanging="360"/>
      </w:pPr>
    </w:lvl>
    <w:lvl w:ilvl="5" w:tplc="11C87272" w:tentative="1">
      <w:start w:val="1"/>
      <w:numFmt w:val="lowerRoman"/>
      <w:lvlText w:val="%6."/>
      <w:lvlJc w:val="right"/>
      <w:pPr>
        <w:ind w:left="4320" w:hanging="180"/>
      </w:pPr>
    </w:lvl>
    <w:lvl w:ilvl="6" w:tplc="DF428734" w:tentative="1">
      <w:start w:val="1"/>
      <w:numFmt w:val="decimal"/>
      <w:lvlText w:val="%7."/>
      <w:lvlJc w:val="left"/>
      <w:pPr>
        <w:ind w:left="5040" w:hanging="360"/>
      </w:pPr>
    </w:lvl>
    <w:lvl w:ilvl="7" w:tplc="4DC624E8" w:tentative="1">
      <w:start w:val="1"/>
      <w:numFmt w:val="lowerLetter"/>
      <w:lvlText w:val="%8."/>
      <w:lvlJc w:val="left"/>
      <w:pPr>
        <w:ind w:left="5760" w:hanging="360"/>
      </w:pPr>
    </w:lvl>
    <w:lvl w:ilvl="8" w:tplc="26F6284A"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DBF0250A">
      <w:start w:val="1"/>
      <w:numFmt w:val="lowerRoman"/>
      <w:lvlText w:val="(%1)"/>
      <w:lvlJc w:val="left"/>
      <w:pPr>
        <w:ind w:left="1080" w:hanging="720"/>
      </w:pPr>
      <w:rPr>
        <w:rFonts w:hint="default"/>
      </w:rPr>
    </w:lvl>
    <w:lvl w:ilvl="1" w:tplc="7526CEE0" w:tentative="1">
      <w:start w:val="1"/>
      <w:numFmt w:val="lowerLetter"/>
      <w:lvlText w:val="%2."/>
      <w:lvlJc w:val="left"/>
      <w:pPr>
        <w:ind w:left="1440" w:hanging="360"/>
      </w:pPr>
    </w:lvl>
    <w:lvl w:ilvl="2" w:tplc="EA7E7EB6" w:tentative="1">
      <w:start w:val="1"/>
      <w:numFmt w:val="lowerRoman"/>
      <w:lvlText w:val="%3."/>
      <w:lvlJc w:val="right"/>
      <w:pPr>
        <w:ind w:left="2160" w:hanging="180"/>
      </w:pPr>
    </w:lvl>
    <w:lvl w:ilvl="3" w:tplc="7A6CF4DA" w:tentative="1">
      <w:start w:val="1"/>
      <w:numFmt w:val="decimal"/>
      <w:lvlText w:val="%4."/>
      <w:lvlJc w:val="left"/>
      <w:pPr>
        <w:ind w:left="2880" w:hanging="360"/>
      </w:pPr>
    </w:lvl>
    <w:lvl w:ilvl="4" w:tplc="F2204FA6" w:tentative="1">
      <w:start w:val="1"/>
      <w:numFmt w:val="lowerLetter"/>
      <w:lvlText w:val="%5."/>
      <w:lvlJc w:val="left"/>
      <w:pPr>
        <w:ind w:left="3600" w:hanging="360"/>
      </w:pPr>
    </w:lvl>
    <w:lvl w:ilvl="5" w:tplc="162AB1B4" w:tentative="1">
      <w:start w:val="1"/>
      <w:numFmt w:val="lowerRoman"/>
      <w:lvlText w:val="%6."/>
      <w:lvlJc w:val="right"/>
      <w:pPr>
        <w:ind w:left="4320" w:hanging="180"/>
      </w:pPr>
    </w:lvl>
    <w:lvl w:ilvl="6" w:tplc="E23CB82A" w:tentative="1">
      <w:start w:val="1"/>
      <w:numFmt w:val="decimal"/>
      <w:lvlText w:val="%7."/>
      <w:lvlJc w:val="left"/>
      <w:pPr>
        <w:ind w:left="5040" w:hanging="360"/>
      </w:pPr>
    </w:lvl>
    <w:lvl w:ilvl="7" w:tplc="AC9EA2CA" w:tentative="1">
      <w:start w:val="1"/>
      <w:numFmt w:val="lowerLetter"/>
      <w:lvlText w:val="%8."/>
      <w:lvlJc w:val="left"/>
      <w:pPr>
        <w:ind w:left="5760" w:hanging="360"/>
      </w:pPr>
    </w:lvl>
    <w:lvl w:ilvl="8" w:tplc="AF0273E6"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2DE64212">
      <w:start w:val="1"/>
      <w:numFmt w:val="bullet"/>
      <w:lvlText w:val=""/>
      <w:lvlJc w:val="left"/>
      <w:pPr>
        <w:ind w:left="720" w:hanging="360"/>
      </w:pPr>
      <w:rPr>
        <w:rFonts w:ascii="Symbol" w:hAnsi="Symbol" w:hint="default"/>
        <w:color w:val="auto"/>
        <w:sz w:val="24"/>
        <w:szCs w:val="24"/>
      </w:rPr>
    </w:lvl>
    <w:lvl w:ilvl="1" w:tplc="23445E38" w:tentative="1">
      <w:start w:val="1"/>
      <w:numFmt w:val="bullet"/>
      <w:lvlText w:val="o"/>
      <w:lvlJc w:val="left"/>
      <w:pPr>
        <w:ind w:left="1440" w:hanging="360"/>
      </w:pPr>
      <w:rPr>
        <w:rFonts w:ascii="Courier New" w:hAnsi="Courier New" w:cs="Courier New" w:hint="default"/>
      </w:rPr>
    </w:lvl>
    <w:lvl w:ilvl="2" w:tplc="F87C3B0C" w:tentative="1">
      <w:start w:val="1"/>
      <w:numFmt w:val="bullet"/>
      <w:lvlText w:val=""/>
      <w:lvlJc w:val="left"/>
      <w:pPr>
        <w:ind w:left="2160" w:hanging="360"/>
      </w:pPr>
      <w:rPr>
        <w:rFonts w:ascii="Wingdings" w:hAnsi="Wingdings" w:hint="default"/>
      </w:rPr>
    </w:lvl>
    <w:lvl w:ilvl="3" w:tplc="B072A6BC" w:tentative="1">
      <w:start w:val="1"/>
      <w:numFmt w:val="bullet"/>
      <w:lvlText w:val=""/>
      <w:lvlJc w:val="left"/>
      <w:pPr>
        <w:ind w:left="2880" w:hanging="360"/>
      </w:pPr>
      <w:rPr>
        <w:rFonts w:ascii="Symbol" w:hAnsi="Symbol" w:hint="default"/>
      </w:rPr>
    </w:lvl>
    <w:lvl w:ilvl="4" w:tplc="E8242A14" w:tentative="1">
      <w:start w:val="1"/>
      <w:numFmt w:val="bullet"/>
      <w:lvlText w:val="o"/>
      <w:lvlJc w:val="left"/>
      <w:pPr>
        <w:ind w:left="3600" w:hanging="360"/>
      </w:pPr>
      <w:rPr>
        <w:rFonts w:ascii="Courier New" w:hAnsi="Courier New" w:cs="Courier New" w:hint="default"/>
      </w:rPr>
    </w:lvl>
    <w:lvl w:ilvl="5" w:tplc="8DB82E40" w:tentative="1">
      <w:start w:val="1"/>
      <w:numFmt w:val="bullet"/>
      <w:lvlText w:val=""/>
      <w:lvlJc w:val="left"/>
      <w:pPr>
        <w:ind w:left="4320" w:hanging="360"/>
      </w:pPr>
      <w:rPr>
        <w:rFonts w:ascii="Wingdings" w:hAnsi="Wingdings" w:hint="default"/>
      </w:rPr>
    </w:lvl>
    <w:lvl w:ilvl="6" w:tplc="AD0C3604" w:tentative="1">
      <w:start w:val="1"/>
      <w:numFmt w:val="bullet"/>
      <w:lvlText w:val=""/>
      <w:lvlJc w:val="left"/>
      <w:pPr>
        <w:ind w:left="5040" w:hanging="360"/>
      </w:pPr>
      <w:rPr>
        <w:rFonts w:ascii="Symbol" w:hAnsi="Symbol" w:hint="default"/>
      </w:rPr>
    </w:lvl>
    <w:lvl w:ilvl="7" w:tplc="A26448D8" w:tentative="1">
      <w:start w:val="1"/>
      <w:numFmt w:val="bullet"/>
      <w:lvlText w:val="o"/>
      <w:lvlJc w:val="left"/>
      <w:pPr>
        <w:ind w:left="5760" w:hanging="360"/>
      </w:pPr>
      <w:rPr>
        <w:rFonts w:ascii="Courier New" w:hAnsi="Courier New" w:cs="Courier New" w:hint="default"/>
      </w:rPr>
    </w:lvl>
    <w:lvl w:ilvl="8" w:tplc="FD94A55E"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C6565A30">
      <w:start w:val="1"/>
      <w:numFmt w:val="lowerRoman"/>
      <w:lvlText w:val="(%1)"/>
      <w:lvlJc w:val="left"/>
      <w:pPr>
        <w:ind w:left="1080" w:hanging="720"/>
      </w:pPr>
      <w:rPr>
        <w:rFonts w:hint="default"/>
      </w:rPr>
    </w:lvl>
    <w:lvl w:ilvl="1" w:tplc="354873D8" w:tentative="1">
      <w:start w:val="1"/>
      <w:numFmt w:val="lowerLetter"/>
      <w:lvlText w:val="%2."/>
      <w:lvlJc w:val="left"/>
      <w:pPr>
        <w:ind w:left="1440" w:hanging="360"/>
      </w:pPr>
    </w:lvl>
    <w:lvl w:ilvl="2" w:tplc="92741036" w:tentative="1">
      <w:start w:val="1"/>
      <w:numFmt w:val="lowerRoman"/>
      <w:lvlText w:val="%3."/>
      <w:lvlJc w:val="right"/>
      <w:pPr>
        <w:ind w:left="2160" w:hanging="180"/>
      </w:pPr>
    </w:lvl>
    <w:lvl w:ilvl="3" w:tplc="6C1C0CF0" w:tentative="1">
      <w:start w:val="1"/>
      <w:numFmt w:val="decimal"/>
      <w:lvlText w:val="%4."/>
      <w:lvlJc w:val="left"/>
      <w:pPr>
        <w:ind w:left="2880" w:hanging="360"/>
      </w:pPr>
    </w:lvl>
    <w:lvl w:ilvl="4" w:tplc="A5C62E26" w:tentative="1">
      <w:start w:val="1"/>
      <w:numFmt w:val="lowerLetter"/>
      <w:lvlText w:val="%5."/>
      <w:lvlJc w:val="left"/>
      <w:pPr>
        <w:ind w:left="3600" w:hanging="360"/>
      </w:pPr>
    </w:lvl>
    <w:lvl w:ilvl="5" w:tplc="F112EF1E" w:tentative="1">
      <w:start w:val="1"/>
      <w:numFmt w:val="lowerRoman"/>
      <w:lvlText w:val="%6."/>
      <w:lvlJc w:val="right"/>
      <w:pPr>
        <w:ind w:left="4320" w:hanging="180"/>
      </w:pPr>
    </w:lvl>
    <w:lvl w:ilvl="6" w:tplc="1A86F1C0" w:tentative="1">
      <w:start w:val="1"/>
      <w:numFmt w:val="decimal"/>
      <w:lvlText w:val="%7."/>
      <w:lvlJc w:val="left"/>
      <w:pPr>
        <w:ind w:left="5040" w:hanging="360"/>
      </w:pPr>
    </w:lvl>
    <w:lvl w:ilvl="7" w:tplc="F2AA0BBA" w:tentative="1">
      <w:start w:val="1"/>
      <w:numFmt w:val="lowerLetter"/>
      <w:lvlText w:val="%8."/>
      <w:lvlJc w:val="left"/>
      <w:pPr>
        <w:ind w:left="5760" w:hanging="360"/>
      </w:pPr>
    </w:lvl>
    <w:lvl w:ilvl="8" w:tplc="2B68A21C"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7526D8A2">
      <w:start w:val="1"/>
      <w:numFmt w:val="lowerRoman"/>
      <w:lvlText w:val="(%1)"/>
      <w:lvlJc w:val="left"/>
      <w:pPr>
        <w:ind w:left="1080" w:hanging="720"/>
      </w:pPr>
      <w:rPr>
        <w:rFonts w:hint="default"/>
      </w:rPr>
    </w:lvl>
    <w:lvl w:ilvl="1" w:tplc="365E1E98" w:tentative="1">
      <w:start w:val="1"/>
      <w:numFmt w:val="lowerLetter"/>
      <w:lvlText w:val="%2."/>
      <w:lvlJc w:val="left"/>
      <w:pPr>
        <w:ind w:left="1440" w:hanging="360"/>
      </w:pPr>
    </w:lvl>
    <w:lvl w:ilvl="2" w:tplc="FA7E5708" w:tentative="1">
      <w:start w:val="1"/>
      <w:numFmt w:val="lowerRoman"/>
      <w:lvlText w:val="%3."/>
      <w:lvlJc w:val="right"/>
      <w:pPr>
        <w:ind w:left="2160" w:hanging="180"/>
      </w:pPr>
    </w:lvl>
    <w:lvl w:ilvl="3" w:tplc="4F34DF54" w:tentative="1">
      <w:start w:val="1"/>
      <w:numFmt w:val="decimal"/>
      <w:lvlText w:val="%4."/>
      <w:lvlJc w:val="left"/>
      <w:pPr>
        <w:ind w:left="2880" w:hanging="360"/>
      </w:pPr>
    </w:lvl>
    <w:lvl w:ilvl="4" w:tplc="50BA716C" w:tentative="1">
      <w:start w:val="1"/>
      <w:numFmt w:val="lowerLetter"/>
      <w:lvlText w:val="%5."/>
      <w:lvlJc w:val="left"/>
      <w:pPr>
        <w:ind w:left="3600" w:hanging="360"/>
      </w:pPr>
    </w:lvl>
    <w:lvl w:ilvl="5" w:tplc="A12A62C2" w:tentative="1">
      <w:start w:val="1"/>
      <w:numFmt w:val="lowerRoman"/>
      <w:lvlText w:val="%6."/>
      <w:lvlJc w:val="right"/>
      <w:pPr>
        <w:ind w:left="4320" w:hanging="180"/>
      </w:pPr>
    </w:lvl>
    <w:lvl w:ilvl="6" w:tplc="4B2A1FD0" w:tentative="1">
      <w:start w:val="1"/>
      <w:numFmt w:val="decimal"/>
      <w:lvlText w:val="%7."/>
      <w:lvlJc w:val="left"/>
      <w:pPr>
        <w:ind w:left="5040" w:hanging="360"/>
      </w:pPr>
    </w:lvl>
    <w:lvl w:ilvl="7" w:tplc="ECDE98C6" w:tentative="1">
      <w:start w:val="1"/>
      <w:numFmt w:val="lowerLetter"/>
      <w:lvlText w:val="%8."/>
      <w:lvlJc w:val="left"/>
      <w:pPr>
        <w:ind w:left="5760" w:hanging="360"/>
      </w:pPr>
    </w:lvl>
    <w:lvl w:ilvl="8" w:tplc="5DD8BF54"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2C504B9E">
      <w:start w:val="1"/>
      <w:numFmt w:val="lowerRoman"/>
      <w:lvlText w:val="(%1)"/>
      <w:lvlJc w:val="left"/>
      <w:pPr>
        <w:ind w:left="1080" w:hanging="720"/>
      </w:pPr>
      <w:rPr>
        <w:rFonts w:hint="default"/>
      </w:rPr>
    </w:lvl>
    <w:lvl w:ilvl="1" w:tplc="47387F4A" w:tentative="1">
      <w:start w:val="1"/>
      <w:numFmt w:val="lowerLetter"/>
      <w:lvlText w:val="%2."/>
      <w:lvlJc w:val="left"/>
      <w:pPr>
        <w:ind w:left="1440" w:hanging="360"/>
      </w:pPr>
    </w:lvl>
    <w:lvl w:ilvl="2" w:tplc="9E468166" w:tentative="1">
      <w:start w:val="1"/>
      <w:numFmt w:val="lowerRoman"/>
      <w:lvlText w:val="%3."/>
      <w:lvlJc w:val="right"/>
      <w:pPr>
        <w:ind w:left="2160" w:hanging="180"/>
      </w:pPr>
    </w:lvl>
    <w:lvl w:ilvl="3" w:tplc="BC5A6F44" w:tentative="1">
      <w:start w:val="1"/>
      <w:numFmt w:val="decimal"/>
      <w:lvlText w:val="%4."/>
      <w:lvlJc w:val="left"/>
      <w:pPr>
        <w:ind w:left="2880" w:hanging="360"/>
      </w:pPr>
    </w:lvl>
    <w:lvl w:ilvl="4" w:tplc="123629D8" w:tentative="1">
      <w:start w:val="1"/>
      <w:numFmt w:val="lowerLetter"/>
      <w:lvlText w:val="%5."/>
      <w:lvlJc w:val="left"/>
      <w:pPr>
        <w:ind w:left="3600" w:hanging="360"/>
      </w:pPr>
    </w:lvl>
    <w:lvl w:ilvl="5" w:tplc="98707A58" w:tentative="1">
      <w:start w:val="1"/>
      <w:numFmt w:val="lowerRoman"/>
      <w:lvlText w:val="%6."/>
      <w:lvlJc w:val="right"/>
      <w:pPr>
        <w:ind w:left="4320" w:hanging="180"/>
      </w:pPr>
    </w:lvl>
    <w:lvl w:ilvl="6" w:tplc="26340E94" w:tentative="1">
      <w:start w:val="1"/>
      <w:numFmt w:val="decimal"/>
      <w:lvlText w:val="%7."/>
      <w:lvlJc w:val="left"/>
      <w:pPr>
        <w:ind w:left="5040" w:hanging="360"/>
      </w:pPr>
    </w:lvl>
    <w:lvl w:ilvl="7" w:tplc="92E86802" w:tentative="1">
      <w:start w:val="1"/>
      <w:numFmt w:val="lowerLetter"/>
      <w:lvlText w:val="%8."/>
      <w:lvlJc w:val="left"/>
      <w:pPr>
        <w:ind w:left="5760" w:hanging="360"/>
      </w:pPr>
    </w:lvl>
    <w:lvl w:ilvl="8" w:tplc="88B6408A"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B2BEAF44">
      <w:start w:val="1"/>
      <w:numFmt w:val="lowerRoman"/>
      <w:lvlText w:val="(%1)"/>
      <w:lvlJc w:val="left"/>
      <w:pPr>
        <w:ind w:left="1080" w:hanging="720"/>
      </w:pPr>
      <w:rPr>
        <w:rFonts w:hint="default"/>
      </w:rPr>
    </w:lvl>
    <w:lvl w:ilvl="1" w:tplc="47980E68" w:tentative="1">
      <w:start w:val="1"/>
      <w:numFmt w:val="lowerLetter"/>
      <w:lvlText w:val="%2."/>
      <w:lvlJc w:val="left"/>
      <w:pPr>
        <w:ind w:left="1440" w:hanging="360"/>
      </w:pPr>
    </w:lvl>
    <w:lvl w:ilvl="2" w:tplc="F8F469F6" w:tentative="1">
      <w:start w:val="1"/>
      <w:numFmt w:val="lowerRoman"/>
      <w:lvlText w:val="%3."/>
      <w:lvlJc w:val="right"/>
      <w:pPr>
        <w:ind w:left="2160" w:hanging="180"/>
      </w:pPr>
    </w:lvl>
    <w:lvl w:ilvl="3" w:tplc="A15267B8" w:tentative="1">
      <w:start w:val="1"/>
      <w:numFmt w:val="decimal"/>
      <w:lvlText w:val="%4."/>
      <w:lvlJc w:val="left"/>
      <w:pPr>
        <w:ind w:left="2880" w:hanging="360"/>
      </w:pPr>
    </w:lvl>
    <w:lvl w:ilvl="4" w:tplc="8A5C9732" w:tentative="1">
      <w:start w:val="1"/>
      <w:numFmt w:val="lowerLetter"/>
      <w:lvlText w:val="%5."/>
      <w:lvlJc w:val="left"/>
      <w:pPr>
        <w:ind w:left="3600" w:hanging="360"/>
      </w:pPr>
    </w:lvl>
    <w:lvl w:ilvl="5" w:tplc="DA8E3DD0" w:tentative="1">
      <w:start w:val="1"/>
      <w:numFmt w:val="lowerRoman"/>
      <w:lvlText w:val="%6."/>
      <w:lvlJc w:val="right"/>
      <w:pPr>
        <w:ind w:left="4320" w:hanging="180"/>
      </w:pPr>
    </w:lvl>
    <w:lvl w:ilvl="6" w:tplc="D74877EE" w:tentative="1">
      <w:start w:val="1"/>
      <w:numFmt w:val="decimal"/>
      <w:lvlText w:val="%7."/>
      <w:lvlJc w:val="left"/>
      <w:pPr>
        <w:ind w:left="5040" w:hanging="360"/>
      </w:pPr>
    </w:lvl>
    <w:lvl w:ilvl="7" w:tplc="770204C8" w:tentative="1">
      <w:start w:val="1"/>
      <w:numFmt w:val="lowerLetter"/>
      <w:lvlText w:val="%8."/>
      <w:lvlJc w:val="left"/>
      <w:pPr>
        <w:ind w:left="5760" w:hanging="360"/>
      </w:pPr>
    </w:lvl>
    <w:lvl w:ilvl="8" w:tplc="B548276A"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15048F00">
      <w:start w:val="1"/>
      <w:numFmt w:val="lowerRoman"/>
      <w:lvlText w:val="(%1)"/>
      <w:lvlJc w:val="left"/>
      <w:pPr>
        <w:ind w:left="1080" w:hanging="720"/>
      </w:pPr>
      <w:rPr>
        <w:rFonts w:hint="default"/>
      </w:rPr>
    </w:lvl>
    <w:lvl w:ilvl="1" w:tplc="5A92063A" w:tentative="1">
      <w:start w:val="1"/>
      <w:numFmt w:val="lowerLetter"/>
      <w:lvlText w:val="%2."/>
      <w:lvlJc w:val="left"/>
      <w:pPr>
        <w:ind w:left="1440" w:hanging="360"/>
      </w:pPr>
    </w:lvl>
    <w:lvl w:ilvl="2" w:tplc="30E4053E" w:tentative="1">
      <w:start w:val="1"/>
      <w:numFmt w:val="lowerRoman"/>
      <w:lvlText w:val="%3."/>
      <w:lvlJc w:val="right"/>
      <w:pPr>
        <w:ind w:left="2160" w:hanging="180"/>
      </w:pPr>
    </w:lvl>
    <w:lvl w:ilvl="3" w:tplc="766C7226" w:tentative="1">
      <w:start w:val="1"/>
      <w:numFmt w:val="decimal"/>
      <w:lvlText w:val="%4."/>
      <w:lvlJc w:val="left"/>
      <w:pPr>
        <w:ind w:left="2880" w:hanging="360"/>
      </w:pPr>
    </w:lvl>
    <w:lvl w:ilvl="4" w:tplc="BB24DA74" w:tentative="1">
      <w:start w:val="1"/>
      <w:numFmt w:val="lowerLetter"/>
      <w:lvlText w:val="%5."/>
      <w:lvlJc w:val="left"/>
      <w:pPr>
        <w:ind w:left="3600" w:hanging="360"/>
      </w:pPr>
    </w:lvl>
    <w:lvl w:ilvl="5" w:tplc="2C10C2E8" w:tentative="1">
      <w:start w:val="1"/>
      <w:numFmt w:val="lowerRoman"/>
      <w:lvlText w:val="%6."/>
      <w:lvlJc w:val="right"/>
      <w:pPr>
        <w:ind w:left="4320" w:hanging="180"/>
      </w:pPr>
    </w:lvl>
    <w:lvl w:ilvl="6" w:tplc="B44EBF3E" w:tentative="1">
      <w:start w:val="1"/>
      <w:numFmt w:val="decimal"/>
      <w:lvlText w:val="%7."/>
      <w:lvlJc w:val="left"/>
      <w:pPr>
        <w:ind w:left="5040" w:hanging="360"/>
      </w:pPr>
    </w:lvl>
    <w:lvl w:ilvl="7" w:tplc="319C9D80" w:tentative="1">
      <w:start w:val="1"/>
      <w:numFmt w:val="lowerLetter"/>
      <w:lvlText w:val="%8."/>
      <w:lvlJc w:val="left"/>
      <w:pPr>
        <w:ind w:left="5760" w:hanging="360"/>
      </w:pPr>
    </w:lvl>
    <w:lvl w:ilvl="8" w:tplc="D1A2B560"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DF7E9FA0">
      <w:start w:val="1"/>
      <w:numFmt w:val="lowerRoman"/>
      <w:lvlText w:val="(%1)"/>
      <w:lvlJc w:val="left"/>
      <w:pPr>
        <w:ind w:left="1080" w:hanging="720"/>
      </w:pPr>
      <w:rPr>
        <w:rFonts w:hint="default"/>
      </w:rPr>
    </w:lvl>
    <w:lvl w:ilvl="1" w:tplc="5E544658" w:tentative="1">
      <w:start w:val="1"/>
      <w:numFmt w:val="lowerLetter"/>
      <w:lvlText w:val="%2."/>
      <w:lvlJc w:val="left"/>
      <w:pPr>
        <w:ind w:left="1440" w:hanging="360"/>
      </w:pPr>
    </w:lvl>
    <w:lvl w:ilvl="2" w:tplc="FEFEEE9A" w:tentative="1">
      <w:start w:val="1"/>
      <w:numFmt w:val="lowerRoman"/>
      <w:lvlText w:val="%3."/>
      <w:lvlJc w:val="right"/>
      <w:pPr>
        <w:ind w:left="2160" w:hanging="180"/>
      </w:pPr>
    </w:lvl>
    <w:lvl w:ilvl="3" w:tplc="0F70AC4E" w:tentative="1">
      <w:start w:val="1"/>
      <w:numFmt w:val="decimal"/>
      <w:lvlText w:val="%4."/>
      <w:lvlJc w:val="left"/>
      <w:pPr>
        <w:ind w:left="2880" w:hanging="360"/>
      </w:pPr>
    </w:lvl>
    <w:lvl w:ilvl="4" w:tplc="9A9E2D44" w:tentative="1">
      <w:start w:val="1"/>
      <w:numFmt w:val="lowerLetter"/>
      <w:lvlText w:val="%5."/>
      <w:lvlJc w:val="left"/>
      <w:pPr>
        <w:ind w:left="3600" w:hanging="360"/>
      </w:pPr>
    </w:lvl>
    <w:lvl w:ilvl="5" w:tplc="1694B4AC" w:tentative="1">
      <w:start w:val="1"/>
      <w:numFmt w:val="lowerRoman"/>
      <w:lvlText w:val="%6."/>
      <w:lvlJc w:val="right"/>
      <w:pPr>
        <w:ind w:left="4320" w:hanging="180"/>
      </w:pPr>
    </w:lvl>
    <w:lvl w:ilvl="6" w:tplc="ACEC6204" w:tentative="1">
      <w:start w:val="1"/>
      <w:numFmt w:val="decimal"/>
      <w:lvlText w:val="%7."/>
      <w:lvlJc w:val="left"/>
      <w:pPr>
        <w:ind w:left="5040" w:hanging="360"/>
      </w:pPr>
    </w:lvl>
    <w:lvl w:ilvl="7" w:tplc="9E6652CE" w:tentative="1">
      <w:start w:val="1"/>
      <w:numFmt w:val="lowerLetter"/>
      <w:lvlText w:val="%8."/>
      <w:lvlJc w:val="left"/>
      <w:pPr>
        <w:ind w:left="5760" w:hanging="360"/>
      </w:pPr>
    </w:lvl>
    <w:lvl w:ilvl="8" w:tplc="23221772"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49544068">
    <w:abstractNumId w:val="12"/>
  </w:num>
  <w:num w:numId="2" w16cid:durableId="25910368">
    <w:abstractNumId w:val="5"/>
  </w:num>
  <w:num w:numId="3" w16cid:durableId="170725398">
    <w:abstractNumId w:val="3"/>
  </w:num>
  <w:num w:numId="4" w16cid:durableId="929581212">
    <w:abstractNumId w:val="8"/>
  </w:num>
  <w:num w:numId="5" w16cid:durableId="1419861280">
    <w:abstractNumId w:val="7"/>
  </w:num>
  <w:num w:numId="6" w16cid:durableId="1221096122">
    <w:abstractNumId w:val="2"/>
  </w:num>
  <w:num w:numId="7" w16cid:durableId="1040278026">
    <w:abstractNumId w:val="10"/>
  </w:num>
  <w:num w:numId="8" w16cid:durableId="1563061371">
    <w:abstractNumId w:val="6"/>
  </w:num>
  <w:num w:numId="9" w16cid:durableId="1555195118">
    <w:abstractNumId w:val="9"/>
  </w:num>
  <w:num w:numId="10" w16cid:durableId="2081518124">
    <w:abstractNumId w:val="4"/>
  </w:num>
  <w:num w:numId="11" w16cid:durableId="1438715014">
    <w:abstractNumId w:val="11"/>
  </w:num>
  <w:num w:numId="12" w16cid:durableId="669142786">
    <w:abstractNumId w:val="0"/>
  </w:num>
  <w:num w:numId="13" w16cid:durableId="584654653">
    <w:abstractNumId w:val="12"/>
  </w:num>
  <w:num w:numId="14" w16cid:durableId="1792161534">
    <w:abstractNumId w:val="12"/>
  </w:num>
  <w:num w:numId="15" w16cid:durableId="715741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4B"/>
    <w:rsid w:val="000017BD"/>
    <w:rsid w:val="00002549"/>
    <w:rsid w:val="00005459"/>
    <w:rsid w:val="000070CD"/>
    <w:rsid w:val="00034D5B"/>
    <w:rsid w:val="00036866"/>
    <w:rsid w:val="00042C03"/>
    <w:rsid w:val="00080122"/>
    <w:rsid w:val="00090B1A"/>
    <w:rsid w:val="00097FC4"/>
    <w:rsid w:val="000A08BB"/>
    <w:rsid w:val="000A3473"/>
    <w:rsid w:val="000A46D9"/>
    <w:rsid w:val="000C4E00"/>
    <w:rsid w:val="000C6C1D"/>
    <w:rsid w:val="000D598B"/>
    <w:rsid w:val="000D7998"/>
    <w:rsid w:val="000E01D3"/>
    <w:rsid w:val="000E25E0"/>
    <w:rsid w:val="000E7B1E"/>
    <w:rsid w:val="000F07D6"/>
    <w:rsid w:val="00102E02"/>
    <w:rsid w:val="00110397"/>
    <w:rsid w:val="00110FFE"/>
    <w:rsid w:val="0011198E"/>
    <w:rsid w:val="00114A18"/>
    <w:rsid w:val="0011523C"/>
    <w:rsid w:val="00135CFF"/>
    <w:rsid w:val="001361D7"/>
    <w:rsid w:val="001505F2"/>
    <w:rsid w:val="00153D7B"/>
    <w:rsid w:val="00154C26"/>
    <w:rsid w:val="00171FC1"/>
    <w:rsid w:val="0017308F"/>
    <w:rsid w:val="00175359"/>
    <w:rsid w:val="00181BA6"/>
    <w:rsid w:val="00187AF2"/>
    <w:rsid w:val="001B23C0"/>
    <w:rsid w:val="001C5D54"/>
    <w:rsid w:val="001C5F04"/>
    <w:rsid w:val="001D6410"/>
    <w:rsid w:val="001D7422"/>
    <w:rsid w:val="001E2740"/>
    <w:rsid w:val="0020308F"/>
    <w:rsid w:val="00225798"/>
    <w:rsid w:val="0022623A"/>
    <w:rsid w:val="002351B9"/>
    <w:rsid w:val="00244473"/>
    <w:rsid w:val="00247B3E"/>
    <w:rsid w:val="00260DC8"/>
    <w:rsid w:val="00280430"/>
    <w:rsid w:val="002923FB"/>
    <w:rsid w:val="00296F8A"/>
    <w:rsid w:val="002A2801"/>
    <w:rsid w:val="002A3883"/>
    <w:rsid w:val="002B7029"/>
    <w:rsid w:val="002C2A91"/>
    <w:rsid w:val="002C7750"/>
    <w:rsid w:val="002F103D"/>
    <w:rsid w:val="002F3D77"/>
    <w:rsid w:val="00302674"/>
    <w:rsid w:val="00303112"/>
    <w:rsid w:val="003058E7"/>
    <w:rsid w:val="00312085"/>
    <w:rsid w:val="00316CC8"/>
    <w:rsid w:val="003329F5"/>
    <w:rsid w:val="0035515A"/>
    <w:rsid w:val="00371147"/>
    <w:rsid w:val="00375BF5"/>
    <w:rsid w:val="00387862"/>
    <w:rsid w:val="003A6010"/>
    <w:rsid w:val="003C7713"/>
    <w:rsid w:val="003D040A"/>
    <w:rsid w:val="004012A7"/>
    <w:rsid w:val="004056A1"/>
    <w:rsid w:val="00411321"/>
    <w:rsid w:val="0041240B"/>
    <w:rsid w:val="00412917"/>
    <w:rsid w:val="004138C3"/>
    <w:rsid w:val="00413E8E"/>
    <w:rsid w:val="00414141"/>
    <w:rsid w:val="0042021D"/>
    <w:rsid w:val="00425572"/>
    <w:rsid w:val="00427C09"/>
    <w:rsid w:val="00427E10"/>
    <w:rsid w:val="00430A9E"/>
    <w:rsid w:val="00434DDE"/>
    <w:rsid w:val="004410B8"/>
    <w:rsid w:val="0044138B"/>
    <w:rsid w:val="004479A6"/>
    <w:rsid w:val="00457A34"/>
    <w:rsid w:val="00457BE5"/>
    <w:rsid w:val="00462520"/>
    <w:rsid w:val="004765D3"/>
    <w:rsid w:val="00486A70"/>
    <w:rsid w:val="004944FB"/>
    <w:rsid w:val="00497E74"/>
    <w:rsid w:val="004A6D59"/>
    <w:rsid w:val="004B4AA1"/>
    <w:rsid w:val="004C059B"/>
    <w:rsid w:val="004C1729"/>
    <w:rsid w:val="004D762B"/>
    <w:rsid w:val="004E622F"/>
    <w:rsid w:val="004E6EA1"/>
    <w:rsid w:val="004F6336"/>
    <w:rsid w:val="004F7C89"/>
    <w:rsid w:val="00513357"/>
    <w:rsid w:val="005166BF"/>
    <w:rsid w:val="005318A1"/>
    <w:rsid w:val="0053315A"/>
    <w:rsid w:val="005334D5"/>
    <w:rsid w:val="00537BCB"/>
    <w:rsid w:val="005706E2"/>
    <w:rsid w:val="005732EE"/>
    <w:rsid w:val="00580A22"/>
    <w:rsid w:val="00585DBD"/>
    <w:rsid w:val="0059440F"/>
    <w:rsid w:val="005A0F39"/>
    <w:rsid w:val="005A60D8"/>
    <w:rsid w:val="005B22C7"/>
    <w:rsid w:val="005B407B"/>
    <w:rsid w:val="005B5758"/>
    <w:rsid w:val="005D4747"/>
    <w:rsid w:val="005E6767"/>
    <w:rsid w:val="00603DFD"/>
    <w:rsid w:val="00604448"/>
    <w:rsid w:val="00604F59"/>
    <w:rsid w:val="006158D4"/>
    <w:rsid w:val="0062317D"/>
    <w:rsid w:val="00625F6D"/>
    <w:rsid w:val="00626729"/>
    <w:rsid w:val="00643240"/>
    <w:rsid w:val="00644891"/>
    <w:rsid w:val="00650679"/>
    <w:rsid w:val="00654907"/>
    <w:rsid w:val="0065517E"/>
    <w:rsid w:val="00655BCC"/>
    <w:rsid w:val="00667E5F"/>
    <w:rsid w:val="00690F25"/>
    <w:rsid w:val="006A1298"/>
    <w:rsid w:val="006A1BDE"/>
    <w:rsid w:val="006A37B2"/>
    <w:rsid w:val="006C1A3C"/>
    <w:rsid w:val="006C70AA"/>
    <w:rsid w:val="006D2760"/>
    <w:rsid w:val="006D7682"/>
    <w:rsid w:val="00713B69"/>
    <w:rsid w:val="007157DA"/>
    <w:rsid w:val="007226C4"/>
    <w:rsid w:val="00727C28"/>
    <w:rsid w:val="00730EFE"/>
    <w:rsid w:val="007355C4"/>
    <w:rsid w:val="00736C0B"/>
    <w:rsid w:val="00744DDB"/>
    <w:rsid w:val="00751DAE"/>
    <w:rsid w:val="00754EFE"/>
    <w:rsid w:val="00760710"/>
    <w:rsid w:val="00765325"/>
    <w:rsid w:val="00770D1F"/>
    <w:rsid w:val="00771002"/>
    <w:rsid w:val="007723E5"/>
    <w:rsid w:val="0077498B"/>
    <w:rsid w:val="007751EE"/>
    <w:rsid w:val="00780933"/>
    <w:rsid w:val="007870B8"/>
    <w:rsid w:val="00796B3B"/>
    <w:rsid w:val="007B4B7F"/>
    <w:rsid w:val="007B724F"/>
    <w:rsid w:val="007C133B"/>
    <w:rsid w:val="007C3ADD"/>
    <w:rsid w:val="007D15DA"/>
    <w:rsid w:val="007E0E83"/>
    <w:rsid w:val="007F2226"/>
    <w:rsid w:val="008017A2"/>
    <w:rsid w:val="00801F0B"/>
    <w:rsid w:val="00804B5F"/>
    <w:rsid w:val="00806EAE"/>
    <w:rsid w:val="00806FCD"/>
    <w:rsid w:val="00811EB9"/>
    <w:rsid w:val="00812484"/>
    <w:rsid w:val="008437F4"/>
    <w:rsid w:val="008543BA"/>
    <w:rsid w:val="0086072E"/>
    <w:rsid w:val="0086122B"/>
    <w:rsid w:val="00864CC7"/>
    <w:rsid w:val="008763DD"/>
    <w:rsid w:val="00881E75"/>
    <w:rsid w:val="00882C92"/>
    <w:rsid w:val="00886874"/>
    <w:rsid w:val="0089526F"/>
    <w:rsid w:val="00897FBB"/>
    <w:rsid w:val="008A4780"/>
    <w:rsid w:val="008A78D1"/>
    <w:rsid w:val="008B3C18"/>
    <w:rsid w:val="008D504A"/>
    <w:rsid w:val="008E3B86"/>
    <w:rsid w:val="009020E6"/>
    <w:rsid w:val="00902A6E"/>
    <w:rsid w:val="009101D1"/>
    <w:rsid w:val="00935663"/>
    <w:rsid w:val="00943E17"/>
    <w:rsid w:val="0095458B"/>
    <w:rsid w:val="00957487"/>
    <w:rsid w:val="009646AA"/>
    <w:rsid w:val="00966902"/>
    <w:rsid w:val="009769AB"/>
    <w:rsid w:val="00980BE0"/>
    <w:rsid w:val="0099084F"/>
    <w:rsid w:val="009977A8"/>
    <w:rsid w:val="009A01A3"/>
    <w:rsid w:val="009A32C8"/>
    <w:rsid w:val="009C7037"/>
    <w:rsid w:val="009D247D"/>
    <w:rsid w:val="009D4F22"/>
    <w:rsid w:val="009D6D7C"/>
    <w:rsid w:val="009E1C11"/>
    <w:rsid w:val="009F028C"/>
    <w:rsid w:val="009F39C0"/>
    <w:rsid w:val="00A02F85"/>
    <w:rsid w:val="00A0699A"/>
    <w:rsid w:val="00A10EAA"/>
    <w:rsid w:val="00A11F09"/>
    <w:rsid w:val="00A239F8"/>
    <w:rsid w:val="00A255D7"/>
    <w:rsid w:val="00A25F58"/>
    <w:rsid w:val="00A270F7"/>
    <w:rsid w:val="00A300C9"/>
    <w:rsid w:val="00A318CC"/>
    <w:rsid w:val="00A359B5"/>
    <w:rsid w:val="00A3715F"/>
    <w:rsid w:val="00A37583"/>
    <w:rsid w:val="00A44843"/>
    <w:rsid w:val="00A44A0D"/>
    <w:rsid w:val="00A5536F"/>
    <w:rsid w:val="00A5701F"/>
    <w:rsid w:val="00A74270"/>
    <w:rsid w:val="00A81910"/>
    <w:rsid w:val="00A83F50"/>
    <w:rsid w:val="00A97E8F"/>
    <w:rsid w:val="00AA1798"/>
    <w:rsid w:val="00AB0462"/>
    <w:rsid w:val="00AC7111"/>
    <w:rsid w:val="00AD1DD5"/>
    <w:rsid w:val="00AD3BD1"/>
    <w:rsid w:val="00AD772E"/>
    <w:rsid w:val="00AF7645"/>
    <w:rsid w:val="00B00B43"/>
    <w:rsid w:val="00B15F19"/>
    <w:rsid w:val="00B27C70"/>
    <w:rsid w:val="00B40D55"/>
    <w:rsid w:val="00B5179F"/>
    <w:rsid w:val="00B67D8A"/>
    <w:rsid w:val="00B70FEE"/>
    <w:rsid w:val="00B818A4"/>
    <w:rsid w:val="00B83394"/>
    <w:rsid w:val="00B83F0F"/>
    <w:rsid w:val="00B843A5"/>
    <w:rsid w:val="00B86BDE"/>
    <w:rsid w:val="00BC68A0"/>
    <w:rsid w:val="00BD2483"/>
    <w:rsid w:val="00BE2E01"/>
    <w:rsid w:val="00BE6EC3"/>
    <w:rsid w:val="00BF475C"/>
    <w:rsid w:val="00BF7A78"/>
    <w:rsid w:val="00C0074B"/>
    <w:rsid w:val="00C01DA9"/>
    <w:rsid w:val="00C028F7"/>
    <w:rsid w:val="00C11F08"/>
    <w:rsid w:val="00C5291A"/>
    <w:rsid w:val="00C55040"/>
    <w:rsid w:val="00C60CCB"/>
    <w:rsid w:val="00C61CD2"/>
    <w:rsid w:val="00C65357"/>
    <w:rsid w:val="00C70398"/>
    <w:rsid w:val="00C86DE8"/>
    <w:rsid w:val="00C8788E"/>
    <w:rsid w:val="00C9064E"/>
    <w:rsid w:val="00CA4EBD"/>
    <w:rsid w:val="00CA715C"/>
    <w:rsid w:val="00CB2395"/>
    <w:rsid w:val="00CC233E"/>
    <w:rsid w:val="00CD0382"/>
    <w:rsid w:val="00CE1395"/>
    <w:rsid w:val="00CF041A"/>
    <w:rsid w:val="00CF4055"/>
    <w:rsid w:val="00CF6097"/>
    <w:rsid w:val="00D06E48"/>
    <w:rsid w:val="00D1706E"/>
    <w:rsid w:val="00D2148E"/>
    <w:rsid w:val="00D745BC"/>
    <w:rsid w:val="00D7793F"/>
    <w:rsid w:val="00D801EE"/>
    <w:rsid w:val="00D82CF1"/>
    <w:rsid w:val="00D837E6"/>
    <w:rsid w:val="00D94BCC"/>
    <w:rsid w:val="00DA242B"/>
    <w:rsid w:val="00DB04CC"/>
    <w:rsid w:val="00DD1A85"/>
    <w:rsid w:val="00DD74C0"/>
    <w:rsid w:val="00DF4B68"/>
    <w:rsid w:val="00DF79B1"/>
    <w:rsid w:val="00E044CF"/>
    <w:rsid w:val="00E10628"/>
    <w:rsid w:val="00E10BF2"/>
    <w:rsid w:val="00E2304B"/>
    <w:rsid w:val="00E306DC"/>
    <w:rsid w:val="00E536BD"/>
    <w:rsid w:val="00E6170A"/>
    <w:rsid w:val="00E63942"/>
    <w:rsid w:val="00E66706"/>
    <w:rsid w:val="00E81BDD"/>
    <w:rsid w:val="00E8533C"/>
    <w:rsid w:val="00E87A97"/>
    <w:rsid w:val="00E95AA3"/>
    <w:rsid w:val="00EA6F94"/>
    <w:rsid w:val="00EB0C2B"/>
    <w:rsid w:val="00EC3BEB"/>
    <w:rsid w:val="00EC3D3F"/>
    <w:rsid w:val="00EC3F22"/>
    <w:rsid w:val="00EC4507"/>
    <w:rsid w:val="00ED0952"/>
    <w:rsid w:val="00ED3BE3"/>
    <w:rsid w:val="00EE00D9"/>
    <w:rsid w:val="00EE2BC9"/>
    <w:rsid w:val="00EE49FD"/>
    <w:rsid w:val="00F02DE3"/>
    <w:rsid w:val="00F057B6"/>
    <w:rsid w:val="00F177E2"/>
    <w:rsid w:val="00F24D22"/>
    <w:rsid w:val="00F34067"/>
    <w:rsid w:val="00F46901"/>
    <w:rsid w:val="00F5329D"/>
    <w:rsid w:val="00F62D3D"/>
    <w:rsid w:val="00F721E9"/>
    <w:rsid w:val="00F72D78"/>
    <w:rsid w:val="00F85A44"/>
    <w:rsid w:val="00F95A99"/>
    <w:rsid w:val="00FA2CE9"/>
    <w:rsid w:val="00FB3D3A"/>
    <w:rsid w:val="00FD1A57"/>
    <w:rsid w:val="00FD6AA5"/>
    <w:rsid w:val="00FE05F5"/>
    <w:rsid w:val="00FE397E"/>
    <w:rsid w:val="00FF0A01"/>
    <w:rsid w:val="00FF40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557DE3"/>
  <w15:docId w15:val="{870B6536-7AB3-49BE-828F-9BD85009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styleId="Hyperlink">
    <w:name w:val="Hyperlink"/>
    <w:basedOn w:val="DefaultParagraphFont"/>
    <w:uiPriority w:val="99"/>
    <w:unhideWhenUsed/>
    <w:rsid w:val="0041240B"/>
    <w:rPr>
      <w:color w:val="0563C1" w:themeColor="hyperlink"/>
      <w:u w:val="single"/>
    </w:rPr>
  </w:style>
  <w:style w:type="character" w:styleId="UnresolvedMention">
    <w:name w:val="Unresolved Mention"/>
    <w:basedOn w:val="DefaultParagraphFont"/>
    <w:uiPriority w:val="99"/>
    <w:rsid w:val="00412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B124B" w:rsidRDefault="005A2DA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B124B" w:rsidRDefault="005A2DA7" w:rsidP="00BF58F7">
          <w:pPr>
            <w:pStyle w:val="CB816ECE02F54F73806BE3C3BB463508"/>
          </w:pPr>
          <w:r w:rsidRPr="00D858FE">
            <w:rPr>
              <w:rStyle w:val="PlaceholderText"/>
            </w:rPr>
            <w:t>Choose an item.</w:t>
          </w:r>
        </w:p>
      </w:docPartBody>
    </w:docPart>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BB124B" w:rsidRDefault="005A2DA7"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B124B" w:rsidRDefault="005A2DA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B124B" w:rsidRDefault="005A2DA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B124B" w:rsidRDefault="005A2DA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B124B" w:rsidRDefault="005A2DA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B124B" w:rsidRDefault="005A2DA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B124B" w:rsidRDefault="005A2DA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B124B" w:rsidRDefault="005A2DA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B124B" w:rsidRDefault="005A2DA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B124B" w:rsidRDefault="005A2DA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B124B" w:rsidRDefault="005A2DA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B124B" w:rsidRDefault="005A2DA7" w:rsidP="00AF0AC5">
          <w:pPr>
            <w:pStyle w:val="D3B99056C74D4398B759C5F807B4845C"/>
          </w:pPr>
          <w:r w:rsidRPr="00D858FE">
            <w:rPr>
              <w:rStyle w:val="PlaceholderText"/>
            </w:rPr>
            <w:t xml:space="preserve">Choose an </w:t>
          </w:r>
          <w:r w:rsidRPr="00D858FE">
            <w:rPr>
              <w:rStyle w:val="PlaceholderText"/>
            </w:rPr>
            <w:t>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B124B" w:rsidRDefault="005A2DA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B124B" w:rsidRDefault="005A2DA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B124B" w:rsidRDefault="005A2DA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B124B" w:rsidRDefault="005A2DA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B124B" w:rsidRDefault="005A2DA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B124B" w:rsidRDefault="005A2DA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B124B" w:rsidRDefault="005A2DA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B124B" w:rsidRDefault="005A2DA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B124B" w:rsidRDefault="005A2DA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B124B" w:rsidRDefault="005A2DA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B124B" w:rsidRDefault="005A2DA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B124B" w:rsidRDefault="005A2DA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B124B" w:rsidRDefault="005A2DA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B124B" w:rsidRDefault="005A2DA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B124B" w:rsidRDefault="005A2DA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B124B" w:rsidRDefault="005A2DA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B124B" w:rsidRDefault="005A2DA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B124B" w:rsidRDefault="005A2DA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B124B" w:rsidRDefault="005A2DA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B124B" w:rsidRDefault="005A2DA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B124B" w:rsidRDefault="005A2DA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B124B" w:rsidRDefault="005A2DA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B124B" w:rsidRDefault="005A2DA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B124B" w:rsidRDefault="005A2DA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B124B" w:rsidRDefault="005A2DA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B124B" w:rsidRDefault="005A2DA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B124B" w:rsidRDefault="005A2DA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B124B" w:rsidRDefault="005A2DA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B124B" w:rsidRDefault="005A2DA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B124B" w:rsidRDefault="005A2DA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B124B" w:rsidRDefault="005A2DA7" w:rsidP="00AF0AC5">
          <w:pPr>
            <w:pStyle w:val="2006D617159A4DBD950ADA2AF1263BED"/>
          </w:pPr>
          <w:r w:rsidRPr="00D858FE">
            <w:rPr>
              <w:rStyle w:val="PlaceholderText"/>
            </w:rPr>
            <w:t xml:space="preserve">Choose an </w:t>
          </w:r>
          <w:r w:rsidRPr="00D858FE">
            <w:rPr>
              <w:rStyle w:val="PlaceholderText"/>
            </w:rPr>
            <w:t>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B124B" w:rsidRDefault="005A2DA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B124B" w:rsidRDefault="005A2DA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B124B" w:rsidRDefault="005A2DA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B124B" w:rsidRDefault="005A2DA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B124B" w:rsidRDefault="005A2DA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B124B" w:rsidRDefault="005A2DA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B124B" w:rsidRDefault="005A2DA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44C3"/>
    <w:rsid w:val="00002549"/>
    <w:rsid w:val="000A2349"/>
    <w:rsid w:val="000D6B7E"/>
    <w:rsid w:val="000E25E0"/>
    <w:rsid w:val="001C3E67"/>
    <w:rsid w:val="001F5DD5"/>
    <w:rsid w:val="002F103D"/>
    <w:rsid w:val="00316CC8"/>
    <w:rsid w:val="003B03D4"/>
    <w:rsid w:val="003C562F"/>
    <w:rsid w:val="004434EB"/>
    <w:rsid w:val="004975D5"/>
    <w:rsid w:val="004F7C89"/>
    <w:rsid w:val="005A2BD8"/>
    <w:rsid w:val="005A2DA7"/>
    <w:rsid w:val="005B05A9"/>
    <w:rsid w:val="007157DA"/>
    <w:rsid w:val="00727C28"/>
    <w:rsid w:val="008F1ACB"/>
    <w:rsid w:val="00902A6E"/>
    <w:rsid w:val="009B0DC6"/>
    <w:rsid w:val="009B44C3"/>
    <w:rsid w:val="009F54F6"/>
    <w:rsid w:val="00A523F1"/>
    <w:rsid w:val="00A7345C"/>
    <w:rsid w:val="00A74270"/>
    <w:rsid w:val="00AC72F4"/>
    <w:rsid w:val="00AD073C"/>
    <w:rsid w:val="00B27C70"/>
    <w:rsid w:val="00B83394"/>
    <w:rsid w:val="00B843A5"/>
    <w:rsid w:val="00BB124B"/>
    <w:rsid w:val="00BE318B"/>
    <w:rsid w:val="00C509AE"/>
    <w:rsid w:val="00C5291A"/>
    <w:rsid w:val="00C65080"/>
    <w:rsid w:val="00D41776"/>
    <w:rsid w:val="00D8505C"/>
    <w:rsid w:val="00DD74C0"/>
    <w:rsid w:val="00E0132E"/>
    <w:rsid w:val="00E23BD9"/>
    <w:rsid w:val="00E306DC"/>
    <w:rsid w:val="00F057B6"/>
    <w:rsid w:val="00F22FD5"/>
    <w:rsid w:val="00F72D78"/>
    <w:rsid w:val="00F85A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7265</Words>
  <Characters>41415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2025-02-04T04:46:00Z</dcterms:created>
  <dcterms:modified xsi:type="dcterms:W3CDTF">2025-02-04T04:47:00Z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